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C1A" w:rsidRDefault="00173FCA" w:rsidP="00173FCA">
      <w:pPr>
        <w:jc w:val="center"/>
      </w:pPr>
      <w:r>
        <w:t>Korea Advanced Institute of Science and Technology</w:t>
      </w:r>
    </w:p>
    <w:p w:rsidR="00173FCA" w:rsidRDefault="00173FCA" w:rsidP="00173FCA">
      <w:pPr>
        <w:jc w:val="center"/>
      </w:pPr>
      <w:r>
        <w:t>School of Electrical Engineering</w:t>
      </w:r>
    </w:p>
    <w:p w:rsidR="00173FCA" w:rsidRDefault="00173FCA" w:rsidP="00173FCA">
      <w:pPr>
        <w:jc w:val="center"/>
      </w:pPr>
      <w:r>
        <w:t>EE735 Computer Vision Fall 2018</w:t>
      </w:r>
    </w:p>
    <w:p w:rsidR="00173FCA" w:rsidRDefault="00173FCA" w:rsidP="00173FCA">
      <w:r>
        <w:t>Student’s Name: Dinh Vu</w:t>
      </w:r>
    </w:p>
    <w:p w:rsidR="00173FCA" w:rsidRDefault="00173FCA" w:rsidP="00173FCA">
      <w:r>
        <w:t>Student’s ID: 20184187</w:t>
      </w:r>
    </w:p>
    <w:p w:rsidR="00173FCA" w:rsidRPr="00636938" w:rsidRDefault="00173FCA" w:rsidP="00173FCA">
      <w:pPr>
        <w:jc w:val="center"/>
        <w:rPr>
          <w:b/>
        </w:rPr>
      </w:pPr>
      <w:r w:rsidRPr="00636938">
        <w:rPr>
          <w:b/>
        </w:rPr>
        <w:t>Programming Assignment 3</w:t>
      </w:r>
    </w:p>
    <w:p w:rsidR="00B11DCF" w:rsidRDefault="00B11DCF" w:rsidP="00B11DCF">
      <w:r>
        <w:t>The below implementation are programmed</w:t>
      </w:r>
      <w:r w:rsidR="00EE0889">
        <w:t xml:space="preserve"> in Tensorflow 1.10.0 framework on a computer </w:t>
      </w:r>
      <w:r w:rsidR="00EE0889">
        <w:rPr>
          <w:rFonts w:cs="Times New Roman"/>
          <w:szCs w:val="26"/>
        </w:rPr>
        <w:t xml:space="preserve">with an </w:t>
      </w:r>
      <w:r w:rsidR="00EE0889">
        <w:t>Intel(R) Core(TM) i7 CPU @ 4.20 GHz and a GPU NVIDIA GTX GeForce 960Ti</w:t>
      </w:r>
      <w:r w:rsidR="00EE0889">
        <w:t>.</w:t>
      </w:r>
    </w:p>
    <w:p w:rsidR="00173FCA" w:rsidRPr="002E51CC" w:rsidRDefault="00173FCA" w:rsidP="002E51CC">
      <w:pPr>
        <w:pStyle w:val="ListParagraph"/>
        <w:numPr>
          <w:ilvl w:val="0"/>
          <w:numId w:val="1"/>
        </w:numPr>
        <w:ind w:left="360"/>
        <w:outlineLvl w:val="0"/>
        <w:rPr>
          <w:b/>
        </w:rPr>
      </w:pPr>
      <w:r w:rsidRPr="002E51CC">
        <w:rPr>
          <w:b/>
        </w:rPr>
        <w:t>Data Setup</w:t>
      </w:r>
    </w:p>
    <w:p w:rsidR="00B11DCF" w:rsidRDefault="00034532" w:rsidP="00B11DCF">
      <w:r>
        <w:t xml:space="preserve">CIFAR10 dataset consists 50,000 training images and 10,000 testing images. </w:t>
      </w:r>
      <w:r w:rsidR="00587408">
        <w:t xml:space="preserve">The indexes of the 4000 random labeled training images are saved in </w:t>
      </w:r>
      <w:r w:rsidR="00587408" w:rsidRPr="00587408">
        <w:rPr>
          <w:rFonts w:ascii="Consolas" w:hAnsi="Consolas"/>
          <w:sz w:val="24"/>
          <w:szCs w:val="24"/>
        </w:rPr>
        <w:t>svtrain.p</w:t>
      </w:r>
      <w:r w:rsidR="00587408">
        <w:t xml:space="preserve"> file while</w:t>
      </w:r>
      <w:r w:rsidR="006A5CBE">
        <w:t xml:space="preserve"> the</w:t>
      </w:r>
      <w:r w:rsidR="00587408">
        <w:t xml:space="preserve"> unlabeled </w:t>
      </w:r>
      <w:r w:rsidR="006A5CBE">
        <w:t xml:space="preserve">images ’s indexes are stored in the </w:t>
      </w:r>
      <w:r w:rsidR="006A5CBE" w:rsidRPr="006A5CBE">
        <w:rPr>
          <w:rFonts w:ascii="Consolas" w:hAnsi="Consolas"/>
          <w:sz w:val="24"/>
          <w:szCs w:val="24"/>
        </w:rPr>
        <w:t>usvtrain.p</w:t>
      </w:r>
      <w:r w:rsidR="006A5CBE">
        <w:t xml:space="preserve"> file.</w:t>
      </w:r>
      <w:r w:rsidR="00963338">
        <w:t xml:space="preserve"> The </w:t>
      </w:r>
      <w:r w:rsidR="00995C73">
        <w:t xml:space="preserve">CIFAR10 images are converted from binary format to numpy arrays with data type </w:t>
      </w:r>
      <w:r w:rsidR="00995C73" w:rsidRPr="00995C73">
        <w:rPr>
          <w:rFonts w:ascii="Consolas" w:hAnsi="Consolas"/>
          <w:sz w:val="24"/>
          <w:szCs w:val="24"/>
        </w:rPr>
        <w:t>uint8</w:t>
      </w:r>
      <w:r w:rsidR="00995C73">
        <w:t xml:space="preserve"> by using the </w:t>
      </w:r>
      <w:r w:rsidR="00995C73" w:rsidRPr="00995C73">
        <w:rPr>
          <w:rFonts w:ascii="Consolas" w:hAnsi="Consolas"/>
          <w:sz w:val="24"/>
          <w:szCs w:val="24"/>
        </w:rPr>
        <w:t>get_data_set()</w:t>
      </w:r>
      <w:r w:rsidR="002E74D7">
        <w:t xml:space="preserve"> function. T</w:t>
      </w:r>
      <w:r w:rsidR="00995C73">
        <w:t>h</w:t>
      </w:r>
      <w:r w:rsidR="00825591">
        <w:t>e</w:t>
      </w:r>
      <w:r w:rsidR="002E74D7">
        <w:t xml:space="preserve"> corresponding</w:t>
      </w:r>
      <w:r w:rsidR="00825591">
        <w:t xml:space="preserve"> labels are transformed to one-</w:t>
      </w:r>
      <w:r w:rsidR="00995C73">
        <w:t>hot array</w:t>
      </w:r>
      <w:r w:rsidR="00825591">
        <w:t>s</w:t>
      </w:r>
      <w:r w:rsidR="00995C73">
        <w:t xml:space="preserve"> by the </w:t>
      </w:r>
      <w:r w:rsidR="00995C73" w:rsidRPr="00995C73">
        <w:rPr>
          <w:rFonts w:ascii="Consolas" w:hAnsi="Consolas"/>
          <w:sz w:val="24"/>
          <w:szCs w:val="24"/>
        </w:rPr>
        <w:t>dense_to_one_hot()</w:t>
      </w:r>
      <w:r w:rsidR="00995C73">
        <w:t xml:space="preserve"> function.</w:t>
      </w:r>
      <w:r w:rsidR="00224726">
        <w:t xml:space="preserve"> These two functions are found in the </w:t>
      </w:r>
      <w:r w:rsidR="00224726" w:rsidRPr="00224726">
        <w:rPr>
          <w:rFonts w:ascii="Consolas" w:hAnsi="Consolas"/>
          <w:sz w:val="24"/>
          <w:szCs w:val="24"/>
        </w:rPr>
        <w:t>utils.py</w:t>
      </w:r>
      <w:r w:rsidR="007D1150">
        <w:t xml:space="preserve"> file and presented in Figure 1.1 and 1.2 below.</w:t>
      </w:r>
    </w:p>
    <w:p w:rsidR="00995C73" w:rsidRDefault="00224726" w:rsidP="00224726">
      <w:pPr>
        <w:jc w:val="center"/>
      </w:pPr>
      <w:r>
        <w:rPr>
          <w:noProof/>
        </w:rPr>
        <w:drawing>
          <wp:inline distT="0" distB="0" distL="0" distR="0" wp14:anchorId="5FC7F740" wp14:editId="5B14E4BF">
            <wp:extent cx="4000500" cy="8186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4409" cy="827592"/>
                    </a:xfrm>
                    <a:prstGeom prst="rect">
                      <a:avLst/>
                    </a:prstGeom>
                  </pic:spPr>
                </pic:pic>
              </a:graphicData>
            </a:graphic>
          </wp:inline>
        </w:drawing>
      </w:r>
    </w:p>
    <w:p w:rsidR="00224726" w:rsidRDefault="00224726" w:rsidP="00224726">
      <w:pPr>
        <w:jc w:val="center"/>
      </w:pPr>
      <w:r w:rsidRPr="00224726">
        <w:rPr>
          <w:b/>
        </w:rPr>
        <w:t>Figure 1.1.</w:t>
      </w:r>
      <w:r>
        <w:t xml:space="preserve"> The </w:t>
      </w:r>
      <w:r w:rsidRPr="00224726">
        <w:rPr>
          <w:rFonts w:ascii="Consolas" w:hAnsi="Consolas"/>
          <w:sz w:val="24"/>
          <w:szCs w:val="24"/>
        </w:rPr>
        <w:t>dense_to_one_hot()</w:t>
      </w:r>
      <w:r>
        <w:t xml:space="preserve"> function</w:t>
      </w:r>
    </w:p>
    <w:p w:rsidR="004D5F87" w:rsidRDefault="004D5F87" w:rsidP="004D5F87">
      <w:r>
        <w:t xml:space="preserve">After converting CIFAR10 dataset from binary to numpy array, to speed up the training process, the data pipeline is built to read the images and their corresponding labels, then splitting them to mini-batch by using </w:t>
      </w:r>
      <w:r w:rsidRPr="006C5D50">
        <w:rPr>
          <w:rFonts w:ascii="Consolas" w:hAnsi="Consolas"/>
          <w:sz w:val="24"/>
          <w:szCs w:val="24"/>
        </w:rPr>
        <w:t>tf.data.Dataset</w:t>
      </w:r>
      <w:r>
        <w:rPr>
          <w:rFonts w:ascii="Consolas" w:hAnsi="Consolas"/>
          <w:sz w:val="24"/>
          <w:szCs w:val="24"/>
        </w:rPr>
        <w:t>()</w:t>
      </w:r>
      <w:r>
        <w:t xml:space="preserve"> in Tensorflow.</w:t>
      </w:r>
    </w:p>
    <w:p w:rsidR="00900963" w:rsidRDefault="00900963" w:rsidP="00900963">
      <w:pPr>
        <w:jc w:val="center"/>
      </w:pPr>
      <w:r>
        <w:rPr>
          <w:noProof/>
        </w:rPr>
        <w:drawing>
          <wp:inline distT="0" distB="0" distL="0" distR="0" wp14:anchorId="7EB71F2C" wp14:editId="5233E3BA">
            <wp:extent cx="3924300" cy="1510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242" cy="1522227"/>
                    </a:xfrm>
                    <a:prstGeom prst="rect">
                      <a:avLst/>
                    </a:prstGeom>
                  </pic:spPr>
                </pic:pic>
              </a:graphicData>
            </a:graphic>
          </wp:inline>
        </w:drawing>
      </w:r>
    </w:p>
    <w:p w:rsidR="004D5F87" w:rsidRDefault="00900963" w:rsidP="00900963">
      <w:pPr>
        <w:jc w:val="center"/>
      </w:pPr>
      <w:r w:rsidRPr="002E74D7">
        <w:rPr>
          <w:b/>
        </w:rPr>
        <w:t>Figure 1.3.</w:t>
      </w:r>
      <w:r>
        <w:t xml:space="preserve"> An example of using </w:t>
      </w:r>
      <w:r w:rsidRPr="002E74D7">
        <w:rPr>
          <w:rFonts w:ascii="Consolas" w:hAnsi="Consolas"/>
          <w:sz w:val="24"/>
          <w:szCs w:val="24"/>
        </w:rPr>
        <w:t>tf.data.Dataset()</w:t>
      </w:r>
    </w:p>
    <w:p w:rsidR="00224726" w:rsidRDefault="00224726" w:rsidP="00224726">
      <w:pPr>
        <w:jc w:val="center"/>
      </w:pPr>
      <w:r>
        <w:rPr>
          <w:noProof/>
        </w:rPr>
        <w:lastRenderedPageBreak/>
        <w:drawing>
          <wp:inline distT="0" distB="0" distL="0" distR="0" wp14:anchorId="15491378" wp14:editId="0C0E9BD8">
            <wp:extent cx="5262306" cy="541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221" cy="5422727"/>
                    </a:xfrm>
                    <a:prstGeom prst="rect">
                      <a:avLst/>
                    </a:prstGeom>
                  </pic:spPr>
                </pic:pic>
              </a:graphicData>
            </a:graphic>
          </wp:inline>
        </w:drawing>
      </w:r>
    </w:p>
    <w:p w:rsidR="002E74D7" w:rsidRDefault="00224726" w:rsidP="00900963">
      <w:pPr>
        <w:jc w:val="center"/>
      </w:pPr>
      <w:r w:rsidRPr="00224726">
        <w:rPr>
          <w:b/>
        </w:rPr>
        <w:t>Figure 1.2.</w:t>
      </w:r>
      <w:r>
        <w:t xml:space="preserve"> The </w:t>
      </w:r>
      <w:r w:rsidRPr="00224726">
        <w:rPr>
          <w:rFonts w:ascii="Consolas" w:hAnsi="Consolas"/>
          <w:sz w:val="24"/>
          <w:szCs w:val="24"/>
        </w:rPr>
        <w:t>get_data_set()</w:t>
      </w:r>
      <w:r>
        <w:t xml:space="preserve"> function</w:t>
      </w:r>
    </w:p>
    <w:p w:rsidR="00173FCA" w:rsidRPr="002E51CC" w:rsidRDefault="00173FCA" w:rsidP="002E51CC">
      <w:pPr>
        <w:pStyle w:val="ListParagraph"/>
        <w:numPr>
          <w:ilvl w:val="0"/>
          <w:numId w:val="1"/>
        </w:numPr>
        <w:ind w:left="360"/>
        <w:outlineLvl w:val="0"/>
        <w:rPr>
          <w:b/>
        </w:rPr>
      </w:pPr>
      <w:r w:rsidRPr="002E51CC">
        <w:rPr>
          <w:b/>
        </w:rPr>
        <w:t>Network Implementation</w:t>
      </w:r>
    </w:p>
    <w:p w:rsidR="00636938" w:rsidRDefault="007D1150" w:rsidP="00636938">
      <w:r>
        <w:t>The network architecture is fixed and shown in Table 2.1 below. However, in the paper [1] the noise layer is considered as a data augmentation technique, so it can be move to the data preprocessing</w:t>
      </w:r>
      <w:r w:rsidR="00795EF3">
        <w:t xml:space="preserve"> in the training</w:t>
      </w:r>
      <w:r>
        <w:t>.</w:t>
      </w:r>
      <w:r w:rsidR="00795EF3">
        <w:t xml:space="preserve"> The softmax</w:t>
      </w:r>
      <w:r>
        <w:t xml:space="preserve"> </w:t>
      </w:r>
      <w:r w:rsidR="00795EF3">
        <w:t xml:space="preserve">layer is not typed in implementation, but it will go along with the network in the prediction. Hence, generally, the structure of the given network is not changed. </w:t>
      </w:r>
      <w:r>
        <w:t xml:space="preserve">The network is implemented in the </w:t>
      </w:r>
      <w:r w:rsidRPr="007D1150">
        <w:rPr>
          <w:rFonts w:ascii="Consolas" w:hAnsi="Consolas"/>
          <w:sz w:val="24"/>
          <w:szCs w:val="24"/>
        </w:rPr>
        <w:t>model.py</w:t>
      </w:r>
      <w:r>
        <w:t xml:space="preserve"> file and displayed in Figure 2.1.</w:t>
      </w:r>
    </w:p>
    <w:p w:rsidR="00900963" w:rsidRDefault="00900963" w:rsidP="00636938"/>
    <w:p w:rsidR="00900963" w:rsidRDefault="00900963" w:rsidP="00636938"/>
    <w:p w:rsidR="007D1150" w:rsidRDefault="007D1150" w:rsidP="007D1150">
      <w:pPr>
        <w:jc w:val="center"/>
      </w:pPr>
      <w:r w:rsidRPr="00D16706">
        <w:rPr>
          <w:b/>
        </w:rPr>
        <w:lastRenderedPageBreak/>
        <w:t>Table 2.1.</w:t>
      </w:r>
      <w:r>
        <w:t xml:space="preserve"> The network architecture</w:t>
      </w:r>
    </w:p>
    <w:p w:rsidR="007D1150" w:rsidRDefault="007D1150" w:rsidP="007D1150">
      <w:pPr>
        <w:jc w:val="center"/>
      </w:pPr>
      <w:r>
        <w:rPr>
          <w:noProof/>
        </w:rPr>
        <w:drawing>
          <wp:inline distT="0" distB="0" distL="0" distR="0" wp14:anchorId="353F4401" wp14:editId="4AA4D8C3">
            <wp:extent cx="3295650" cy="27338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251" cy="2736878"/>
                    </a:xfrm>
                    <a:prstGeom prst="rect">
                      <a:avLst/>
                    </a:prstGeom>
                  </pic:spPr>
                </pic:pic>
              </a:graphicData>
            </a:graphic>
          </wp:inline>
        </w:drawing>
      </w:r>
    </w:p>
    <w:p w:rsidR="007D1150" w:rsidRDefault="007D1150" w:rsidP="007D1150">
      <w:pPr>
        <w:jc w:val="center"/>
      </w:pPr>
      <w:r>
        <w:rPr>
          <w:noProof/>
        </w:rPr>
        <w:drawing>
          <wp:inline distT="0" distB="0" distL="0" distR="0" wp14:anchorId="592DDCFF" wp14:editId="055CD3FF">
            <wp:extent cx="4886325" cy="450940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1197" cy="4523134"/>
                    </a:xfrm>
                    <a:prstGeom prst="rect">
                      <a:avLst/>
                    </a:prstGeom>
                  </pic:spPr>
                </pic:pic>
              </a:graphicData>
            </a:graphic>
          </wp:inline>
        </w:drawing>
      </w:r>
    </w:p>
    <w:p w:rsidR="00900963" w:rsidRDefault="007D1150" w:rsidP="00900963">
      <w:pPr>
        <w:jc w:val="center"/>
      </w:pPr>
      <w:r w:rsidRPr="007D1150">
        <w:rPr>
          <w:b/>
        </w:rPr>
        <w:t>Figure 2.1.</w:t>
      </w:r>
      <w:r>
        <w:t xml:space="preserve"> The network implementation</w:t>
      </w:r>
    </w:p>
    <w:p w:rsidR="00173FCA" w:rsidRPr="002E51CC" w:rsidRDefault="00B11DCF" w:rsidP="002E51CC">
      <w:pPr>
        <w:pStyle w:val="ListParagraph"/>
        <w:numPr>
          <w:ilvl w:val="0"/>
          <w:numId w:val="1"/>
        </w:numPr>
        <w:ind w:left="360"/>
        <w:outlineLvl w:val="0"/>
        <w:rPr>
          <w:b/>
        </w:rPr>
      </w:pPr>
      <w:r w:rsidRPr="002E51CC">
        <w:rPr>
          <w:b/>
        </w:rPr>
        <w:lastRenderedPageBreak/>
        <w:t>Supervised Model</w:t>
      </w:r>
    </w:p>
    <w:p w:rsidR="00915178" w:rsidRDefault="00C646A9" w:rsidP="00636938">
      <w:r>
        <w:t>Before training, the images must be preprocessed. Because the supervised training data only consists 4,000 images while there are 10,000 testing images</w:t>
      </w:r>
      <w:r w:rsidR="00915178">
        <w:t>, the data augmentation is required to avoid overfitting</w:t>
      </w:r>
      <w:r>
        <w:t xml:space="preserve">. </w:t>
      </w:r>
      <w:r w:rsidR="00915178">
        <w:t>The training images are random flip horizontally and add random Gaussian noise.</w:t>
      </w:r>
      <w:r w:rsidR="00795EF3">
        <w:t xml:space="preserve"> These preprocessing and data augmentation are </w:t>
      </w:r>
      <w:r w:rsidR="00B10834">
        <w:t xml:space="preserve">written in the </w:t>
      </w:r>
      <w:r w:rsidR="00B10834" w:rsidRPr="00B10834">
        <w:rPr>
          <w:rFonts w:ascii="Consolas" w:hAnsi="Consolas"/>
          <w:sz w:val="24"/>
          <w:szCs w:val="24"/>
        </w:rPr>
        <w:t>train_parse()</w:t>
      </w:r>
      <w:r w:rsidR="00B10834">
        <w:t xml:space="preserve"> function on the </w:t>
      </w:r>
      <w:r w:rsidR="00B10834" w:rsidRPr="00B10834">
        <w:rPr>
          <w:rFonts w:ascii="Consolas" w:hAnsi="Consolas"/>
          <w:sz w:val="24"/>
          <w:szCs w:val="24"/>
        </w:rPr>
        <w:t>utils.py</w:t>
      </w:r>
      <w:r w:rsidR="00B10834">
        <w:t xml:space="preserve"> file and depicted in Figure 3.1.</w:t>
      </w:r>
      <w:r w:rsidR="003B6129">
        <w:t xml:space="preserve"> </w:t>
      </w:r>
      <w:r w:rsidR="003B6129">
        <w:t>At the beginning of every epoch, entire training dataset is randomly shuffled.</w:t>
      </w:r>
    </w:p>
    <w:p w:rsidR="00795EF3" w:rsidRDefault="00795EF3" w:rsidP="00795EF3">
      <w:pPr>
        <w:jc w:val="center"/>
      </w:pPr>
      <w:r>
        <w:rPr>
          <w:noProof/>
        </w:rPr>
        <w:drawing>
          <wp:inline distT="0" distB="0" distL="0" distR="0" wp14:anchorId="40D98183" wp14:editId="61E6F008">
            <wp:extent cx="5676900" cy="136342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9438" cy="1366437"/>
                    </a:xfrm>
                    <a:prstGeom prst="rect">
                      <a:avLst/>
                    </a:prstGeom>
                  </pic:spPr>
                </pic:pic>
              </a:graphicData>
            </a:graphic>
          </wp:inline>
        </w:drawing>
      </w:r>
    </w:p>
    <w:p w:rsidR="00795EF3" w:rsidRDefault="00795EF3" w:rsidP="00795EF3">
      <w:pPr>
        <w:jc w:val="center"/>
      </w:pPr>
      <w:r w:rsidRPr="00795EF3">
        <w:rPr>
          <w:b/>
        </w:rPr>
        <w:t>Figure 3.1.</w:t>
      </w:r>
      <w:r>
        <w:t xml:space="preserve"> The training preprocess</w:t>
      </w:r>
    </w:p>
    <w:p w:rsidR="00915178" w:rsidRDefault="00915178" w:rsidP="00636938">
      <w:r>
        <w:t xml:space="preserve">The Adam Optimization is used for minimize the cross entropy loss with the default parameters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=0.9</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=0.999</m:t>
        </m:r>
      </m:oMath>
      <w:r>
        <w:t xml:space="preserve"> and </w:t>
      </w:r>
      <m:oMath>
        <m:r>
          <w:rPr>
            <w:rFonts w:ascii="Cambria Math" w:hAnsi="Cambria Math"/>
          </w:rPr>
          <m:t>ε=</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w:t>
      </w:r>
      <w:r w:rsidR="00972ED5">
        <w:t xml:space="preserve">In order to avoid gradient explosion caused by outliers, the gradients are clipped from -1 to 1. </w:t>
      </w:r>
      <w:r>
        <w:t>T</w:t>
      </w:r>
      <w:r w:rsidR="00F05E98">
        <w:t>he model is trained with 100 epochs,</w:t>
      </w:r>
      <w:r w:rsidR="00473E7C">
        <w:t xml:space="preserve"> batch size of 100. The initial learning rate equals to</w:t>
      </w:r>
      <w:r w:rsidR="00F05E98">
        <w:t xml:space="preserve"> 0.001 and decayed by half after 69 epochs. </w:t>
      </w:r>
      <w:r>
        <w:t>The cross entropy loss and training accuracy with respect to iterations are presented in Figure 3.1 and 3.2.</w:t>
      </w:r>
    </w:p>
    <w:p w:rsidR="00131A3F" w:rsidRDefault="00B030A5" w:rsidP="00131A3F">
      <w:pPr>
        <w:jc w:val="center"/>
      </w:pPr>
      <w:r>
        <w:rPr>
          <w:noProof/>
        </w:rPr>
        <w:drawing>
          <wp:inline distT="0" distB="0" distL="0" distR="0" wp14:anchorId="06521DD6" wp14:editId="4F5901E7">
            <wp:extent cx="5943600" cy="1846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6580"/>
                    </a:xfrm>
                    <a:prstGeom prst="rect">
                      <a:avLst/>
                    </a:prstGeom>
                  </pic:spPr>
                </pic:pic>
              </a:graphicData>
            </a:graphic>
          </wp:inline>
        </w:drawing>
      </w:r>
    </w:p>
    <w:p w:rsidR="00131A3F" w:rsidRDefault="00131A3F" w:rsidP="00131A3F">
      <w:pPr>
        <w:jc w:val="center"/>
      </w:pPr>
      <w:r w:rsidRPr="00131A3F">
        <w:rPr>
          <w:b/>
        </w:rPr>
        <w:t>Figure 3.1.</w:t>
      </w:r>
      <w:r>
        <w:t xml:space="preserve"> The cross entropy loss during the training process</w:t>
      </w:r>
    </w:p>
    <w:p w:rsidR="009F4C34" w:rsidRDefault="00B030A5" w:rsidP="00131A3F">
      <w:pPr>
        <w:jc w:val="center"/>
      </w:pPr>
      <w:r>
        <w:rPr>
          <w:noProof/>
        </w:rPr>
        <w:lastRenderedPageBreak/>
        <w:drawing>
          <wp:inline distT="0" distB="0" distL="0" distR="0" wp14:anchorId="0654C5D3" wp14:editId="1A2BD4F9">
            <wp:extent cx="5943600" cy="187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3250"/>
                    </a:xfrm>
                    <a:prstGeom prst="rect">
                      <a:avLst/>
                    </a:prstGeom>
                  </pic:spPr>
                </pic:pic>
              </a:graphicData>
            </a:graphic>
          </wp:inline>
        </w:drawing>
      </w:r>
    </w:p>
    <w:p w:rsidR="009F4C34" w:rsidRDefault="009F4C34" w:rsidP="00131A3F">
      <w:pPr>
        <w:jc w:val="center"/>
      </w:pPr>
      <w:r w:rsidRPr="009F4C34">
        <w:rPr>
          <w:b/>
        </w:rPr>
        <w:t>Figure 3.2.</w:t>
      </w:r>
      <w:r>
        <w:t xml:space="preserve"> The training accuracy</w:t>
      </w:r>
    </w:p>
    <w:p w:rsidR="00915178" w:rsidRDefault="00C55631" w:rsidP="00915178">
      <w:r>
        <w:t xml:space="preserve">The supervised training process consumed about 24 minutes. </w:t>
      </w:r>
      <w:r w:rsidR="00915178">
        <w:t>After training, the supervised model is validated with 10,000 image</w:t>
      </w:r>
      <w:r>
        <w:t>s in CIFAR10 testing dataset and taken 75 seco</w:t>
      </w:r>
      <w:r w:rsidR="00825591">
        <w:t>nds</w:t>
      </w:r>
      <w:r>
        <w:t>.</w:t>
      </w:r>
      <w:r w:rsidR="00972ED5">
        <w:t xml:space="preserve"> The testing accuracy of the supervised model is 61.35 %.</w:t>
      </w:r>
      <w:r w:rsidR="00716215">
        <w:t xml:space="preserve"> All supervised training process is presented in the </w:t>
      </w:r>
      <w:r w:rsidR="00716215" w:rsidRPr="00716215">
        <w:rPr>
          <w:rFonts w:ascii="Consolas" w:hAnsi="Consolas"/>
          <w:sz w:val="24"/>
          <w:szCs w:val="24"/>
        </w:rPr>
        <w:t>sv_train.py</w:t>
      </w:r>
      <w:r w:rsidR="00716215">
        <w:t xml:space="preserve"> file.</w:t>
      </w:r>
    </w:p>
    <w:p w:rsidR="00B11DCF" w:rsidRPr="002E51CC" w:rsidRDefault="00B11DCF" w:rsidP="002E51CC">
      <w:pPr>
        <w:pStyle w:val="ListParagraph"/>
        <w:numPr>
          <w:ilvl w:val="0"/>
          <w:numId w:val="1"/>
        </w:numPr>
        <w:ind w:left="360"/>
        <w:outlineLvl w:val="0"/>
        <w:rPr>
          <w:b/>
        </w:rPr>
      </w:pPr>
      <w:r w:rsidRPr="002E51CC">
        <w:rPr>
          <w:b/>
        </w:rPr>
        <w:t>Mean Teacher</w:t>
      </w:r>
    </w:p>
    <w:p w:rsidR="00473E7C" w:rsidRDefault="00473E7C" w:rsidP="00636938">
      <w:r>
        <w:t>The training data is preprocessed same as supervised learning. The Adam optimizer is used for entire of the training process with default setup.</w:t>
      </w:r>
    </w:p>
    <w:p w:rsidR="00636938" w:rsidRDefault="00473E7C" w:rsidP="00636938">
      <w:r>
        <w:t xml:space="preserve">First, the student and teacher networks are trained with 4,000 labeled images in 120 epochs, batch size of 100, learning rate is set to 0.001 and unchanged during labeled training steps. The loss function is the summation of the classification loss and the consistency loss. Where the classification loss is the cross entropy loss in the supervised learning problem, while the consistency loss is defined as mean squared error between </w:t>
      </w:r>
      <w:r w:rsidR="00857240">
        <w:t>the output of the softmax layers in the student and teacher models</w:t>
      </w:r>
    </w:p>
    <w:p w:rsidR="00473E7C" w:rsidRDefault="00473E7C" w:rsidP="00636938">
      <w:r>
        <w:t>Second, the st</w:t>
      </w:r>
      <w:r w:rsidR="00857240">
        <w:t xml:space="preserve">udent and teacher networks are continuously trained with only the consistency loss during 60 epochs. </w:t>
      </w:r>
    </w:p>
    <w:p w:rsidR="00707C7A" w:rsidRDefault="00707C7A" w:rsidP="00707C7A">
      <w:pPr>
        <w:jc w:val="center"/>
      </w:pPr>
      <w:r>
        <w:rPr>
          <w:noProof/>
        </w:rPr>
        <w:drawing>
          <wp:inline distT="0" distB="0" distL="0" distR="0" wp14:anchorId="3EB66EE3" wp14:editId="0FE34635">
            <wp:extent cx="5943600" cy="1772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72285"/>
                    </a:xfrm>
                    <a:prstGeom prst="rect">
                      <a:avLst/>
                    </a:prstGeom>
                  </pic:spPr>
                </pic:pic>
              </a:graphicData>
            </a:graphic>
          </wp:inline>
        </w:drawing>
      </w:r>
    </w:p>
    <w:p w:rsidR="00707C7A" w:rsidRDefault="00707C7A" w:rsidP="00707C7A">
      <w:pPr>
        <w:jc w:val="center"/>
      </w:pPr>
      <w:r w:rsidRPr="00707C7A">
        <w:rPr>
          <w:b/>
        </w:rPr>
        <w:t>Figure 4.1.</w:t>
      </w:r>
      <w:r>
        <w:t xml:space="preserve"> The classification loss during training with 4000 labeled samples</w:t>
      </w:r>
    </w:p>
    <w:p w:rsidR="00707C7A" w:rsidRDefault="00707C7A" w:rsidP="00707C7A">
      <w:r>
        <w:lastRenderedPageBreak/>
        <w:t>The testing accuracy of the student model is 57.60% and of the teacher model is 57.77%</w:t>
      </w:r>
      <w:bookmarkStart w:id="0" w:name="_GoBack"/>
      <w:bookmarkEnd w:id="0"/>
    </w:p>
    <w:p w:rsidR="002470F6" w:rsidRPr="002470F6" w:rsidRDefault="002470F6" w:rsidP="002470F6">
      <w:pPr>
        <w:pStyle w:val="Heading1"/>
        <w:rPr>
          <w:rFonts w:ascii="Times New Roman" w:hAnsi="Times New Roman" w:cs="Times New Roman"/>
          <w:b/>
          <w:color w:val="auto"/>
          <w:sz w:val="26"/>
          <w:szCs w:val="26"/>
        </w:rPr>
      </w:pPr>
      <w:r w:rsidRPr="002470F6">
        <w:rPr>
          <w:rFonts w:ascii="Times New Roman" w:hAnsi="Times New Roman" w:cs="Times New Roman"/>
          <w:b/>
          <w:color w:val="auto"/>
          <w:sz w:val="26"/>
          <w:szCs w:val="26"/>
        </w:rPr>
        <w:t>Reference</w:t>
      </w:r>
    </w:p>
    <w:p w:rsidR="002470F6" w:rsidRDefault="002470F6" w:rsidP="00636938">
      <w:r>
        <w:t xml:space="preserve">[1] Samuli Laine and Timo Aila, “Temporal Ensembling for Semi-Supervised Learning”, </w:t>
      </w:r>
      <w:r w:rsidRPr="001E74C3">
        <w:rPr>
          <w:i/>
        </w:rPr>
        <w:t>International Conference on Learning Representations</w:t>
      </w:r>
      <w:r>
        <w:t xml:space="preserve">, </w:t>
      </w:r>
      <w:r w:rsidR="001E74C3">
        <w:t>April 2017, Toulon, France</w:t>
      </w:r>
    </w:p>
    <w:p w:rsidR="001E74C3" w:rsidRDefault="001E74C3" w:rsidP="00636938">
      <w:r>
        <w:t xml:space="preserve">[2] Antti Tarvainen and Harri Valpola, “Mean teachers are better role models: Weight-averaged consistency targets improve semi-supervised deep learning results”, </w:t>
      </w:r>
      <w:r w:rsidRPr="001E74C3">
        <w:rPr>
          <w:i/>
        </w:rPr>
        <w:t>International Conference on Learning Representations</w:t>
      </w:r>
      <w:r>
        <w:t>, April 2017, Toulon, France</w:t>
      </w:r>
    </w:p>
    <w:sectPr w:rsidR="001E74C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E8C" w:rsidRDefault="00087E8C" w:rsidP="0054584A">
      <w:pPr>
        <w:spacing w:after="0" w:line="240" w:lineRule="auto"/>
      </w:pPr>
      <w:r>
        <w:separator/>
      </w:r>
    </w:p>
  </w:endnote>
  <w:endnote w:type="continuationSeparator" w:id="0">
    <w:p w:rsidR="00087E8C" w:rsidRDefault="00087E8C" w:rsidP="0054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2295022"/>
      <w:docPartObj>
        <w:docPartGallery w:val="Page Numbers (Bottom of Page)"/>
        <w:docPartUnique/>
      </w:docPartObj>
    </w:sdtPr>
    <w:sdtEndPr>
      <w:rPr>
        <w:noProof/>
      </w:rPr>
    </w:sdtEndPr>
    <w:sdtContent>
      <w:p w:rsidR="0054584A" w:rsidRDefault="0054584A">
        <w:pPr>
          <w:pStyle w:val="Footer"/>
          <w:jc w:val="center"/>
        </w:pPr>
        <w:r>
          <w:fldChar w:fldCharType="begin"/>
        </w:r>
        <w:r>
          <w:instrText xml:space="preserve"> PAGE   \* MERGEFORMAT </w:instrText>
        </w:r>
        <w:r>
          <w:fldChar w:fldCharType="separate"/>
        </w:r>
        <w:r w:rsidR="00707C7A">
          <w:rPr>
            <w:noProof/>
          </w:rPr>
          <w:t>6</w:t>
        </w:r>
        <w:r>
          <w:rPr>
            <w:noProof/>
          </w:rPr>
          <w:fldChar w:fldCharType="end"/>
        </w:r>
      </w:p>
    </w:sdtContent>
  </w:sdt>
  <w:p w:rsidR="0054584A" w:rsidRDefault="005458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E8C" w:rsidRDefault="00087E8C" w:rsidP="0054584A">
      <w:pPr>
        <w:spacing w:after="0" w:line="240" w:lineRule="auto"/>
      </w:pPr>
      <w:r>
        <w:separator/>
      </w:r>
    </w:p>
  </w:footnote>
  <w:footnote w:type="continuationSeparator" w:id="0">
    <w:p w:rsidR="00087E8C" w:rsidRDefault="00087E8C" w:rsidP="00545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740AF"/>
    <w:multiLevelType w:val="hybridMultilevel"/>
    <w:tmpl w:val="7AAC9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CA"/>
    <w:rsid w:val="00034532"/>
    <w:rsid w:val="00087E8C"/>
    <w:rsid w:val="00131A3F"/>
    <w:rsid w:val="00173FCA"/>
    <w:rsid w:val="001E74C3"/>
    <w:rsid w:val="00224726"/>
    <w:rsid w:val="002470F6"/>
    <w:rsid w:val="002E51CC"/>
    <w:rsid w:val="002E74D7"/>
    <w:rsid w:val="003B6129"/>
    <w:rsid w:val="003C36AF"/>
    <w:rsid w:val="00473E7C"/>
    <w:rsid w:val="004D5F87"/>
    <w:rsid w:val="0054584A"/>
    <w:rsid w:val="00587408"/>
    <w:rsid w:val="00636938"/>
    <w:rsid w:val="006A5CBE"/>
    <w:rsid w:val="006C5D50"/>
    <w:rsid w:val="00707C7A"/>
    <w:rsid w:val="00716215"/>
    <w:rsid w:val="00795EF3"/>
    <w:rsid w:val="007D1150"/>
    <w:rsid w:val="00825591"/>
    <w:rsid w:val="00857240"/>
    <w:rsid w:val="00900963"/>
    <w:rsid w:val="00915178"/>
    <w:rsid w:val="00963338"/>
    <w:rsid w:val="00972ED5"/>
    <w:rsid w:val="00995C73"/>
    <w:rsid w:val="009F4C34"/>
    <w:rsid w:val="00B030A5"/>
    <w:rsid w:val="00B10834"/>
    <w:rsid w:val="00B11DCF"/>
    <w:rsid w:val="00C55631"/>
    <w:rsid w:val="00C646A9"/>
    <w:rsid w:val="00D16706"/>
    <w:rsid w:val="00E04C1A"/>
    <w:rsid w:val="00EE0889"/>
    <w:rsid w:val="00F05E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7F93"/>
  <w15:chartTrackingRefBased/>
  <w15:docId w15:val="{397CC7CE-7B36-45CE-B9B0-838F274D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FCA"/>
    <w:pPr>
      <w:jc w:val="both"/>
    </w:pPr>
    <w:rPr>
      <w:rFonts w:ascii="Times New Roman" w:hAnsi="Times New Roman"/>
      <w:sz w:val="26"/>
    </w:rPr>
  </w:style>
  <w:style w:type="paragraph" w:styleId="Heading1">
    <w:name w:val="heading 1"/>
    <w:basedOn w:val="Normal"/>
    <w:next w:val="Normal"/>
    <w:link w:val="Heading1Char"/>
    <w:uiPriority w:val="9"/>
    <w:qFormat/>
    <w:rsid w:val="00247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FCA"/>
    <w:pPr>
      <w:ind w:left="720"/>
      <w:contextualSpacing/>
    </w:pPr>
  </w:style>
  <w:style w:type="paragraph" w:styleId="Header">
    <w:name w:val="header"/>
    <w:basedOn w:val="Normal"/>
    <w:link w:val="HeaderChar"/>
    <w:uiPriority w:val="99"/>
    <w:unhideWhenUsed/>
    <w:rsid w:val="00545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4A"/>
    <w:rPr>
      <w:rFonts w:ascii="Times New Roman" w:hAnsi="Times New Roman"/>
      <w:sz w:val="26"/>
    </w:rPr>
  </w:style>
  <w:style w:type="paragraph" w:styleId="Footer">
    <w:name w:val="footer"/>
    <w:basedOn w:val="Normal"/>
    <w:link w:val="FooterChar"/>
    <w:uiPriority w:val="99"/>
    <w:unhideWhenUsed/>
    <w:rsid w:val="00545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4A"/>
    <w:rPr>
      <w:rFonts w:ascii="Times New Roman" w:hAnsi="Times New Roman"/>
      <w:sz w:val="26"/>
    </w:rPr>
  </w:style>
  <w:style w:type="character" w:styleId="PlaceholderText">
    <w:name w:val="Placeholder Text"/>
    <w:basedOn w:val="DefaultParagraphFont"/>
    <w:uiPriority w:val="99"/>
    <w:semiHidden/>
    <w:rsid w:val="00915178"/>
    <w:rPr>
      <w:color w:val="808080"/>
    </w:rPr>
  </w:style>
  <w:style w:type="character" w:customStyle="1" w:styleId="Heading1Char">
    <w:name w:val="Heading 1 Char"/>
    <w:basedOn w:val="DefaultParagraphFont"/>
    <w:link w:val="Heading1"/>
    <w:uiPriority w:val="9"/>
    <w:rsid w:val="002470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A45"/>
    <w:rsid w:val="003F7A45"/>
    <w:rsid w:val="00CB64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EB9B5-C8FB-49F5-B5FB-5A0C4DB7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6</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2018-12-07T06:44:00Z</dcterms:created>
  <dcterms:modified xsi:type="dcterms:W3CDTF">2018-12-07T15:00:00Z</dcterms:modified>
</cp:coreProperties>
</file>