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8EC" w:rsidRDefault="00E56C88">
      <w:pPr>
        <w:spacing w:before="240" w:line="300" w:lineRule="auto"/>
      </w:pPr>
      <w:r>
        <w:rPr>
          <w:i/>
          <w:iCs/>
          <w:sz w:val="24"/>
          <w:szCs w:val="24"/>
        </w:rPr>
        <w:t>Código Proyecto</w:t>
      </w:r>
      <w:r>
        <w:rPr>
          <w:sz w:val="24"/>
          <w:szCs w:val="24"/>
        </w:rPr>
        <w:t xml:space="preserve">:  </w:t>
      </w:r>
      <w:r>
        <w:rPr>
          <w:b/>
          <w:bCs/>
          <w:sz w:val="24"/>
          <w:szCs w:val="24"/>
        </w:rPr>
        <w:t>261-nnn</w:t>
      </w:r>
      <w:r>
        <w:br/>
      </w:r>
      <w:r>
        <w:rPr>
          <w:i/>
          <w:iCs/>
          <w:sz w:val="24"/>
          <w:szCs w:val="24"/>
        </w:rPr>
        <w:t>Fecha inicio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01/04/2026</w:t>
      </w:r>
      <w:r>
        <w:br/>
      </w:r>
      <w:r>
        <w:rPr>
          <w:i/>
          <w:iCs/>
          <w:sz w:val="24"/>
          <w:szCs w:val="24"/>
        </w:rPr>
        <w:t>Fecha cierre cursada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01/12/2026</w:t>
      </w:r>
      <w:r>
        <w:br/>
      </w:r>
      <w:r>
        <w:rPr>
          <w:i/>
          <w:iCs/>
          <w:sz w:val="24"/>
          <w:szCs w:val="24"/>
        </w:rPr>
        <w:t>Fecha límite para defensa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15/06/2027</w:t>
      </w:r>
      <w:r>
        <w:br/>
      </w:r>
      <w:r>
        <w:rPr>
          <w:i/>
          <w:iCs/>
          <w:sz w:val="24"/>
          <w:szCs w:val="24"/>
        </w:rPr>
        <w:t>Presupuesto acordado</w:t>
      </w:r>
      <w:r w:rsidR="001D5199">
        <w:rPr>
          <w:sz w:val="24"/>
          <w:szCs w:val="24"/>
        </w:rPr>
        <w:t>:</w:t>
      </w:r>
      <w:r w:rsidR="001D5199">
        <w:rPr>
          <w:sz w:val="24"/>
          <w:szCs w:val="24"/>
        </w:rPr>
        <w:tab/>
      </w:r>
      <w:r>
        <w:rPr>
          <w:sz w:val="24"/>
          <w:szCs w:val="24"/>
        </w:rPr>
        <w:t>$ 0,00 a ser imputados hasta el 01/11/2026</w:t>
      </w:r>
    </w:p>
    <w:p w:rsidR="007D28EC" w:rsidRDefault="007D28EC"/>
    <w:p w:rsidR="007D28EC" w:rsidRDefault="00E56C88">
      <w:pPr>
        <w:spacing w:after="60"/>
      </w:pPr>
      <w:r>
        <w:rPr>
          <w:i/>
          <w:iCs/>
          <w:sz w:val="24"/>
          <w:szCs w:val="24"/>
        </w:rPr>
        <w:t>ALUMNOS PARTICIPANTES: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1201"/>
        <w:gridCol w:w="3876"/>
        <w:gridCol w:w="1117"/>
      </w:tblGrid>
      <w:tr w:rsidR="007D28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Apellido, 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Legajo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Correo contacto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Firma</w:t>
            </w:r>
          </w:p>
        </w:tc>
      </w:tr>
      <w:tr w:rsidR="007D28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 xml:space="preserve">Neme Gabriel, </w:t>
            </w:r>
            <w:proofErr w:type="spellStart"/>
            <w:r>
              <w:rPr>
                <w:sz w:val="22"/>
                <w:szCs w:val="22"/>
              </w:rPr>
              <w:t>Valentin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63091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vnemegabriel@itba.edu.ar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</w:tr>
      <w:tr w:rsidR="007D28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</w:tr>
    </w:tbl>
    <w:p w:rsidR="007D28EC" w:rsidRDefault="007D28EC"/>
    <w:p w:rsidR="007D28EC" w:rsidRDefault="00E56C88">
      <w:pPr>
        <w:spacing w:before="200" w:after="60"/>
      </w:pPr>
      <w:r>
        <w:rPr>
          <w:i/>
          <w:iCs/>
          <w:sz w:val="24"/>
          <w:szCs w:val="24"/>
        </w:rPr>
        <w:t>TÍTULO DEL PROYECTO: (Debe lograr ser descriptivo del propósito del mismo)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7"/>
      </w:tblGrid>
      <w:tr w:rsidR="007D28EC">
        <w:tc>
          <w:tcPr>
            <w:tcW w:w="9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D28EC" w:rsidRDefault="00E56C88" w:rsidP="001D519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Viscosidad Espectral </w:t>
            </w:r>
            <w:proofErr w:type="spellStart"/>
            <w:r>
              <w:rPr>
                <w:b/>
                <w:bCs/>
                <w:sz w:val="24"/>
                <w:szCs w:val="24"/>
              </w:rPr>
              <w:t>Desvaneciente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para Flujos Turbulentos Compresibles: Caracterización del </w:t>
            </w:r>
            <w:proofErr w:type="spellStart"/>
            <w:r>
              <w:rPr>
                <w:b/>
                <w:bCs/>
                <w:sz w:val="24"/>
                <w:szCs w:val="24"/>
              </w:rPr>
              <w:t>K</w:t>
            </w:r>
            <w:r w:rsidR="001D5199">
              <w:rPr>
                <w:b/>
                <w:bCs/>
                <w:sz w:val="24"/>
                <w:szCs w:val="24"/>
              </w:rPr>
              <w:t>ernel</w:t>
            </w:r>
            <w:proofErr w:type="spellEnd"/>
            <w:r w:rsidR="001D5199">
              <w:rPr>
                <w:b/>
                <w:bCs/>
                <w:sz w:val="24"/>
                <w:szCs w:val="24"/>
              </w:rPr>
              <w:t xml:space="preserve"> SVV en Régimen </w:t>
            </w:r>
            <w:proofErr w:type="spellStart"/>
            <w:r w:rsidR="001D5199">
              <w:rPr>
                <w:b/>
                <w:bCs/>
                <w:sz w:val="24"/>
                <w:szCs w:val="24"/>
              </w:rPr>
              <w:t>Transónico</w:t>
            </w:r>
            <w:proofErr w:type="spellEnd"/>
            <w:r w:rsidR="001D5199"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:rsidR="007D28EC" w:rsidRDefault="007D28EC"/>
    <w:p w:rsidR="007D28EC" w:rsidRDefault="00E56C88" w:rsidP="001D5199">
      <w:pPr>
        <w:spacing w:before="200" w:after="60"/>
        <w:jc w:val="both"/>
      </w:pPr>
      <w:r>
        <w:rPr>
          <w:i/>
          <w:iCs/>
          <w:sz w:val="24"/>
          <w:szCs w:val="24"/>
        </w:rPr>
        <w:t>PLAN DE TRABAJO / PRINCIPALES ACTIVIDADES: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b/>
          <w:bCs/>
          <w:sz w:val="22"/>
          <w:szCs w:val="22"/>
        </w:rPr>
        <w:t xml:space="preserve">Marco Teórico (ABR–MAY 2026): </w:t>
      </w:r>
      <w:r>
        <w:rPr>
          <w:sz w:val="22"/>
          <w:szCs w:val="22"/>
        </w:rPr>
        <w:t xml:space="preserve">Revisión bibliográfica sobre turbulencia compresible, métodos </w:t>
      </w:r>
      <w:proofErr w:type="spellStart"/>
      <w:r>
        <w:rPr>
          <w:sz w:val="22"/>
          <w:szCs w:val="22"/>
        </w:rPr>
        <w:t>pseudo</w:t>
      </w:r>
      <w:proofErr w:type="spellEnd"/>
      <w:r>
        <w:rPr>
          <w:sz w:val="22"/>
          <w:szCs w:val="22"/>
        </w:rPr>
        <w:t>-espectrales (Fourier/</w:t>
      </w:r>
      <w:proofErr w:type="spellStart"/>
      <w:r>
        <w:rPr>
          <w:sz w:val="22"/>
          <w:szCs w:val="22"/>
        </w:rPr>
        <w:t>Chebyshev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Legendre</w:t>
      </w:r>
      <w:proofErr w:type="spellEnd"/>
      <w:r>
        <w:rPr>
          <w:sz w:val="22"/>
          <w:szCs w:val="22"/>
        </w:rPr>
        <w:t xml:space="preserve">), viscosidad espectral </w:t>
      </w:r>
      <w:proofErr w:type="spellStart"/>
      <w:r>
        <w:rPr>
          <w:sz w:val="22"/>
          <w:szCs w:val="22"/>
        </w:rPr>
        <w:t>desvaneciente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solvers</w:t>
      </w:r>
      <w:proofErr w:type="spellEnd"/>
      <w:r>
        <w:rPr>
          <w:sz w:val="22"/>
          <w:szCs w:val="22"/>
        </w:rPr>
        <w:t xml:space="preserve"> de alto orden (</w:t>
      </w:r>
      <w:proofErr w:type="spellStart"/>
      <w:r>
        <w:rPr>
          <w:sz w:val="22"/>
          <w:szCs w:val="22"/>
        </w:rPr>
        <w:t>Nektar</w:t>
      </w:r>
      <w:proofErr w:type="spellEnd"/>
      <w:r>
        <w:rPr>
          <w:sz w:val="22"/>
          <w:szCs w:val="22"/>
        </w:rPr>
        <w:t xml:space="preserve">++, Nek5000). Caracterización del estado del arte y de la brecha existente para el régimen compresible </w:t>
      </w:r>
      <w:proofErr w:type="spellStart"/>
      <w:r>
        <w:rPr>
          <w:sz w:val="22"/>
          <w:szCs w:val="22"/>
        </w:rPr>
        <w:t>transónico</w:t>
      </w:r>
      <w:proofErr w:type="spellEnd"/>
      <w:r>
        <w:rPr>
          <w:sz w:val="22"/>
          <w:szCs w:val="22"/>
        </w:rPr>
        <w:t>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b/>
          <w:bCs/>
          <w:sz w:val="22"/>
          <w:szCs w:val="22"/>
        </w:rPr>
        <w:t xml:space="preserve">Formulación Matemática (MAY–JUN 2026): </w:t>
      </w:r>
      <w:r>
        <w:rPr>
          <w:sz w:val="22"/>
          <w:szCs w:val="22"/>
        </w:rPr>
        <w:t xml:space="preserve">Formulación del sistema </w:t>
      </w:r>
      <w:proofErr w:type="spellStart"/>
      <w:r>
        <w:rPr>
          <w:sz w:val="22"/>
          <w:szCs w:val="22"/>
        </w:rPr>
        <w:t>Navier</w:t>
      </w:r>
      <w:proofErr w:type="spellEnd"/>
      <w:r>
        <w:rPr>
          <w:sz w:val="22"/>
          <w:szCs w:val="22"/>
        </w:rPr>
        <w:t xml:space="preserve">-Stokes compresible en forma </w:t>
      </w:r>
      <w:proofErr w:type="spellStart"/>
      <w:r>
        <w:rPr>
          <w:sz w:val="22"/>
          <w:szCs w:val="22"/>
        </w:rPr>
        <w:t>pseudo</w:t>
      </w:r>
      <w:proofErr w:type="spellEnd"/>
      <w:r>
        <w:rPr>
          <w:sz w:val="22"/>
          <w:szCs w:val="22"/>
        </w:rPr>
        <w:t>-espectral con estabilización SVV. Diseño del operador SVV adaptado al régimen compresible; definición del caso canónico 2-D y sus condiciones de borde.</w:t>
      </w:r>
      <w:r w:rsidR="001D5199">
        <w:rPr>
          <w:sz w:val="22"/>
          <w:szCs w:val="22"/>
        </w:rPr>
        <w:tab/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b/>
          <w:bCs/>
          <w:sz w:val="22"/>
          <w:szCs w:val="22"/>
        </w:rPr>
        <w:t xml:space="preserve">Desarrollo Computacional (JUN–JUL 2026): </w:t>
      </w:r>
      <w:r>
        <w:rPr>
          <w:sz w:val="22"/>
          <w:szCs w:val="22"/>
        </w:rPr>
        <w:t xml:space="preserve">Implementación de la biblioteca Python modular con </w:t>
      </w:r>
      <w:proofErr w:type="spellStart"/>
      <w:r>
        <w:rPr>
          <w:sz w:val="22"/>
          <w:szCs w:val="22"/>
        </w:rPr>
        <w:t>backends</w:t>
      </w:r>
      <w:proofErr w:type="spellEnd"/>
      <w:r>
        <w:rPr>
          <w:sz w:val="22"/>
          <w:szCs w:val="22"/>
        </w:rPr>
        <w:t xml:space="preserve"> FFTW e interfaz a </w:t>
      </w:r>
      <w:proofErr w:type="spellStart"/>
      <w:r>
        <w:rPr>
          <w:sz w:val="22"/>
          <w:szCs w:val="22"/>
        </w:rPr>
        <w:t>Nektar</w:t>
      </w:r>
      <w:proofErr w:type="spellEnd"/>
      <w:r>
        <w:rPr>
          <w:sz w:val="22"/>
          <w:szCs w:val="22"/>
        </w:rPr>
        <w:t xml:space="preserve">++. Validación del </w:t>
      </w:r>
      <w:proofErr w:type="spellStart"/>
      <w:r>
        <w:rPr>
          <w:sz w:val="22"/>
          <w:szCs w:val="22"/>
        </w:rPr>
        <w:t>solver</w:t>
      </w:r>
      <w:proofErr w:type="spellEnd"/>
      <w:r>
        <w:rPr>
          <w:sz w:val="22"/>
          <w:szCs w:val="22"/>
        </w:rPr>
        <w:t xml:space="preserve"> en el límite incompresible y extensión a </w:t>
      </w:r>
      <w:proofErr w:type="spellStart"/>
      <w:r>
        <w:rPr>
          <w:sz w:val="22"/>
          <w:szCs w:val="22"/>
        </w:rPr>
        <w:t>Navier</w:t>
      </w:r>
      <w:proofErr w:type="spellEnd"/>
      <w:r>
        <w:rPr>
          <w:sz w:val="22"/>
          <w:szCs w:val="22"/>
        </w:rPr>
        <w:t>-Stokes compresible.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b/>
          <w:bCs/>
          <w:sz w:val="22"/>
          <w:szCs w:val="22"/>
        </w:rPr>
        <w:t xml:space="preserve">Estudio Paramétrico y Régimen </w:t>
      </w:r>
      <w:proofErr w:type="spellStart"/>
      <w:r>
        <w:rPr>
          <w:b/>
          <w:bCs/>
          <w:sz w:val="22"/>
          <w:szCs w:val="22"/>
        </w:rPr>
        <w:t>Transónico</w:t>
      </w:r>
      <w:proofErr w:type="spellEnd"/>
      <w:r>
        <w:rPr>
          <w:b/>
          <w:bCs/>
          <w:sz w:val="22"/>
          <w:szCs w:val="22"/>
        </w:rPr>
        <w:t xml:space="preserve"> (JUL–AGO 2026): </w:t>
      </w:r>
      <w:r>
        <w:rPr>
          <w:sz w:val="22"/>
          <w:szCs w:val="22"/>
        </w:rPr>
        <w:t xml:space="preserve">Caracterización de la sensibilidad del </w:t>
      </w:r>
      <w:proofErr w:type="spellStart"/>
      <w:r>
        <w:rPr>
          <w:sz w:val="22"/>
          <w:szCs w:val="22"/>
        </w:rPr>
        <w:t>kernel</w:t>
      </w:r>
      <w:proofErr w:type="spellEnd"/>
      <w:r>
        <w:rPr>
          <w:sz w:val="22"/>
          <w:szCs w:val="22"/>
        </w:rPr>
        <w:t xml:space="preserve"> SVV (umbral de activación, amplitud) a distintos números de Mach. Derivación de la corrección Mach para el parámetro de umbral; identificación del resultado científico central.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b/>
          <w:bCs/>
          <w:sz w:val="22"/>
          <w:szCs w:val="22"/>
        </w:rPr>
        <w:t xml:space="preserve">Benchmarking y Validación (AGO–SET 2026): </w:t>
      </w:r>
      <w:r>
        <w:rPr>
          <w:sz w:val="22"/>
          <w:szCs w:val="22"/>
        </w:rPr>
        <w:t xml:space="preserve">Comparación del </w:t>
      </w:r>
      <w:proofErr w:type="spellStart"/>
      <w:r>
        <w:rPr>
          <w:sz w:val="22"/>
          <w:szCs w:val="22"/>
        </w:rPr>
        <w:t>solver</w:t>
      </w:r>
      <w:proofErr w:type="spellEnd"/>
      <w:r>
        <w:rPr>
          <w:sz w:val="22"/>
          <w:szCs w:val="22"/>
        </w:rPr>
        <w:t xml:space="preserve"> espectral contra métodos de volúmenes finitos a igual resolución y tiempo de cómputo. Demostración de portabilidad en el </w:t>
      </w:r>
      <w:proofErr w:type="spellStart"/>
      <w:r>
        <w:rPr>
          <w:sz w:val="22"/>
          <w:szCs w:val="22"/>
        </w:rPr>
        <w:t>benchmark</w:t>
      </w:r>
      <w:proofErr w:type="spellEnd"/>
      <w:r>
        <w:rPr>
          <w:sz w:val="22"/>
          <w:szCs w:val="22"/>
        </w:rPr>
        <w:t xml:space="preserve"> aerodinámico NACA 0012 </w:t>
      </w:r>
      <w:proofErr w:type="spellStart"/>
      <w:r>
        <w:rPr>
          <w:sz w:val="22"/>
          <w:szCs w:val="22"/>
        </w:rPr>
        <w:t>transónico</w:t>
      </w:r>
      <w:proofErr w:type="spellEnd"/>
      <w:r>
        <w:rPr>
          <w:sz w:val="22"/>
          <w:szCs w:val="22"/>
        </w:rPr>
        <w:t xml:space="preserve"> vía </w:t>
      </w:r>
      <w:proofErr w:type="spellStart"/>
      <w:r>
        <w:rPr>
          <w:sz w:val="22"/>
          <w:szCs w:val="22"/>
        </w:rPr>
        <w:t>Nektar</w:t>
      </w:r>
      <w:proofErr w:type="spellEnd"/>
      <w:r>
        <w:rPr>
          <w:sz w:val="22"/>
          <w:szCs w:val="22"/>
        </w:rPr>
        <w:t>++.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b/>
          <w:bCs/>
          <w:sz w:val="22"/>
          <w:szCs w:val="22"/>
        </w:rPr>
        <w:t xml:space="preserve">Integración, Documentación y Escritura (SET–NOV 2026): </w:t>
      </w:r>
      <w:r>
        <w:rPr>
          <w:sz w:val="22"/>
          <w:szCs w:val="22"/>
        </w:rPr>
        <w:t xml:space="preserve">Finalización de la biblioteca, documentación de la API, </w:t>
      </w:r>
      <w:proofErr w:type="spellStart"/>
      <w:r>
        <w:rPr>
          <w:sz w:val="22"/>
          <w:szCs w:val="22"/>
        </w:rPr>
        <w:t>profiling</w:t>
      </w:r>
      <w:proofErr w:type="spellEnd"/>
      <w:r>
        <w:rPr>
          <w:sz w:val="22"/>
          <w:szCs w:val="22"/>
        </w:rPr>
        <w:t xml:space="preserve"> de rendimiento y publicación como código abierto. Redacción del informe final y preparación de la defensa oral.</w:t>
      </w:r>
    </w:p>
    <w:p w:rsidR="007D28EC" w:rsidRDefault="007D28EC" w:rsidP="001D5199">
      <w:pPr>
        <w:jc w:val="both"/>
      </w:pPr>
    </w:p>
    <w:p w:rsidR="007D28EC" w:rsidRDefault="00E56C88" w:rsidP="001D5199">
      <w:pPr>
        <w:spacing w:before="200" w:after="60"/>
        <w:jc w:val="both"/>
      </w:pPr>
      <w:r>
        <w:rPr>
          <w:i/>
          <w:iCs/>
          <w:sz w:val="24"/>
          <w:szCs w:val="24"/>
        </w:rPr>
        <w:t>OBJETIVOS / ENTREGABLES (Indicar fecha esperada/acordada de cada entrega, vinculante):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>11/5: Reporte de investigación con marco teórico (SVV, turbulencia compresible, métodos espectrales), análisis de aplicaciones industriales y motivación científica del proyecto.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1/6: Preliminar del modelo matemático (NS compresible </w:t>
      </w:r>
      <w:proofErr w:type="spellStart"/>
      <w:r>
        <w:rPr>
          <w:sz w:val="22"/>
          <w:szCs w:val="22"/>
        </w:rPr>
        <w:t>pseudo</w:t>
      </w:r>
      <w:proofErr w:type="spellEnd"/>
      <w:r>
        <w:rPr>
          <w:sz w:val="22"/>
          <w:szCs w:val="22"/>
        </w:rPr>
        <w:t xml:space="preserve">-espectral, operador SVV, descomposición de </w:t>
      </w:r>
      <w:proofErr w:type="spellStart"/>
      <w:r>
        <w:rPr>
          <w:sz w:val="22"/>
          <w:szCs w:val="22"/>
        </w:rPr>
        <w:t>Helmholtz</w:t>
      </w:r>
      <w:proofErr w:type="spellEnd"/>
      <w:r>
        <w:rPr>
          <w:sz w:val="22"/>
          <w:szCs w:val="22"/>
        </w:rPr>
        <w:t>).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>9/6: Informe del modelo matemático incluyendo formulación, condiciones de borde y parámetros del caso canónico 2-D.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>13/7: Preliminar con criterios de elección de herramientas (</w:t>
      </w:r>
      <w:proofErr w:type="spellStart"/>
      <w:r>
        <w:rPr>
          <w:sz w:val="22"/>
          <w:szCs w:val="22"/>
        </w:rPr>
        <w:t>Nektar</w:t>
      </w:r>
      <w:proofErr w:type="spellEnd"/>
      <w:r>
        <w:rPr>
          <w:sz w:val="22"/>
          <w:szCs w:val="22"/>
        </w:rPr>
        <w:t xml:space="preserve">++, FFTW, </w:t>
      </w:r>
      <w:proofErr w:type="spellStart"/>
      <w:r>
        <w:rPr>
          <w:sz w:val="22"/>
          <w:szCs w:val="22"/>
        </w:rPr>
        <w:t>pyFFTW</w:t>
      </w:r>
      <w:proofErr w:type="spellEnd"/>
      <w:r>
        <w:rPr>
          <w:sz w:val="22"/>
          <w:szCs w:val="22"/>
        </w:rPr>
        <w:t xml:space="preserve">) y código propio de la biblioteca </w:t>
      </w:r>
      <w:r w:rsidR="00D6445F">
        <w:rPr>
          <w:sz w:val="22"/>
          <w:szCs w:val="22"/>
        </w:rPr>
        <w:t>espectral compresible</w:t>
      </w:r>
      <w:r>
        <w:rPr>
          <w:sz w:val="22"/>
          <w:szCs w:val="22"/>
        </w:rPr>
        <w:t>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31/7: Informe final con criterios de elección, código documentado y validación funcional del </w:t>
      </w:r>
      <w:proofErr w:type="spellStart"/>
      <w:r>
        <w:rPr>
          <w:sz w:val="22"/>
          <w:szCs w:val="22"/>
        </w:rPr>
        <w:t>solver</w:t>
      </w:r>
      <w:proofErr w:type="spellEnd"/>
      <w:r w:rsidR="00D6445F">
        <w:rPr>
          <w:sz w:val="22"/>
          <w:szCs w:val="22"/>
        </w:rPr>
        <w:t>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17/8: Simulación de casos base y </w:t>
      </w:r>
      <w:proofErr w:type="spellStart"/>
      <w:r>
        <w:rPr>
          <w:sz w:val="22"/>
          <w:szCs w:val="22"/>
        </w:rPr>
        <w:t>benchmarks</w:t>
      </w:r>
      <w:proofErr w:type="spellEnd"/>
      <w:r w:rsidR="00D6445F">
        <w:rPr>
          <w:sz w:val="22"/>
          <w:szCs w:val="22"/>
        </w:rPr>
        <w:t>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14/9: Preliminar de resultados </w:t>
      </w:r>
      <w:proofErr w:type="spellStart"/>
      <w:r>
        <w:rPr>
          <w:sz w:val="22"/>
          <w:szCs w:val="22"/>
        </w:rPr>
        <w:t>transónicos</w:t>
      </w:r>
      <w:proofErr w:type="spellEnd"/>
      <w:r w:rsidR="00D6445F">
        <w:rPr>
          <w:sz w:val="22"/>
          <w:szCs w:val="22"/>
        </w:rPr>
        <w:t>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t>30/9: Análisis completo de resultados y redacción preliminar del informe final.</w:t>
      </w:r>
    </w:p>
    <w:p w:rsidR="007D28EC" w:rsidRDefault="00E56C88" w:rsidP="001D5199">
      <w:pPr>
        <w:pStyle w:val="Prrafodelista"/>
        <w:numPr>
          <w:ilvl w:val="0"/>
          <w:numId w:val="2"/>
        </w:numPr>
        <w:jc w:val="both"/>
      </w:pPr>
      <w:r>
        <w:rPr>
          <w:sz w:val="22"/>
          <w:szCs w:val="22"/>
        </w:rPr>
        <w:lastRenderedPageBreak/>
        <w:t>14/10: Informe final de tesis.</w:t>
      </w:r>
    </w:p>
    <w:p w:rsidR="007D28EC" w:rsidRDefault="007D28EC"/>
    <w:p w:rsidR="007D28EC" w:rsidRDefault="00E56C88">
      <w:pPr>
        <w:spacing w:before="200" w:after="60"/>
      </w:pPr>
      <w:r>
        <w:rPr>
          <w:i/>
          <w:iCs/>
          <w:sz w:val="24"/>
          <w:szCs w:val="24"/>
        </w:rPr>
        <w:t>DOCENTES: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2"/>
        <w:gridCol w:w="1451"/>
        <w:gridCol w:w="1411"/>
        <w:gridCol w:w="2673"/>
        <w:gridCol w:w="2740"/>
      </w:tblGrid>
      <w:tr w:rsidR="002956A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Función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Organización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Apellido, Nombre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Correo contacto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i/>
                <w:iCs/>
              </w:rPr>
              <w:t>Firma</w:t>
            </w:r>
          </w:p>
        </w:tc>
      </w:tr>
      <w:tr w:rsidR="002956A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Tutor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ITBA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Medina, Pablo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pmedina@itba.edu.ar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2956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33500" cy="63216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70" r="13800" b="9749"/>
                          <a:stretch/>
                        </pic:blipFill>
                        <pic:spPr bwMode="auto">
                          <a:xfrm>
                            <a:off x="0" y="0"/>
                            <a:ext cx="1403288" cy="665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6A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Cotutor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Curtin</w:t>
            </w:r>
            <w:proofErr w:type="spellEnd"/>
            <w:r>
              <w:rPr>
                <w:sz w:val="22"/>
                <w:szCs w:val="22"/>
              </w:rPr>
              <w:t xml:space="preserve"> U.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 xml:space="preserve">Calo, </w:t>
            </w:r>
            <w:proofErr w:type="spellStart"/>
            <w:r>
              <w:rPr>
                <w:sz w:val="22"/>
                <w:szCs w:val="22"/>
              </w:rPr>
              <w:t>Victor</w:t>
            </w:r>
            <w:proofErr w:type="spellEnd"/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Victor.Calo@Curtin.edu.au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D6445F">
            <w:pPr>
              <w:jc w:val="center"/>
            </w:pPr>
            <w:r w:rsidRPr="005805DB">
              <w:rPr>
                <w:rFonts w:ascii="Calibri" w:hAnsi="Calibri" w:cs="Arial"/>
                <w:noProof/>
                <w:color w:val="000000"/>
              </w:rPr>
              <w:drawing>
                <wp:inline distT="0" distB="0" distL="0" distR="0" wp14:anchorId="5A5E2B75" wp14:editId="69B5FE1E">
                  <wp:extent cx="1587544" cy="421642"/>
                  <wp:effectExtent l="0" t="0" r="0" b="0"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114" cy="423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2956A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Coordinador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E56C88">
            <w:pPr>
              <w:jc w:val="center"/>
            </w:pPr>
            <w:r>
              <w:rPr>
                <w:sz w:val="22"/>
                <w:szCs w:val="22"/>
              </w:rPr>
              <w:t>ITBA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28EC" w:rsidRDefault="007D28EC">
            <w:pPr>
              <w:jc w:val="center"/>
            </w:pPr>
          </w:p>
        </w:tc>
      </w:tr>
    </w:tbl>
    <w:p w:rsidR="00E56C88" w:rsidRDefault="00E56C88"/>
    <w:sectPr w:rsidR="00E56C88">
      <w:pgSz w:w="11907" w:h="16839"/>
      <w:pgMar w:top="709" w:right="1080" w:bottom="426" w:left="108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555F5"/>
    <w:multiLevelType w:val="hybridMultilevel"/>
    <w:tmpl w:val="C2863298"/>
    <w:lvl w:ilvl="0" w:tplc="5E78BA0A">
      <w:start w:val="1"/>
      <w:numFmt w:val="bullet"/>
      <w:lvlText w:val="•"/>
      <w:lvlJc w:val="left"/>
      <w:pPr>
        <w:spacing w:after="60"/>
        <w:ind w:left="720" w:hanging="360"/>
      </w:pPr>
    </w:lvl>
    <w:lvl w:ilvl="1" w:tplc="CC08D624">
      <w:numFmt w:val="decimal"/>
      <w:lvlText w:val=""/>
      <w:lvlJc w:val="left"/>
    </w:lvl>
    <w:lvl w:ilvl="2" w:tplc="D85E273C">
      <w:numFmt w:val="decimal"/>
      <w:lvlText w:val=""/>
      <w:lvlJc w:val="left"/>
    </w:lvl>
    <w:lvl w:ilvl="3" w:tplc="9CE0DBAC">
      <w:numFmt w:val="decimal"/>
      <w:lvlText w:val=""/>
      <w:lvlJc w:val="left"/>
    </w:lvl>
    <w:lvl w:ilvl="4" w:tplc="D450840C">
      <w:numFmt w:val="decimal"/>
      <w:lvlText w:val=""/>
      <w:lvlJc w:val="left"/>
    </w:lvl>
    <w:lvl w:ilvl="5" w:tplc="5D807C3C">
      <w:numFmt w:val="decimal"/>
      <w:lvlText w:val=""/>
      <w:lvlJc w:val="left"/>
    </w:lvl>
    <w:lvl w:ilvl="6" w:tplc="6B609DB6">
      <w:numFmt w:val="decimal"/>
      <w:lvlText w:val=""/>
      <w:lvlJc w:val="left"/>
    </w:lvl>
    <w:lvl w:ilvl="7" w:tplc="E330604E">
      <w:numFmt w:val="decimal"/>
      <w:lvlText w:val=""/>
      <w:lvlJc w:val="left"/>
    </w:lvl>
    <w:lvl w:ilvl="8" w:tplc="0394C42A">
      <w:numFmt w:val="decimal"/>
      <w:lvlText w:val=""/>
      <w:lvlJc w:val="left"/>
    </w:lvl>
  </w:abstractNum>
  <w:abstractNum w:abstractNumId="1" w15:restartNumberingAfterBreak="0">
    <w:nsid w:val="783304F4"/>
    <w:multiLevelType w:val="hybridMultilevel"/>
    <w:tmpl w:val="8296590A"/>
    <w:lvl w:ilvl="0" w:tplc="606458A2">
      <w:start w:val="1"/>
      <w:numFmt w:val="bullet"/>
      <w:lvlText w:val="●"/>
      <w:lvlJc w:val="left"/>
      <w:pPr>
        <w:ind w:left="720" w:hanging="360"/>
      </w:pPr>
    </w:lvl>
    <w:lvl w:ilvl="1" w:tplc="BF6E898E">
      <w:start w:val="1"/>
      <w:numFmt w:val="bullet"/>
      <w:lvlText w:val="○"/>
      <w:lvlJc w:val="left"/>
      <w:pPr>
        <w:ind w:left="1440" w:hanging="360"/>
      </w:pPr>
    </w:lvl>
    <w:lvl w:ilvl="2" w:tplc="6F188EF6">
      <w:start w:val="1"/>
      <w:numFmt w:val="bullet"/>
      <w:lvlText w:val="■"/>
      <w:lvlJc w:val="left"/>
      <w:pPr>
        <w:ind w:left="2160" w:hanging="360"/>
      </w:pPr>
    </w:lvl>
    <w:lvl w:ilvl="3" w:tplc="EAB02732">
      <w:start w:val="1"/>
      <w:numFmt w:val="bullet"/>
      <w:lvlText w:val="●"/>
      <w:lvlJc w:val="left"/>
      <w:pPr>
        <w:ind w:left="2880" w:hanging="360"/>
      </w:pPr>
    </w:lvl>
    <w:lvl w:ilvl="4" w:tplc="1B60A15C">
      <w:start w:val="1"/>
      <w:numFmt w:val="bullet"/>
      <w:lvlText w:val="○"/>
      <w:lvlJc w:val="left"/>
      <w:pPr>
        <w:ind w:left="3600" w:hanging="360"/>
      </w:pPr>
    </w:lvl>
    <w:lvl w:ilvl="5" w:tplc="CA4EBF88">
      <w:start w:val="1"/>
      <w:numFmt w:val="bullet"/>
      <w:lvlText w:val="■"/>
      <w:lvlJc w:val="left"/>
      <w:pPr>
        <w:ind w:left="4320" w:hanging="360"/>
      </w:pPr>
    </w:lvl>
    <w:lvl w:ilvl="6" w:tplc="549AEBD8">
      <w:start w:val="1"/>
      <w:numFmt w:val="bullet"/>
      <w:lvlText w:val="●"/>
      <w:lvlJc w:val="left"/>
      <w:pPr>
        <w:ind w:left="5040" w:hanging="360"/>
      </w:pPr>
    </w:lvl>
    <w:lvl w:ilvl="7" w:tplc="7AEE9234">
      <w:start w:val="1"/>
      <w:numFmt w:val="bullet"/>
      <w:lvlText w:val="●"/>
      <w:lvlJc w:val="left"/>
      <w:pPr>
        <w:ind w:left="5760" w:hanging="360"/>
      </w:pPr>
    </w:lvl>
    <w:lvl w:ilvl="8" w:tplc="3A4E51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8EC"/>
    <w:rsid w:val="001D5199"/>
    <w:rsid w:val="002956A0"/>
    <w:rsid w:val="007D28EC"/>
    <w:rsid w:val="00D6445F"/>
    <w:rsid w:val="00E56C88"/>
    <w:rsid w:val="00FA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567EFD-95EA-4927-B946-36BCF6AA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ALBERTO MEDINA</cp:lastModifiedBy>
  <cp:revision>4</cp:revision>
  <dcterms:created xsi:type="dcterms:W3CDTF">2026-04-05T21:11:00Z</dcterms:created>
  <dcterms:modified xsi:type="dcterms:W3CDTF">2026-04-06T16:37:00Z</dcterms:modified>
</cp:coreProperties>
</file>