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AEROELASTIC STABILITY ANALYSIS OF COMPOSITE FINS ON A 30,000 FT COTS SOUNDING ROCKET USING HIGH-FIDELITY COMPUTATIONAL METHODS</w:t>
      </w:r>
    </w:p>
    <w:p>
      <w:pPr>
        <w:spacing w:after="80" w:before="0"/>
        <w:jc w:val="center"/>
      </w:pPr>
      <w:r>
        <w:rPr>
          <w:rFonts w:ascii="Times New Roman" w:cs="Times New Roman" w:eastAsia="Times New Roman" w:hAnsi="Times New Roman"/>
          <w:i/>
          <w:iCs/>
          <w:sz w:val="22"/>
          <w:szCs w:val="22"/>
        </w:rPr>
        <w:t xml:space="preserve">Team 207 Technical Presentation to the 2026 IREC</w:t>
      </w:r>
    </w:p>
    <w:p>
      <w:pPr>
        <w:pBdr>
          <w:bottom w:val="single" w:color="AAAAAA" w:sz="4" w:space="6"/>
        </w:pBdr>
        <w:spacing w:after="200" w:before="0"/>
        <w:jc w:val="center"/>
      </w:pPr>
      <w:r>
        <w:rPr>
          <w:rFonts w:ascii="Times New Roman" w:cs="Times New Roman" w:eastAsia="Times New Roman" w:hAnsi="Times New Roman"/>
          <w:i/>
          <w:iCs/>
          <w:sz w:val="20"/>
          <w:szCs w:val="20"/>
        </w:rPr>
        <w:t xml:space="preserve">Instituto Tecnológico de Buenos Aires (ITBA) — Buenos Aires, Argentina</w:t>
      </w:r>
    </w:p>
    <w:p>
      <w:pPr>
        <w:spacing w:after="80" w:before="0"/>
      </w:pPr>
      <w:r>
        <w:rPr>
          <w:rFonts w:ascii="Times New Roman" w:cs="Times New Roman" w:eastAsia="Times New Roman" w:hAnsi="Times New Roman"/>
          <w:sz w:val="20"/>
          <w:szCs w:val="20"/>
        </w:rPr>
        <w:t xml:space="preserve"/>
      </w:r>
    </w:p>
    <w:p>
      <w:pPr>
        <w:spacing w:after="80" w:before="160"/>
        <w:jc w:val="left"/>
      </w:pPr>
      <w:r>
        <w:rPr>
          <w:rFonts w:ascii="Times New Roman" w:cs="Times New Roman" w:eastAsia="Times New Roman" w:hAnsi="Times New Roman"/>
          <w:b/>
          <w:bCs/>
          <w:caps/>
          <w:sz w:val="20"/>
          <w:szCs w:val="20"/>
        </w:rPr>
        <w:t xml:space="preserve">I. Introduction</w:t>
      </w:r>
    </w:p>
    <w:p>
      <w:pPr>
        <w:spacing w:after="120" w:before="0" w:line="240" w:lineRule="auto"/>
        <w:jc w:val="both"/>
      </w:pPr>
      <w:r>
        <w:rPr>
          <w:rFonts w:ascii="Times New Roman" w:cs="Times New Roman" w:eastAsia="Times New Roman" w:hAnsi="Times New Roman"/>
          <w:sz w:val="20"/>
          <w:szCs w:val="20"/>
        </w:rPr>
        <w:t xml:space="preserve">Fin flutter is an aeroelastic instability in which aerodynamic forces couple with structural vibration modes to produce self-sustained, divergent oscillations. For sounding rockets operating in the supersonic regime, this phenomenon represents a critical structural failure mode capable of destroying a vehicle within milliseconds of onset. As intercollegiate rocketry increasingly pushes toward higher altitudes and extended supersonic flight phases, rigorous aeroelastic stability analysis becomes essential for responsible vehicle design and the safety of competition operations.</w:t>
      </w:r>
    </w:p>
    <w:p>
      <w:pPr>
        <w:spacing w:after="120" w:before="0" w:line="240" w:lineRule="auto"/>
        <w:jc w:val="both"/>
      </w:pPr>
      <w:r>
        <w:rPr>
          <w:rFonts w:ascii="Times New Roman" w:cs="Times New Roman" w:eastAsia="Times New Roman" w:hAnsi="Times New Roman"/>
          <w:sz w:val="20"/>
          <w:szCs w:val="20"/>
        </w:rPr>
        <w:t xml:space="preserve">Team 207 at the Instituto Tecnológico de Buenos Aires has developed a high-fidelity end-to-end numerical solver that predicts fin flutter onset, divergence boundaries, and stability margins throughout the full supersonic portion of a flight trajectory. The target vehicle competes in the 30,000 ft AGL category with COTS propulsion, where supersonic airspeeds are routinely achieved. The fins under analysis are trapezoidal planforms — root chord 300 mm, tip chord 150 mm, semi-span 160 mm, leading-edge sweep angle 57.4 degrees — fabricated from T700/epoxy carbon fiber composite with a tailored 18-ply symmetric laminate and a total thickness of 6 mm. These are the actual flight hardware fins, not simplified surrogates.</w:t>
      </w:r>
    </w:p>
    <w:p>
      <w:pPr>
        <w:spacing w:after="80" w:before="160"/>
        <w:jc w:val="left"/>
      </w:pPr>
      <w:r>
        <w:rPr>
          <w:rFonts w:ascii="Times New Roman" w:cs="Times New Roman" w:eastAsia="Times New Roman" w:hAnsi="Times New Roman"/>
          <w:b/>
          <w:bCs/>
          <w:caps/>
          <w:sz w:val="20"/>
          <w:szCs w:val="20"/>
        </w:rPr>
        <w:t xml:space="preserve">II. Theoretical Framework</w:t>
      </w:r>
    </w:p>
    <w:p>
      <w:pPr>
        <w:spacing w:after="120" w:before="0" w:line="240" w:lineRule="auto"/>
        <w:jc w:val="both"/>
      </w:pPr>
      <w:r>
        <w:rPr>
          <w:rFonts w:ascii="Times New Roman" w:cs="Times New Roman" w:eastAsia="Times New Roman" w:hAnsi="Times New Roman"/>
          <w:sz w:val="20"/>
          <w:szCs w:val="20"/>
        </w:rPr>
        <w:t xml:space="preserve">The computational framework rests on three coupled theoretical pillars: Classical Lamination Theory for composite structural characterization, a Q4 Mindlin-Reissner shell finite element model for structural dynamics, and supersonic piston theory for aerodynamic load prediction.</w:t>
      </w:r>
    </w:p>
    <w:p>
      <w:pPr>
        <w:spacing w:after="120" w:before="0" w:line="240" w:lineRule="auto"/>
        <w:jc w:val="both"/>
      </w:pPr>
      <w:r>
        <w:rPr>
          <w:rFonts w:ascii="Times New Roman" w:cs="Times New Roman" w:eastAsia="Times New Roman" w:hAnsi="Times New Roman"/>
          <w:sz w:val="20"/>
          <w:szCs w:val="20"/>
        </w:rPr>
        <w:t xml:space="preserve">Classical Lamination Theory provides the connection between the ply-level fiber-matrix constitutive properties and the structural response of the complete laminate stack. By applying the transformation of reduced stiffness coefficients through all eighteen plies and integrating their contributions through the laminate thickness, the solver computes the complete ABD stiffness matrix governing membrane, coupling, and bending behavior. The critical output is the bending stiffness matrix D, with particular emphasis on the off-diagonal term D16, which quantifies bending-torsion coupling. The fabricated laminate configuration — alternating biaxial non-crimp fabric plies at plus-and-minus 65 degrees alternated with woven plies at 20 degrees from the chord axis — yields a D16 coupling coefficient of 16.35 Newton-meters, producing a deliberate aeroelastic tailoring effect that constitutes the primary design innovation.</w:t>
      </w:r>
    </w:p>
    <w:p>
      <w:pPr>
        <w:spacing w:after="120" w:before="0" w:line="240" w:lineRule="auto"/>
        <w:jc w:val="both"/>
      </w:pPr>
      <w:r>
        <w:rPr>
          <w:rFonts w:ascii="Times New Roman" w:cs="Times New Roman" w:eastAsia="Times New Roman" w:hAnsi="Times New Roman"/>
          <w:sz w:val="20"/>
          <w:szCs w:val="20"/>
        </w:rPr>
        <w:t xml:space="preserve">The structural finite element model employs a 24-by-12 mesh of Q4 Mindlin-Reissner quadrilateral shell elements distributed over the trapezoidal fin geometry. All nodes at the root edge are fully clamped, enforcing the rigid fuselage attachment boundary condition. Selective reduced integration is applied to prevent shear locking: two-by-two Gauss quadrature is used for membrane and bending contributions, while one-by-one quadrature handles transverse shear terms. A lumped mass matrix is assembled from the laminate areal density, and eigenvalue decomposition of the structural system yields the natural frequencies and mode shapes that govern the aeroelastic response.</w:t>
      </w:r>
    </w:p>
    <w:p>
      <w:pPr>
        <w:spacing w:after="120" w:before="0" w:line="240" w:lineRule="auto"/>
        <w:jc w:val="both"/>
      </w:pPr>
      <w:r>
        <w:rPr>
          <w:rFonts w:ascii="Times New Roman" w:cs="Times New Roman" w:eastAsia="Times New Roman" w:hAnsi="Times New Roman"/>
          <w:sz w:val="20"/>
          <w:szCs w:val="20"/>
        </w:rPr>
        <w:t xml:space="preserve">Aerodynamic loads in the supersonic regime are computed using piston theory, following the theoretical formulations established by Lighthill in 1953 and extended by Ashley and Zartarian in 1956. This model relates the local aerodynamic pressure at each surface point to the local normal surface velocity in the supersonic flow, corrected for the Prandtl-Glauert compressibility factor derived from the local Mach number. The Generalized Aerodynamic Force matrix, which couples the aerodynamic pressure distribution to the structural mode shapes, is computed by numerical quadrature over the finite element mesh at seven reduced frequencies spanning the quasi-steady to moderately unsteady range. The resulting frequency-domain aerodynamic operator is Hermitian-symmetrized and combined with the structural stiffness and mass matrices in the aeroelastic stability eigenvalue problem.</w:t>
      </w:r>
    </w:p>
    <w:p>
      <w:pPr>
        <w:spacing w:after="80" w:before="160"/>
        <w:jc w:val="left"/>
      </w:pPr>
      <w:r>
        <w:rPr>
          <w:rFonts w:ascii="Times New Roman" w:cs="Times New Roman" w:eastAsia="Times New Roman" w:hAnsi="Times New Roman"/>
          <w:b/>
          <w:bCs/>
          <w:caps/>
          <w:sz w:val="20"/>
          <w:szCs w:val="20"/>
        </w:rPr>
        <w:t xml:space="preserve">III. Computational Implementation</w:t>
      </w:r>
    </w:p>
    <w:p>
      <w:pPr>
        <w:spacing w:after="120" w:before="0" w:line="240" w:lineRule="auto"/>
        <w:jc w:val="both"/>
      </w:pPr>
      <w:r>
        <w:rPr>
          <w:rFonts w:ascii="Times New Roman" w:cs="Times New Roman" w:eastAsia="Times New Roman" w:hAnsi="Times New Roman"/>
          <w:sz w:val="20"/>
          <w:szCs w:val="20"/>
        </w:rPr>
        <w:t xml:space="preserve">The solver is implemented in MATLAB and operates as an eight-step automated pipeline. Starting from a laminate configuration file and a flight trajectory data file, the pipeline filters for supersonic flight conditions using the International Standard Atmosphere model for density, speed of sound, temperature, and pressure at tropospheric and stratospheric altitudes. The structural finite element model is assembled and solved modally to extract the first six structural modes. The Generalized Aerodynamic Force matrix is then computed for each reduced frequency entry, and the quasi-steady aeroelastic stiffness matrix is formed by averaging the aerodynamic operator over the computed reduced frequencies. The flutter stability margin at each flight point is determined from the sign of the eigenvalues of the aeroelastic stiffness matrix: positive eigenvalues indicate stable conditions, while a zero crossing identifies the flutter dynamic pressure. The solver automatically generates flutter envelope plots, divergence spectra, and structural mode shape visualizations as outputs alongside the raw numerical data.</w:t>
      </w:r>
    </w:p>
    <w:p>
      <w:pPr>
        <w:spacing w:after="80" w:before="160"/>
        <w:jc w:val="left"/>
      </w:pPr>
      <w:r>
        <w:rPr>
          <w:rFonts w:ascii="Times New Roman" w:cs="Times New Roman" w:eastAsia="Times New Roman" w:hAnsi="Times New Roman"/>
          <w:b/>
          <w:bCs/>
          <w:caps/>
          <w:sz w:val="20"/>
          <w:szCs w:val="20"/>
        </w:rPr>
        <w:t xml:space="preserve">IV. Results</w:t>
      </w:r>
    </w:p>
    <w:p>
      <w:pPr>
        <w:spacing w:after="120" w:before="0" w:line="240" w:lineRule="auto"/>
        <w:jc w:val="both"/>
      </w:pPr>
      <w:r>
        <w:rPr>
          <w:rFonts w:ascii="Times New Roman" w:cs="Times New Roman" w:eastAsia="Times New Roman" w:hAnsi="Times New Roman"/>
          <w:sz w:val="20"/>
          <w:szCs w:val="20"/>
        </w:rPr>
        <w:t xml:space="preserve">Analysis of the flight trajectory yields 246 supersonic flight points spanning Mach numbers from 1.00 to 1.85. Across all 246 points, no flutter onset is detected, and no sign changes appear in the aeroelastic eigenvalue spectra. The flutter stability margin is infinite at every evaluated condition, meaning that the actual flight dynamic pressures remain entirely below any critical threshold at which aerodynamic forces could overcome structural restoring forces. The first six structural natural frequencies of the clamped fin are 174.62, 437.72, 986.29, 1075.10, 1664.02, and 2051.10 Hz, establishing a stiff structural response that places the fundamental bending mode well above the aerodynamic forcing frequencies encountered in flight.</w:t>
      </w:r>
    </w:p>
    <w:p>
      <w:pPr>
        <w:spacing w:after="80" w:before="160"/>
        <w:jc w:val="left"/>
      </w:pPr>
      <w:r>
        <w:rPr>
          <w:rFonts w:ascii="Times New Roman" w:cs="Times New Roman" w:eastAsia="Times New Roman" w:hAnsi="Times New Roman"/>
          <w:b/>
          <w:bCs/>
          <w:caps/>
          <w:sz w:val="20"/>
          <w:szCs w:val="20"/>
        </w:rPr>
        <w:t xml:space="preserve">V. Physical Interpretation</w:t>
      </w:r>
    </w:p>
    <w:p>
      <w:pPr>
        <w:spacing w:after="120" w:before="0" w:line="240" w:lineRule="auto"/>
        <w:jc w:val="both"/>
      </w:pPr>
      <w:r>
        <w:rPr>
          <w:rFonts w:ascii="Times New Roman" w:cs="Times New Roman" w:eastAsia="Times New Roman" w:hAnsi="Times New Roman"/>
          <w:sz w:val="20"/>
          <w:szCs w:val="20"/>
        </w:rPr>
        <w:t xml:space="preserve">The infinite stability margin is not a numerical artifact but reflects the operation of a dual aeromechanical stabilizing mechanism intrinsic to the design. The 57.4-degree leading-edge sweep angle produces geometric wash-out: when the fin deflects outward under aerodynamic bending loads, the swept planform geometry induces a nose-down twist that reduces the local effective angle of attack, thereby diminishing the very aerodynamic loads that caused the deflection. This constitutes a negative feedback loop that inherently resists flutter.</w:t>
      </w:r>
    </w:p>
    <w:p>
      <w:pPr>
        <w:spacing w:after="120" w:before="0" w:line="240" w:lineRule="auto"/>
        <w:jc w:val="both"/>
      </w:pPr>
      <w:r>
        <w:rPr>
          <w:rFonts w:ascii="Times New Roman" w:cs="Times New Roman" w:eastAsia="Times New Roman" w:hAnsi="Times New Roman"/>
          <w:sz w:val="20"/>
          <w:szCs w:val="20"/>
        </w:rPr>
        <w:t xml:space="preserve">Simultaneously, the tailored composite laminate operates through material wash-out via the D16 bending-torsion coupling term. When the fin bends outward, the anisotropic laminate responds with a coupled torsional deformation that twists the leading edge nose-down, further reducing the angle of attack beyond the contribution of geometric wash-out alone. These two mechanisms act in concert: the aerodynamic forces on the deflected fin produce a restoring moment rather than a destabilizing one, rendering the aeroelastic stiffness matrix positive-definite throughout the supersonic envelope. This dual wash-out design approach represents a novel application of composite aeroelastic tailoring principles to small-scale competition sounding rockets.</w:t>
      </w:r>
    </w:p>
    <w:p>
      <w:pPr>
        <w:spacing w:after="80" w:before="160"/>
        <w:jc w:val="left"/>
      </w:pPr>
      <w:r>
        <w:rPr>
          <w:rFonts w:ascii="Times New Roman" w:cs="Times New Roman" w:eastAsia="Times New Roman" w:hAnsi="Times New Roman"/>
          <w:b/>
          <w:bCs/>
          <w:caps/>
          <w:sz w:val="20"/>
          <w:szCs w:val="20"/>
        </w:rPr>
        <w:t xml:space="preserve">VI. Conclusions and Expected Flight Test Results</w:t>
      </w:r>
    </w:p>
    <w:p>
      <w:pPr>
        <w:spacing w:after="120" w:before="0" w:line="240" w:lineRule="auto"/>
        <w:jc w:val="both"/>
      </w:pPr>
      <w:r>
        <w:rPr>
          <w:rFonts w:ascii="Times New Roman" w:cs="Times New Roman" w:eastAsia="Times New Roman" w:hAnsi="Times New Roman"/>
          <w:sz w:val="20"/>
          <w:szCs w:val="20"/>
        </w:rPr>
        <w:t xml:space="preserve">A complete aeroelastic stability analysis pipeline has been developed and applied to the flight fins of a 30,000 ft COTS sounding rocket. The analysis conclusively demonstrates unconditional flutter stability across the full supersonic flight envelope from Mach 1.00 to 1.85, with an infinite flutter stability margin attributable to a dual wash-out mechanism combining geometric and material stabilization effects. The computational framework integrates Classical Lamination Theory, shell finite element analysis, and supersonic piston theory into a physically transparent and computationally efficient solver that is directly applicable to composite-fin rocket design.</w:t>
      </w:r>
    </w:p>
    <w:p>
      <w:pPr>
        <w:spacing w:after="120" w:before="0" w:line="240" w:lineRule="auto"/>
        <w:jc w:val="both"/>
      </w:pPr>
      <w:r>
        <w:rPr>
          <w:rFonts w:ascii="Times New Roman" w:cs="Times New Roman" w:eastAsia="Times New Roman" w:hAnsi="Times New Roman"/>
          <w:sz w:val="20"/>
          <w:szCs w:val="20"/>
        </w:rPr>
        <w:t xml:space="preserve">Flight testing at IREC 2026 is expected to validate the computational predictions through trajectory reconstruction and post-flight structural integrity assessment. Success in flight will complete the validation loop between the high-fidelity computational model and physical hardware, demonstrating that composite aeroelastic tailoring is a practical and accessible tool for intercollegiate rocketry teams.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Times New Roman" w:cs="Times New Roman" w:eastAsia="Times New Roman" w:hAnsi="Times New Roman"/>
        <w:color w:val="555555"/>
        <w:sz w:val="18"/>
        <w:szCs w:val="18"/>
      </w:rPr>
      <w:t xml:space="preserve">Instituto Tecnológico de Buenos Aires  •  Team 207  •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Times New Roman" w:cs="Times New Roman" w:eastAsia="Times New Roman" w:hAnsi="Times New Roman"/>
        <w:i/>
        <w:iCs/>
        <w:color w:val="555555"/>
        <w:sz w:val="18"/>
        <w:szCs w:val="18"/>
      </w:rPr>
      <w:t xml:space="preserve">IREC 2026 — Team 207 Extended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2026-04-27T23:46:22.555Z</dcterms:created>
  <dcterms:modified xsi:type="dcterms:W3CDTF">2026-04-27T23:46:22.555Z</dcterms:modified>
</cp:coreProperties>
</file>

<file path=docProps/custom.xml><?xml version="1.0" encoding="utf-8"?>
<Properties xmlns="http://schemas.openxmlformats.org/officeDocument/2006/custom-properties" xmlns:vt="http://schemas.openxmlformats.org/officeDocument/2006/docPropsVTypes"/>
</file>