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F240F" w14:textId="77777777" w:rsidR="005E16F5" w:rsidRPr="00135E04" w:rsidRDefault="005E16F5" w:rsidP="005E16F5">
      <w:pPr>
        <w:pStyle w:val="PargrafodaLista"/>
        <w:numPr>
          <w:ilvl w:val="1"/>
          <w:numId w:val="1"/>
        </w:numPr>
        <w:spacing w:after="240" w:line="360" w:lineRule="auto"/>
        <w:jc w:val="both"/>
        <w:rPr>
          <w:rFonts w:ascii="Georgia" w:hAnsi="Georgia"/>
          <w:b/>
          <w:sz w:val="24"/>
          <w:szCs w:val="24"/>
        </w:rPr>
      </w:pPr>
      <w:r w:rsidRPr="00135E04">
        <w:rPr>
          <w:rFonts w:ascii="Georgia" w:hAnsi="Georgia"/>
          <w:b/>
          <w:sz w:val="24"/>
          <w:szCs w:val="24"/>
        </w:rPr>
        <w:t>Redes da matriz insumo-produto</w:t>
      </w:r>
    </w:p>
    <w:p w14:paraId="31970E0B" w14:textId="77777777" w:rsidR="005E16F5" w:rsidRPr="00135E04" w:rsidRDefault="005E16F5" w:rsidP="005E16F5">
      <w:pPr>
        <w:spacing w:after="240" w:line="360" w:lineRule="auto"/>
        <w:ind w:left="-180" w:firstLine="900"/>
        <w:jc w:val="both"/>
        <w:rPr>
          <w:rFonts w:ascii="Georgia" w:hAnsi="Georgia"/>
        </w:rPr>
      </w:pPr>
      <w:r w:rsidRPr="00135E04">
        <w:rPr>
          <w:rFonts w:ascii="Georgia" w:hAnsi="Georgia"/>
        </w:rPr>
        <w:t xml:space="preserve">Na economia, também existem diversas aplicações possíveis da metodologia de redes. Uma que ganha força é a relacionada à chamada complexidade econômica. Em tese, países que produzem produtos mais “complexos” tenderiam a crescer mais, conforme a literatura apontada anteriormente liderada por Hidalgo e Hausmann. Esta complexidade é medida pelo “espaço de produtos”, uma rede de produtos que são exportados conjuntamente. Ou seja, um nó é um produto que se liga a outro se tendem a ser exportados juntos. Assim, um produto mais complexo é um produto mais central nesta rede, que está conectado com muitos outros e cuja produção permitiria desencadeamentos. </w:t>
      </w:r>
    </w:p>
    <w:p w14:paraId="0B02977D" w14:textId="77777777" w:rsidR="005E16F5" w:rsidRPr="00135E04" w:rsidRDefault="005E16F5" w:rsidP="005E16F5">
      <w:pPr>
        <w:spacing w:after="240" w:line="360" w:lineRule="auto"/>
        <w:ind w:left="-180" w:firstLine="900"/>
        <w:jc w:val="both"/>
        <w:rPr>
          <w:rFonts w:ascii="Georgia" w:hAnsi="Georgia"/>
        </w:rPr>
      </w:pPr>
      <w:r>
        <w:rPr>
          <w:rFonts w:ascii="Georgia" w:hAnsi="Georgia"/>
        </w:rPr>
        <w:t>A Figura 29S</w:t>
      </w:r>
      <w:r w:rsidRPr="00135E04">
        <w:rPr>
          <w:rFonts w:ascii="Georgia" w:hAnsi="Georgia"/>
        </w:rPr>
        <w:t xml:space="preserve"> apresenta o espaço de produtos colorindo os nós em que o Brasil possui vantagem comparativa revelada (exporta relativamente mais do qu</w:t>
      </w:r>
      <w:r>
        <w:rPr>
          <w:rFonts w:ascii="Georgia" w:hAnsi="Georgia"/>
        </w:rPr>
        <w:t xml:space="preserve">e outros países), e a Figura 30S </w:t>
      </w:r>
      <w:r w:rsidRPr="00135E04">
        <w:rPr>
          <w:rFonts w:ascii="Georgia" w:hAnsi="Georgia"/>
        </w:rPr>
        <w:t xml:space="preserve">faz o mesmo para a China. Enquanto o Brasil se especializou mais em produtos mais periféricos, a China teria complexidade maior. </w:t>
      </w:r>
    </w:p>
    <w:p w14:paraId="7D7A4191" w14:textId="77777777" w:rsidR="005E16F5" w:rsidRPr="00135E04" w:rsidRDefault="005E16F5" w:rsidP="005E16F5">
      <w:pPr>
        <w:spacing w:line="360" w:lineRule="auto"/>
        <w:ind w:left="-180" w:firstLine="708"/>
        <w:jc w:val="center"/>
        <w:rPr>
          <w:rFonts w:ascii="Georgia" w:hAnsi="Georgia"/>
        </w:rPr>
      </w:pPr>
      <w:r>
        <w:rPr>
          <w:rFonts w:ascii="Georgia" w:hAnsi="Georgia"/>
        </w:rPr>
        <w:t xml:space="preserve">Figura 29S </w:t>
      </w:r>
      <w:r w:rsidRPr="00135E04">
        <w:rPr>
          <w:rFonts w:ascii="Georgia" w:hAnsi="Georgia"/>
        </w:rPr>
        <w:t xml:space="preserve"> – Espaço de produtos – Brasil - 2013</w:t>
      </w:r>
    </w:p>
    <w:p w14:paraId="5632497E" w14:textId="77777777" w:rsidR="005E16F5" w:rsidRPr="00135E04" w:rsidRDefault="005E16F5" w:rsidP="005E16F5">
      <w:pPr>
        <w:spacing w:line="360" w:lineRule="auto"/>
        <w:ind w:left="-180"/>
        <w:jc w:val="center"/>
        <w:rPr>
          <w:rFonts w:ascii="Georgia" w:hAnsi="Georgia"/>
          <w:lang w:val="en-US"/>
        </w:rPr>
      </w:pPr>
      <w:r w:rsidRPr="00135E04">
        <w:rPr>
          <w:rFonts w:ascii="Georgia" w:hAnsi="Georgia"/>
          <w:noProof/>
        </w:rPr>
        <w:drawing>
          <wp:inline distT="0" distB="0" distL="0" distR="0" wp14:anchorId="48F37298" wp14:editId="3E8008BC">
            <wp:extent cx="5259705" cy="2867660"/>
            <wp:effectExtent l="19050" t="0" r="0" b="0"/>
            <wp:docPr id="38" name="Imagem 10" descr="img_2745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2745_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3A3D50" w14:textId="77777777" w:rsidR="005E16F5" w:rsidRDefault="005E16F5" w:rsidP="005E16F5">
      <w:pPr>
        <w:spacing w:after="240" w:line="360" w:lineRule="auto"/>
        <w:ind w:left="-187" w:firstLine="457"/>
        <w:rPr>
          <w:rFonts w:ascii="Georgia" w:hAnsi="Georgia"/>
          <w:lang w:val="en-US"/>
        </w:rPr>
      </w:pPr>
      <w:r w:rsidRPr="00135E04">
        <w:rPr>
          <w:rFonts w:ascii="Georgia" w:hAnsi="Georgia"/>
          <w:lang w:val="en-US"/>
        </w:rPr>
        <w:t xml:space="preserve">Fonte: </w:t>
      </w:r>
      <w:r w:rsidRPr="00135E04">
        <w:rPr>
          <w:rFonts w:ascii="Georgia" w:hAnsi="Georgia"/>
          <w:i/>
          <w:iCs/>
          <w:lang w:val="en-US"/>
        </w:rPr>
        <w:t>The Observatory for Economic Complexity</w:t>
      </w:r>
      <w:r w:rsidRPr="00135E04">
        <w:rPr>
          <w:rFonts w:ascii="Georgia" w:hAnsi="Georgia"/>
          <w:lang w:val="en-US"/>
        </w:rPr>
        <w:t>.</w:t>
      </w:r>
    </w:p>
    <w:p w14:paraId="6F4F1E65" w14:textId="77777777" w:rsidR="005E16F5" w:rsidRPr="00135E04" w:rsidRDefault="005E16F5" w:rsidP="005E16F5">
      <w:pPr>
        <w:spacing w:after="240" w:line="360" w:lineRule="auto"/>
        <w:ind w:left="-180" w:firstLine="1416"/>
        <w:jc w:val="both"/>
        <w:rPr>
          <w:rFonts w:ascii="Georgia" w:hAnsi="Georgia"/>
        </w:rPr>
      </w:pPr>
      <w:r w:rsidRPr="00135E04">
        <w:rPr>
          <w:rFonts w:ascii="Georgia" w:hAnsi="Georgia"/>
        </w:rPr>
        <w:t>A metodologia contribui, portanto, para o controverso debate sobre política industrial.  Este tema é discutido de maneira aprofundada em Sousa (2018).</w:t>
      </w:r>
    </w:p>
    <w:p w14:paraId="494DFDF4" w14:textId="77777777" w:rsidR="005E16F5" w:rsidRPr="00135E04" w:rsidRDefault="005E16F5" w:rsidP="005E16F5">
      <w:pPr>
        <w:spacing w:after="240" w:line="360" w:lineRule="auto"/>
        <w:ind w:left="-187" w:firstLine="1411"/>
        <w:jc w:val="both"/>
        <w:rPr>
          <w:rFonts w:ascii="Georgia" w:hAnsi="Georgia"/>
        </w:rPr>
      </w:pPr>
      <w:r w:rsidRPr="00135E04">
        <w:rPr>
          <w:rFonts w:ascii="Georgia" w:hAnsi="Georgia"/>
        </w:rPr>
        <w:lastRenderedPageBreak/>
        <w:t>A análise de redes também pode ser aplicada na análise de cadeias globais de valor (</w:t>
      </w:r>
      <w:r w:rsidRPr="00135E04">
        <w:rPr>
          <w:rFonts w:ascii="Georgia" w:hAnsi="Georgia"/>
          <w:i/>
        </w:rPr>
        <w:t>GVC</w:t>
      </w:r>
      <w:r w:rsidRPr="00135E04">
        <w:rPr>
          <w:rFonts w:ascii="Georgia" w:hAnsi="Georgia"/>
        </w:rPr>
        <w:t xml:space="preserve">): a Figura </w:t>
      </w:r>
      <w:r>
        <w:rPr>
          <w:rFonts w:ascii="Georgia" w:hAnsi="Georgia"/>
        </w:rPr>
        <w:t>31S</w:t>
      </w:r>
      <w:r w:rsidRPr="00135E04">
        <w:rPr>
          <w:rFonts w:ascii="Georgia" w:hAnsi="Georgia"/>
        </w:rPr>
        <w:t>, por exemplo, retirada de Criscuolo e Timmis (2017), ilustra como Brasil pode ser considerado um país periférico. Os nós estão posicionados de acordo com a geografia, e o tamanho depende da relevância de um país na cadeia.</w:t>
      </w:r>
    </w:p>
    <w:p w14:paraId="50145DD2" w14:textId="77777777" w:rsidR="005E16F5" w:rsidRPr="00135E04" w:rsidRDefault="005E16F5" w:rsidP="005E16F5">
      <w:pPr>
        <w:spacing w:after="240" w:line="360" w:lineRule="auto"/>
        <w:ind w:left="-180" w:firstLine="708"/>
        <w:jc w:val="center"/>
        <w:rPr>
          <w:rFonts w:ascii="Georgia" w:hAnsi="Georgia"/>
          <w:b/>
        </w:rPr>
      </w:pPr>
      <w:r>
        <w:rPr>
          <w:rFonts w:ascii="Georgia" w:hAnsi="Georgia"/>
        </w:rPr>
        <w:t>Figura 30S</w:t>
      </w:r>
      <w:r w:rsidRPr="00135E04">
        <w:rPr>
          <w:rFonts w:ascii="Georgia" w:hAnsi="Georgia"/>
        </w:rPr>
        <w:t xml:space="preserve"> – Espaço de produtos – China - 2013</w:t>
      </w:r>
    </w:p>
    <w:p w14:paraId="38601582" w14:textId="77777777" w:rsidR="005E16F5" w:rsidRPr="00135E04" w:rsidRDefault="005E16F5" w:rsidP="005E16F5">
      <w:pPr>
        <w:spacing w:after="240" w:line="360" w:lineRule="auto"/>
        <w:ind w:left="-180"/>
        <w:jc w:val="center"/>
        <w:rPr>
          <w:rFonts w:ascii="Georgia" w:hAnsi="Georgia"/>
        </w:rPr>
      </w:pPr>
      <w:r w:rsidRPr="00135E04">
        <w:rPr>
          <w:rFonts w:ascii="Georgia" w:hAnsi="Georgia"/>
          <w:noProof/>
        </w:rPr>
        <w:drawing>
          <wp:inline distT="0" distB="0" distL="0" distR="0" wp14:anchorId="50DBF421" wp14:editId="21317C0B">
            <wp:extent cx="5303262" cy="2836278"/>
            <wp:effectExtent l="0" t="0" r="0" b="2540"/>
            <wp:docPr id="39" name="Imagem 13" descr="img_2745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2745_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26" cy="283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25FC5C" w14:textId="77777777" w:rsidR="005E16F5" w:rsidRPr="00135E04" w:rsidRDefault="005E16F5" w:rsidP="005E16F5">
      <w:pPr>
        <w:spacing w:after="240" w:line="360" w:lineRule="auto"/>
        <w:ind w:left="-180" w:firstLine="540"/>
        <w:rPr>
          <w:rFonts w:ascii="Georgia" w:hAnsi="Georgia"/>
          <w:lang w:val="en-US"/>
        </w:rPr>
      </w:pPr>
      <w:r w:rsidRPr="00135E04">
        <w:rPr>
          <w:rFonts w:ascii="Georgia" w:hAnsi="Georgia"/>
          <w:lang w:val="en-US"/>
        </w:rPr>
        <w:t xml:space="preserve">Fonte: </w:t>
      </w:r>
      <w:r w:rsidRPr="00135E04">
        <w:rPr>
          <w:rFonts w:ascii="Georgia" w:hAnsi="Georgia"/>
          <w:i/>
          <w:iCs/>
          <w:lang w:val="en-US"/>
        </w:rPr>
        <w:t>The Observatory for Economic Complexity</w:t>
      </w:r>
      <w:r w:rsidRPr="00135E04">
        <w:rPr>
          <w:rFonts w:ascii="Georgia" w:hAnsi="Georgia"/>
          <w:lang w:val="en-US"/>
        </w:rPr>
        <w:t>.</w:t>
      </w:r>
    </w:p>
    <w:p w14:paraId="214F30FD" w14:textId="77777777" w:rsidR="005E16F5" w:rsidRPr="00135E04" w:rsidRDefault="005E16F5" w:rsidP="005E16F5">
      <w:pPr>
        <w:spacing w:after="240" w:line="360" w:lineRule="auto"/>
        <w:ind w:left="-180" w:firstLine="708"/>
        <w:jc w:val="center"/>
        <w:rPr>
          <w:rFonts w:ascii="Georgia" w:hAnsi="Georgia"/>
          <w:b/>
        </w:rPr>
      </w:pPr>
      <w:r>
        <w:rPr>
          <w:rFonts w:ascii="Georgia" w:hAnsi="Georgia"/>
        </w:rPr>
        <w:t xml:space="preserve">Figura 31S </w:t>
      </w:r>
      <w:r w:rsidRPr="00135E04">
        <w:rPr>
          <w:rFonts w:ascii="Georgia" w:hAnsi="Georgia"/>
        </w:rPr>
        <w:t>– Cadeias globais de valor - 2011</w:t>
      </w:r>
    </w:p>
    <w:p w14:paraId="76170C09" w14:textId="77777777" w:rsidR="005E16F5" w:rsidRPr="00135E04" w:rsidRDefault="005E16F5" w:rsidP="005E16F5">
      <w:pPr>
        <w:spacing w:after="240" w:line="360" w:lineRule="auto"/>
        <w:ind w:left="-180" w:firstLine="1416"/>
        <w:jc w:val="both"/>
        <w:rPr>
          <w:rFonts w:ascii="Georgia" w:hAnsi="Georgia"/>
        </w:rPr>
      </w:pPr>
    </w:p>
    <w:p w14:paraId="6D35A2F6" w14:textId="77777777" w:rsidR="005E16F5" w:rsidRPr="00135E04" w:rsidRDefault="005E16F5" w:rsidP="005E16F5">
      <w:pPr>
        <w:spacing w:after="240" w:line="360" w:lineRule="auto"/>
        <w:ind w:left="-180" w:firstLine="1416"/>
        <w:jc w:val="both"/>
        <w:rPr>
          <w:rFonts w:ascii="Georgia" w:hAnsi="Georgia"/>
        </w:rPr>
      </w:pPr>
      <w:r w:rsidRPr="00135E04">
        <w:rPr>
          <w:rFonts w:ascii="Georgia" w:hAnsi="Georgia"/>
          <w:noProof/>
        </w:rPr>
        <w:drawing>
          <wp:inline distT="0" distB="0" distL="0" distR="0" wp14:anchorId="0270749D" wp14:editId="2F364A82">
            <wp:extent cx="5659120" cy="2665730"/>
            <wp:effectExtent l="19050" t="0" r="0" b="0"/>
            <wp:docPr id="4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B9B493" w14:textId="77777777" w:rsidR="005E16F5" w:rsidRPr="00135E04" w:rsidRDefault="005E16F5" w:rsidP="005E16F5">
      <w:pPr>
        <w:spacing w:after="240" w:line="360" w:lineRule="auto"/>
        <w:ind w:left="-187" w:firstLine="1411"/>
        <w:jc w:val="both"/>
        <w:rPr>
          <w:rFonts w:ascii="Georgia" w:hAnsi="Georgia"/>
        </w:rPr>
      </w:pPr>
      <w:r w:rsidRPr="00135E04">
        <w:rPr>
          <w:rFonts w:ascii="Georgia" w:hAnsi="Georgia"/>
        </w:rPr>
        <w:lastRenderedPageBreak/>
        <w:t>Fonte: Criscuolo e Timmis (2017)</w:t>
      </w:r>
    </w:p>
    <w:p w14:paraId="185132F6" w14:textId="77777777" w:rsidR="005E16F5" w:rsidRPr="00135E04" w:rsidRDefault="005E16F5" w:rsidP="005E16F5">
      <w:pPr>
        <w:spacing w:after="240" w:line="360" w:lineRule="auto"/>
        <w:ind w:left="-180" w:firstLine="1416"/>
        <w:jc w:val="both"/>
        <w:rPr>
          <w:rFonts w:ascii="Georgia" w:hAnsi="Georgia"/>
        </w:rPr>
      </w:pPr>
      <w:r w:rsidRPr="00135E04">
        <w:rPr>
          <w:rFonts w:ascii="Georgia" w:hAnsi="Georgia"/>
        </w:rPr>
        <w:t>Aqui, usamos a metodologia de redes como alternativa ou complemento das conhecidas mat</w:t>
      </w:r>
      <w:r>
        <w:rPr>
          <w:rFonts w:ascii="Georgia" w:hAnsi="Georgia"/>
        </w:rPr>
        <w:t>rizes insumo-produto. A Figura 32S</w:t>
      </w:r>
      <w:r w:rsidRPr="00135E04">
        <w:rPr>
          <w:rFonts w:ascii="Georgia" w:hAnsi="Georgia"/>
        </w:rPr>
        <w:t xml:space="preserve"> foi gerada a partir de uma matriz inter-regional de insumo-produto construída pelo Núcleo de Economia Regional e Urbana (Nereus) da Universidade de São Paulo (USP) (Guilhoto et al., 2017) para o ano de 2011. </w:t>
      </w:r>
    </w:p>
    <w:p w14:paraId="7E1CCCBF" w14:textId="77777777" w:rsidR="005E16F5" w:rsidRPr="00135E04" w:rsidRDefault="005E16F5" w:rsidP="005E16F5">
      <w:pPr>
        <w:spacing w:after="240" w:line="360" w:lineRule="auto"/>
        <w:ind w:left="-180" w:firstLine="1416"/>
        <w:jc w:val="both"/>
        <w:rPr>
          <w:rFonts w:ascii="Georgia" w:hAnsi="Georgia"/>
        </w:rPr>
      </w:pPr>
      <w:r w:rsidRPr="00135E04">
        <w:rPr>
          <w:rFonts w:ascii="Georgia" w:hAnsi="Georgia"/>
        </w:rPr>
        <w:t xml:space="preserve"> Trata-se de uma rede dirigida, isto é, há sentido nas arestas, como visualizado pelas setas. Elas evidenciam São Paulo como centro econômico do país, o demandante final da produção de diversos Estados</w:t>
      </w:r>
      <w:r w:rsidRPr="00135E04">
        <w:rPr>
          <w:rStyle w:val="Refdenotaderodap"/>
          <w:rFonts w:ascii="Georgia" w:hAnsi="Georgia"/>
        </w:rPr>
        <w:footnoteReference w:id="1"/>
      </w:r>
      <w:r w:rsidRPr="00135E04">
        <w:rPr>
          <w:rFonts w:ascii="Georgia" w:hAnsi="Georgia"/>
        </w:rPr>
        <w:t>.</w:t>
      </w:r>
    </w:p>
    <w:p w14:paraId="31E7C33C" w14:textId="77777777" w:rsidR="005E16F5" w:rsidRPr="00135E04" w:rsidRDefault="005E16F5" w:rsidP="005E16F5">
      <w:pPr>
        <w:spacing w:after="240" w:line="360" w:lineRule="auto"/>
        <w:ind w:left="-180" w:firstLine="1416"/>
        <w:jc w:val="both"/>
        <w:rPr>
          <w:rFonts w:ascii="Georgia" w:hAnsi="Georgia"/>
        </w:rPr>
      </w:pPr>
      <w:r w:rsidRPr="00135E04">
        <w:rPr>
          <w:rFonts w:ascii="Georgia" w:hAnsi="Georgia"/>
        </w:rPr>
        <w:t>Ressalta-se que apenas apresentamos a rede como maneira alternativa de analisar as tabelas de insumo-produto, sem fazer considerações sobre causalidade ou prescrições de política econômica.</w:t>
      </w:r>
    </w:p>
    <w:p w14:paraId="2339946A" w14:textId="77777777" w:rsidR="005E16F5" w:rsidRPr="00135E04" w:rsidRDefault="005E16F5" w:rsidP="005E16F5">
      <w:pPr>
        <w:spacing w:after="240" w:line="360" w:lineRule="auto"/>
        <w:ind w:left="-180" w:firstLine="1416"/>
        <w:jc w:val="both"/>
        <w:rPr>
          <w:rFonts w:ascii="Georgia" w:hAnsi="Georgia"/>
        </w:rPr>
      </w:pPr>
      <w:r w:rsidRPr="00135E04">
        <w:rPr>
          <w:rFonts w:ascii="Georgia" w:hAnsi="Georgia"/>
        </w:rPr>
        <w:t xml:space="preserve">Os nós são proporcionais ao grau de entrada (arestas que chegam ao nó). Observe que a rede foi posicionada de forma o extremo superior da rede fosse o mesmo do mapa do Brasil: o Estado de Roraima. Assim, é possível perceber o contraste entre o “mapa da produção” dado pela rede e o mapa geográfico, vez que eles divergem. O </w:t>
      </w:r>
      <w:r w:rsidRPr="00135E04">
        <w:rPr>
          <w:rFonts w:ascii="Georgia" w:hAnsi="Georgia"/>
          <w:i/>
        </w:rPr>
        <w:t xml:space="preserve">layout </w:t>
      </w:r>
      <w:r w:rsidRPr="00135E04">
        <w:rPr>
          <w:rFonts w:ascii="Georgia" w:hAnsi="Georgia"/>
        </w:rPr>
        <w:t xml:space="preserve">usado é o </w:t>
      </w:r>
      <w:r>
        <w:rPr>
          <w:rFonts w:ascii="Georgia" w:hAnsi="Georgia"/>
          <w:i/>
        </w:rPr>
        <w:t>ForceAtlas2</w:t>
      </w:r>
      <w:r w:rsidRPr="00135E04">
        <w:rPr>
          <w:rFonts w:ascii="Georgia" w:hAnsi="Georgia"/>
        </w:rPr>
        <w:t xml:space="preserve">: estão, portanto, próximos os Estados mais economicamente conectados entre si. As cores dos nós foram atribuídas mais uma vez de acordo com comunidades. Optamos por dividir a rede em 5 “regiões”, o que permite mais uma vez a comparação com as 5 regiões geográficas do país. </w:t>
      </w:r>
    </w:p>
    <w:p w14:paraId="72FF6226" w14:textId="77777777" w:rsidR="005E16F5" w:rsidRDefault="005E16F5" w:rsidP="005E16F5">
      <w:pPr>
        <w:spacing w:after="240" w:line="360" w:lineRule="auto"/>
        <w:ind w:left="-180" w:firstLine="1416"/>
        <w:jc w:val="both"/>
        <w:rPr>
          <w:rFonts w:ascii="Georgia" w:hAnsi="Georgia"/>
        </w:rPr>
      </w:pPr>
      <w:r w:rsidRPr="00135E04">
        <w:rPr>
          <w:rFonts w:ascii="Georgia" w:hAnsi="Georgia"/>
        </w:rPr>
        <w:t>Observe que elas coincidem para diversos Estados que pertencem tanto a mesma região geográfica quanto a mesma comunidade: é natural que a proximidade geográfica determine a relação econômica. Todavia, observe também que algumas comunidades possuem Estados de regiões diferentes: como Espírito Santo (produtor de petróleo e com relevante atividade portuária), Pará e Piauí na comunidade verde.</w:t>
      </w:r>
    </w:p>
    <w:p w14:paraId="4A653C1F" w14:textId="77777777" w:rsidR="005E16F5" w:rsidRDefault="005E16F5" w:rsidP="005E16F5">
      <w:pPr>
        <w:spacing w:after="240" w:line="360" w:lineRule="auto"/>
        <w:ind w:left="-180" w:firstLine="1416"/>
        <w:jc w:val="both"/>
        <w:rPr>
          <w:rFonts w:ascii="Georgia" w:hAnsi="Georgia"/>
        </w:rPr>
      </w:pPr>
    </w:p>
    <w:p w14:paraId="28C055E4" w14:textId="77777777" w:rsidR="005E16F5" w:rsidRDefault="005E16F5" w:rsidP="005E16F5">
      <w:pPr>
        <w:spacing w:after="240" w:line="360" w:lineRule="auto"/>
        <w:ind w:left="-180" w:firstLine="1416"/>
        <w:jc w:val="both"/>
        <w:rPr>
          <w:rFonts w:ascii="Georgia" w:hAnsi="Georgia"/>
        </w:rPr>
      </w:pPr>
    </w:p>
    <w:p w14:paraId="75ABE37E" w14:textId="77777777" w:rsidR="005E16F5" w:rsidRPr="00135E04" w:rsidRDefault="005E16F5" w:rsidP="005E16F5">
      <w:pPr>
        <w:spacing w:after="240" w:line="360" w:lineRule="auto"/>
        <w:ind w:left="-180" w:firstLine="1416"/>
        <w:jc w:val="both"/>
        <w:rPr>
          <w:rFonts w:ascii="Georgia" w:hAnsi="Georgia"/>
        </w:rPr>
      </w:pPr>
    </w:p>
    <w:p w14:paraId="5E43468B" w14:textId="77777777" w:rsidR="005E16F5" w:rsidRPr="00135E04" w:rsidRDefault="005E16F5" w:rsidP="005E16F5">
      <w:pPr>
        <w:spacing w:after="240" w:line="360" w:lineRule="auto"/>
        <w:ind w:left="-180" w:firstLine="708"/>
        <w:jc w:val="center"/>
        <w:rPr>
          <w:rFonts w:ascii="Georgia" w:hAnsi="Georgia"/>
          <w:b/>
        </w:rPr>
      </w:pPr>
      <w:r>
        <w:rPr>
          <w:rFonts w:ascii="Georgia" w:hAnsi="Georgia"/>
        </w:rPr>
        <w:t>Figura 32S</w:t>
      </w:r>
      <w:r w:rsidRPr="00135E04">
        <w:rPr>
          <w:rFonts w:ascii="Georgia" w:hAnsi="Georgia"/>
        </w:rPr>
        <w:t>– Rede de Estados conectados pela relação insumo-produto - 2011</w:t>
      </w:r>
    </w:p>
    <w:p w14:paraId="55F62061" w14:textId="77777777" w:rsidR="005E16F5" w:rsidRPr="00135E04" w:rsidRDefault="005E16F5" w:rsidP="005E16F5">
      <w:pPr>
        <w:spacing w:after="240" w:line="360" w:lineRule="auto"/>
        <w:ind w:left="-180"/>
        <w:jc w:val="center"/>
        <w:rPr>
          <w:rFonts w:ascii="Georgia" w:hAnsi="Georgia"/>
          <w:b/>
        </w:rPr>
      </w:pPr>
      <w:r w:rsidRPr="00135E04">
        <w:rPr>
          <w:rFonts w:ascii="Georgia" w:hAnsi="Georgia"/>
          <w:b/>
          <w:noProof/>
        </w:rPr>
        <w:drawing>
          <wp:inline distT="0" distB="0" distL="0" distR="0" wp14:anchorId="50D51BCB" wp14:editId="1A981EEE">
            <wp:extent cx="4761793" cy="4005954"/>
            <wp:effectExtent l="0" t="0" r="1270" b="0"/>
            <wp:docPr id="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484" cy="401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519EE" w14:textId="77777777" w:rsidR="005E16F5" w:rsidRPr="00135E04" w:rsidRDefault="005E16F5" w:rsidP="005E16F5">
      <w:pPr>
        <w:spacing w:after="240" w:line="360" w:lineRule="auto"/>
        <w:ind w:left="-180" w:firstLine="900"/>
        <w:jc w:val="both"/>
        <w:rPr>
          <w:rFonts w:ascii="Georgia" w:hAnsi="Georgia"/>
        </w:rPr>
      </w:pPr>
      <w:r w:rsidRPr="00135E04">
        <w:rPr>
          <w:rFonts w:ascii="Georgia" w:hAnsi="Georgia"/>
        </w:rPr>
        <w:t>O mesmo ocorre com o centro econômico do Brasil: a comunidade do Estado de São Paulo inclui não apenas Estados do Sudeste (Minas Gerais, Rio de Janeiro) como todos os três Estado do Sul (Rio Grande do Sul, Santa Catarina e Paraná) e Estados do Centro-Oeste (Goiás, Mato Grosso do Sul, Mato Grosso).</w:t>
      </w:r>
    </w:p>
    <w:p w14:paraId="1C00A07F" w14:textId="77777777" w:rsidR="005E16F5" w:rsidRPr="00135E04" w:rsidRDefault="005E16F5" w:rsidP="005E16F5">
      <w:pPr>
        <w:spacing w:after="240" w:line="360" w:lineRule="auto"/>
        <w:ind w:left="-180" w:firstLine="900"/>
        <w:jc w:val="both"/>
        <w:rPr>
          <w:rFonts w:ascii="Georgia" w:hAnsi="Georgia"/>
        </w:rPr>
      </w:pPr>
      <w:r w:rsidRPr="00135E04">
        <w:rPr>
          <w:rFonts w:ascii="Georgia" w:hAnsi="Georgia"/>
        </w:rPr>
        <w:t>Observe ainda que o Distrito Federal, a menor UF e de característica administrativa, não participa de nenhuma comunidade. A Tabela 9A, do Anexo, lista as comunidades.</w:t>
      </w:r>
    </w:p>
    <w:p w14:paraId="5F19E43A" w14:textId="77777777" w:rsidR="005E16F5" w:rsidRPr="00135E04" w:rsidRDefault="005E16F5" w:rsidP="005E16F5">
      <w:pPr>
        <w:spacing w:after="240" w:line="360" w:lineRule="auto"/>
        <w:ind w:left="-180" w:firstLine="900"/>
        <w:jc w:val="both"/>
        <w:rPr>
          <w:rFonts w:ascii="Georgia" w:hAnsi="Georgia"/>
        </w:rPr>
      </w:pPr>
      <w:r w:rsidRPr="00135E04">
        <w:rPr>
          <w:rFonts w:ascii="Georgia" w:hAnsi="Georgia"/>
        </w:rPr>
        <w:t xml:space="preserve">São 27 nós, 688 arestas e um grau médio de 25,5: uma rede aleatória com probabilidade de 95% teria 332 arestas e grau médio de 12,3, e é apresentada na Figura 13A do Anexo. As Figuras 14A e 15A trazem a distribuição de graus, </w:t>
      </w:r>
      <w:r w:rsidRPr="00135E04">
        <w:rPr>
          <w:rFonts w:ascii="Georgia" w:hAnsi="Georgia"/>
        </w:rPr>
        <w:lastRenderedPageBreak/>
        <w:t xml:space="preserve">respectivamente, da rede real e da aleatória, sugerindo que a formação de </w:t>
      </w:r>
      <w:r w:rsidRPr="00135E04">
        <w:rPr>
          <w:rFonts w:ascii="Georgia" w:hAnsi="Georgia"/>
          <w:i/>
        </w:rPr>
        <w:t>hubs</w:t>
      </w:r>
      <w:r w:rsidRPr="00135E04">
        <w:rPr>
          <w:rFonts w:ascii="Georgia" w:hAnsi="Georgia"/>
        </w:rPr>
        <w:t xml:space="preserve"> como São Paulo não é óbvia</w:t>
      </w:r>
      <w:r w:rsidRPr="00135E04">
        <w:rPr>
          <w:rStyle w:val="Refdenotaderodap"/>
          <w:rFonts w:ascii="Georgia" w:hAnsi="Georgia"/>
        </w:rPr>
        <w:footnoteReference w:id="2"/>
      </w:r>
      <w:r w:rsidRPr="00135E04">
        <w:rPr>
          <w:rFonts w:ascii="Georgia" w:hAnsi="Georgia"/>
        </w:rPr>
        <w:t>.</w:t>
      </w:r>
    </w:p>
    <w:p w14:paraId="7F5578D5" w14:textId="77777777" w:rsidR="005E16F5" w:rsidRPr="00135E04" w:rsidRDefault="005E16F5" w:rsidP="005E16F5">
      <w:pPr>
        <w:spacing w:after="240" w:line="360" w:lineRule="auto"/>
        <w:ind w:left="-180" w:firstLine="900"/>
        <w:jc w:val="both"/>
        <w:rPr>
          <w:rFonts w:ascii="Georgia" w:hAnsi="Georgia"/>
        </w:rPr>
      </w:pPr>
      <w:r w:rsidRPr="00135E04">
        <w:rPr>
          <w:rFonts w:ascii="Georgia" w:hAnsi="Georgia"/>
        </w:rPr>
        <w:t xml:space="preserve">Ainda em relação à matriz insumo-produto, geramos uma rede dirigida de setores a partir de uma matriz de usos do ano de 2013. Assim, é possível visualizar a inter-relação </w:t>
      </w:r>
      <w:r>
        <w:rPr>
          <w:rFonts w:ascii="Georgia" w:hAnsi="Georgia"/>
        </w:rPr>
        <w:t>entre estes setores. A Figura 33S</w:t>
      </w:r>
      <w:r w:rsidRPr="00135E04">
        <w:rPr>
          <w:rFonts w:ascii="Georgia" w:hAnsi="Georgia"/>
        </w:rPr>
        <w:t xml:space="preserve"> apresenta a rede, com 67 nós, 4.134 arestas e um grau médio de 61,7. A fonte é novamente o Nereus, de acordo com a metodologia de Guilhoto e Sesso Filho (2005, 2010).</w:t>
      </w:r>
    </w:p>
    <w:p w14:paraId="0D097593" w14:textId="77777777" w:rsidR="005E16F5" w:rsidRPr="00135E04" w:rsidRDefault="005E16F5" w:rsidP="005E16F5">
      <w:pPr>
        <w:spacing w:line="360" w:lineRule="auto"/>
        <w:ind w:left="-180" w:firstLine="900"/>
        <w:jc w:val="both"/>
        <w:rPr>
          <w:rFonts w:ascii="Georgia" w:hAnsi="Georgia"/>
        </w:rPr>
      </w:pPr>
      <w:r w:rsidRPr="00135E04">
        <w:rPr>
          <w:rFonts w:ascii="Georgia" w:hAnsi="Georgia"/>
        </w:rPr>
        <w:t>Os nós são proporcionais à centralidade de intermediação, e estão coloridos de acordo com o pertencimento a 4 comunidades diferentes, ou seja, setores que possuem mais conexões com os demais.</w:t>
      </w:r>
    </w:p>
    <w:p w14:paraId="3EF034FC" w14:textId="77777777" w:rsidR="005E16F5" w:rsidRPr="00135E04" w:rsidRDefault="005E16F5" w:rsidP="005E16F5">
      <w:pPr>
        <w:spacing w:after="240" w:line="360" w:lineRule="auto"/>
        <w:ind w:left="-180" w:firstLine="708"/>
        <w:jc w:val="center"/>
        <w:rPr>
          <w:rFonts w:ascii="Georgia" w:hAnsi="Georgia"/>
        </w:rPr>
      </w:pPr>
      <w:r>
        <w:rPr>
          <w:rFonts w:ascii="Georgia" w:hAnsi="Georgia"/>
        </w:rPr>
        <w:t>Figura 33S</w:t>
      </w:r>
      <w:r w:rsidRPr="00135E04">
        <w:rPr>
          <w:rFonts w:ascii="Georgia" w:hAnsi="Georgia"/>
        </w:rPr>
        <w:t xml:space="preserve"> – Rede de setores conectado</w:t>
      </w:r>
      <w:r>
        <w:rPr>
          <w:rFonts w:ascii="Georgia" w:hAnsi="Georgia"/>
        </w:rPr>
        <w:t xml:space="preserve">s pela relação insumo-produto - </w:t>
      </w:r>
      <w:r w:rsidRPr="00135E04">
        <w:rPr>
          <w:rFonts w:ascii="Georgia" w:hAnsi="Georgia"/>
          <w:noProof/>
        </w:rPr>
        <w:drawing>
          <wp:inline distT="0" distB="0" distL="0" distR="0" wp14:anchorId="58E73E51" wp14:editId="3A4E898F">
            <wp:extent cx="4500000" cy="4500000"/>
            <wp:effectExtent l="0" t="0" r="0" b="0"/>
            <wp:docPr id="4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45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>2</w:t>
      </w:r>
      <w:r w:rsidRPr="00135E04">
        <w:rPr>
          <w:rFonts w:ascii="Georgia" w:hAnsi="Georgia"/>
        </w:rPr>
        <w:t>013</w:t>
      </w:r>
    </w:p>
    <w:p w14:paraId="202D844F" w14:textId="77777777" w:rsidR="005E16F5" w:rsidRPr="00135E04" w:rsidRDefault="005E16F5" w:rsidP="005E16F5">
      <w:pPr>
        <w:spacing w:after="240" w:line="360" w:lineRule="auto"/>
        <w:ind w:firstLine="708"/>
        <w:jc w:val="both"/>
        <w:rPr>
          <w:rFonts w:ascii="Georgia" w:hAnsi="Georgia"/>
        </w:rPr>
      </w:pPr>
      <w:r w:rsidRPr="00135E04">
        <w:rPr>
          <w:rFonts w:ascii="Georgia" w:hAnsi="Georgia"/>
        </w:rPr>
        <w:lastRenderedPageBreak/>
        <w:t>Os setores mais centrais na rede construída a partir de mat</w:t>
      </w:r>
      <w:r>
        <w:rPr>
          <w:rFonts w:ascii="Georgia" w:hAnsi="Georgia"/>
        </w:rPr>
        <w:t>riz de usos constam da Tabela 7S</w:t>
      </w:r>
      <w:r w:rsidRPr="00135E04">
        <w:rPr>
          <w:rFonts w:ascii="Georgia" w:hAnsi="Georgia"/>
        </w:rPr>
        <w:t>.</w:t>
      </w:r>
    </w:p>
    <w:p w14:paraId="0D399F99" w14:textId="77777777" w:rsidR="005E16F5" w:rsidRPr="00135E04" w:rsidRDefault="005E16F5" w:rsidP="005E16F5">
      <w:pPr>
        <w:spacing w:after="240" w:line="360" w:lineRule="auto"/>
        <w:ind w:firstLine="708"/>
        <w:jc w:val="center"/>
        <w:rPr>
          <w:rFonts w:ascii="Georgia" w:hAnsi="Georgia"/>
        </w:rPr>
      </w:pPr>
      <w:r>
        <w:rPr>
          <w:rFonts w:ascii="Georgia" w:hAnsi="Georgia"/>
        </w:rPr>
        <w:t>Tabela 7S</w:t>
      </w:r>
      <w:r w:rsidRPr="00135E04">
        <w:rPr>
          <w:rFonts w:ascii="Georgia" w:hAnsi="Georgia"/>
        </w:rPr>
        <w:t xml:space="preserve"> – Setores com maior centralidade na rede de insumo-produto</w:t>
      </w:r>
    </w:p>
    <w:tbl>
      <w:tblPr>
        <w:tblW w:w="35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8"/>
      </w:tblGrid>
      <w:tr w:rsidR="005E16F5" w:rsidRPr="00135E04" w14:paraId="4D5F5271" w14:textId="77777777" w:rsidTr="00496801">
        <w:trPr>
          <w:trHeight w:val="314"/>
          <w:jc w:val="center"/>
        </w:trPr>
        <w:tc>
          <w:tcPr>
            <w:tcW w:w="3528" w:type="dxa"/>
            <w:shd w:val="clear" w:color="000000" w:fill="D8D8D8"/>
            <w:noWrap/>
            <w:hideMark/>
          </w:tcPr>
          <w:p w14:paraId="76AC5C56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</w:rPr>
            </w:pPr>
            <w:r w:rsidRPr="00135E04">
              <w:rPr>
                <w:rFonts w:ascii="Georgia" w:hAnsi="Georgia"/>
                <w:color w:val="000000"/>
              </w:rPr>
              <w:t>Setor</w:t>
            </w:r>
          </w:p>
        </w:tc>
      </w:tr>
      <w:tr w:rsidR="005E16F5" w:rsidRPr="00135E04" w14:paraId="2E6282E1" w14:textId="77777777" w:rsidTr="00496801">
        <w:trPr>
          <w:trHeight w:val="314"/>
          <w:jc w:val="center"/>
        </w:trPr>
        <w:tc>
          <w:tcPr>
            <w:tcW w:w="3528" w:type="dxa"/>
            <w:shd w:val="clear" w:color="auto" w:fill="auto"/>
            <w:noWrap/>
            <w:hideMark/>
          </w:tcPr>
          <w:p w14:paraId="5CEA94FD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Abate e produtos de carne</w:t>
            </w:r>
          </w:p>
        </w:tc>
      </w:tr>
      <w:tr w:rsidR="005E16F5" w:rsidRPr="00135E04" w14:paraId="07C8FFBC" w14:textId="77777777" w:rsidTr="00496801">
        <w:trPr>
          <w:trHeight w:val="314"/>
          <w:jc w:val="center"/>
        </w:trPr>
        <w:tc>
          <w:tcPr>
            <w:tcW w:w="3528" w:type="dxa"/>
            <w:shd w:val="clear" w:color="auto" w:fill="auto"/>
            <w:noWrap/>
            <w:hideMark/>
          </w:tcPr>
          <w:p w14:paraId="1443CAD5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Comércio por atacado e a varejo</w:t>
            </w:r>
          </w:p>
        </w:tc>
      </w:tr>
      <w:tr w:rsidR="005E16F5" w:rsidRPr="00135E04" w14:paraId="4C8CB376" w14:textId="77777777" w:rsidTr="00496801">
        <w:trPr>
          <w:trHeight w:val="314"/>
          <w:jc w:val="center"/>
        </w:trPr>
        <w:tc>
          <w:tcPr>
            <w:tcW w:w="3528" w:type="dxa"/>
            <w:shd w:val="clear" w:color="auto" w:fill="auto"/>
            <w:noWrap/>
            <w:hideMark/>
          </w:tcPr>
          <w:p w14:paraId="4507852C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Produtos de minerais não-metálicos</w:t>
            </w:r>
          </w:p>
        </w:tc>
      </w:tr>
      <w:tr w:rsidR="005E16F5" w:rsidRPr="00135E04" w14:paraId="08397FF6" w14:textId="77777777" w:rsidTr="00496801">
        <w:trPr>
          <w:trHeight w:val="314"/>
          <w:jc w:val="center"/>
        </w:trPr>
        <w:tc>
          <w:tcPr>
            <w:tcW w:w="3528" w:type="dxa"/>
            <w:shd w:val="clear" w:color="auto" w:fill="auto"/>
            <w:noWrap/>
            <w:hideMark/>
          </w:tcPr>
          <w:p w14:paraId="4CCDA4D6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Químicos, resinas</w:t>
            </w:r>
          </w:p>
        </w:tc>
      </w:tr>
      <w:tr w:rsidR="005E16F5" w:rsidRPr="00135E04" w14:paraId="7EB5CB50" w14:textId="77777777" w:rsidTr="00496801">
        <w:trPr>
          <w:trHeight w:val="314"/>
          <w:jc w:val="center"/>
        </w:trPr>
        <w:tc>
          <w:tcPr>
            <w:tcW w:w="3528" w:type="dxa"/>
            <w:shd w:val="clear" w:color="auto" w:fill="auto"/>
            <w:noWrap/>
            <w:hideMark/>
          </w:tcPr>
          <w:p w14:paraId="20EEA828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Máquinas e equipamentos mecânicos</w:t>
            </w:r>
          </w:p>
        </w:tc>
      </w:tr>
      <w:tr w:rsidR="005E16F5" w:rsidRPr="00135E04" w14:paraId="4FDE9F43" w14:textId="77777777" w:rsidTr="00496801">
        <w:trPr>
          <w:trHeight w:val="314"/>
          <w:jc w:val="center"/>
        </w:trPr>
        <w:tc>
          <w:tcPr>
            <w:tcW w:w="3528" w:type="dxa"/>
            <w:shd w:val="clear" w:color="auto" w:fill="auto"/>
            <w:noWrap/>
            <w:hideMark/>
          </w:tcPr>
          <w:p w14:paraId="1F45B287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Siderurgia</w:t>
            </w:r>
          </w:p>
        </w:tc>
      </w:tr>
      <w:tr w:rsidR="005E16F5" w:rsidRPr="00135E04" w14:paraId="0B30B876" w14:textId="77777777" w:rsidTr="00496801">
        <w:trPr>
          <w:trHeight w:val="314"/>
          <w:jc w:val="center"/>
        </w:trPr>
        <w:tc>
          <w:tcPr>
            <w:tcW w:w="3528" w:type="dxa"/>
            <w:shd w:val="clear" w:color="auto" w:fill="auto"/>
            <w:noWrap/>
            <w:hideMark/>
          </w:tcPr>
          <w:p w14:paraId="2A90AC5A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Arquitetura, engenharia</w:t>
            </w:r>
          </w:p>
        </w:tc>
      </w:tr>
      <w:tr w:rsidR="005E16F5" w:rsidRPr="00135E04" w14:paraId="04180D7E" w14:textId="77777777" w:rsidTr="00496801">
        <w:trPr>
          <w:trHeight w:val="314"/>
          <w:jc w:val="center"/>
        </w:trPr>
        <w:tc>
          <w:tcPr>
            <w:tcW w:w="3528" w:type="dxa"/>
            <w:shd w:val="clear" w:color="auto" w:fill="auto"/>
            <w:noWrap/>
            <w:hideMark/>
          </w:tcPr>
          <w:p w14:paraId="67215072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Máquinas e equipamentos elétricos</w:t>
            </w:r>
          </w:p>
        </w:tc>
      </w:tr>
      <w:tr w:rsidR="005E16F5" w:rsidRPr="00135E04" w14:paraId="52E08B22" w14:textId="77777777" w:rsidTr="00496801">
        <w:trPr>
          <w:trHeight w:val="314"/>
          <w:jc w:val="center"/>
        </w:trPr>
        <w:tc>
          <w:tcPr>
            <w:tcW w:w="3528" w:type="dxa"/>
            <w:shd w:val="clear" w:color="auto" w:fill="auto"/>
            <w:noWrap/>
            <w:hideMark/>
          </w:tcPr>
          <w:p w14:paraId="29CA59B7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Intermediação financeira</w:t>
            </w:r>
          </w:p>
        </w:tc>
      </w:tr>
      <w:tr w:rsidR="005E16F5" w:rsidRPr="00135E04" w14:paraId="2B9EB1E0" w14:textId="77777777" w:rsidTr="00496801">
        <w:trPr>
          <w:trHeight w:val="314"/>
          <w:jc w:val="center"/>
        </w:trPr>
        <w:tc>
          <w:tcPr>
            <w:tcW w:w="3528" w:type="dxa"/>
            <w:shd w:val="clear" w:color="auto" w:fill="auto"/>
            <w:noWrap/>
            <w:hideMark/>
          </w:tcPr>
          <w:p w14:paraId="0B468666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Telecomunicações</w:t>
            </w:r>
          </w:p>
        </w:tc>
      </w:tr>
    </w:tbl>
    <w:p w14:paraId="021AA869" w14:textId="77777777" w:rsidR="005E16F5" w:rsidRDefault="005E16F5" w:rsidP="005E16F5">
      <w:pPr>
        <w:spacing w:after="240" w:line="360" w:lineRule="auto"/>
        <w:ind w:firstLine="1411"/>
        <w:jc w:val="both"/>
        <w:rPr>
          <w:rFonts w:ascii="Georgia" w:hAnsi="Georgia"/>
        </w:rPr>
      </w:pPr>
    </w:p>
    <w:p w14:paraId="53BB62F0" w14:textId="77777777" w:rsidR="005E16F5" w:rsidRPr="00135E04" w:rsidRDefault="005E16F5" w:rsidP="005E16F5">
      <w:pPr>
        <w:spacing w:after="240" w:line="360" w:lineRule="auto"/>
        <w:ind w:firstLine="1411"/>
        <w:jc w:val="both"/>
        <w:rPr>
          <w:rFonts w:ascii="Georgia" w:hAnsi="Georgia"/>
        </w:rPr>
      </w:pPr>
      <w:r w:rsidRPr="00135E04">
        <w:rPr>
          <w:rFonts w:ascii="Georgia" w:hAnsi="Georgia"/>
        </w:rPr>
        <w:t xml:space="preserve">Já na Tabela </w:t>
      </w:r>
      <w:r>
        <w:rPr>
          <w:rFonts w:ascii="Georgia" w:hAnsi="Georgia"/>
        </w:rPr>
        <w:t>8S</w:t>
      </w:r>
      <w:r w:rsidRPr="00135E04">
        <w:rPr>
          <w:rFonts w:ascii="Georgia" w:hAnsi="Georgia"/>
        </w:rPr>
        <w:t xml:space="preserve"> listamos os 10 menos centrais. Observe que a descrição dos setores está resumida. Por exemplo, “Abate e produtos de carne” se refere ao setor “Abate e produtos de carne, inclusive os produtos do laticínio e da pesca”. </w:t>
      </w:r>
    </w:p>
    <w:p w14:paraId="56CF8421" w14:textId="77777777" w:rsidR="005E16F5" w:rsidRPr="00135E04" w:rsidRDefault="005E16F5" w:rsidP="005E16F5">
      <w:pPr>
        <w:spacing w:after="240" w:line="360" w:lineRule="auto"/>
        <w:ind w:firstLine="708"/>
        <w:jc w:val="center"/>
        <w:rPr>
          <w:rFonts w:ascii="Georgia" w:hAnsi="Georgia"/>
        </w:rPr>
      </w:pPr>
      <w:r w:rsidRPr="00135E04">
        <w:rPr>
          <w:rFonts w:ascii="Georgia" w:hAnsi="Georgia"/>
        </w:rPr>
        <w:t xml:space="preserve">Tabela </w:t>
      </w:r>
      <w:r>
        <w:rPr>
          <w:rFonts w:ascii="Georgia" w:hAnsi="Georgia"/>
        </w:rPr>
        <w:t>8S</w:t>
      </w:r>
      <w:r w:rsidRPr="00135E04">
        <w:rPr>
          <w:rFonts w:ascii="Georgia" w:hAnsi="Georgia"/>
        </w:rPr>
        <w:t xml:space="preserve"> – Setores com menor centralidade na rede de insumo-produto</w:t>
      </w:r>
    </w:p>
    <w:tbl>
      <w:tblPr>
        <w:tblW w:w="383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35"/>
      </w:tblGrid>
      <w:tr w:rsidR="005E16F5" w:rsidRPr="00135E04" w14:paraId="6F83CA09" w14:textId="77777777" w:rsidTr="00496801">
        <w:trPr>
          <w:trHeight w:val="335"/>
          <w:jc w:val="center"/>
        </w:trPr>
        <w:tc>
          <w:tcPr>
            <w:tcW w:w="38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8D8D8"/>
            <w:noWrap/>
            <w:hideMark/>
          </w:tcPr>
          <w:p w14:paraId="720CC8E4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</w:rPr>
            </w:pPr>
            <w:r w:rsidRPr="00135E04">
              <w:rPr>
                <w:rFonts w:ascii="Georgia" w:hAnsi="Georgia"/>
                <w:color w:val="000000"/>
              </w:rPr>
              <w:t>Setor</w:t>
            </w:r>
          </w:p>
        </w:tc>
      </w:tr>
      <w:tr w:rsidR="005E16F5" w:rsidRPr="00135E04" w14:paraId="211B6339" w14:textId="77777777" w:rsidTr="00496801">
        <w:trPr>
          <w:trHeight w:val="335"/>
          <w:jc w:val="center"/>
        </w:trPr>
        <w:tc>
          <w:tcPr>
            <w:tcW w:w="38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2DEABB2C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Produção florestal; pesca e aquicultura</w:t>
            </w:r>
          </w:p>
        </w:tc>
      </w:tr>
      <w:tr w:rsidR="005E16F5" w:rsidRPr="00135E04" w14:paraId="3009960B" w14:textId="77777777" w:rsidTr="00496801">
        <w:trPr>
          <w:trHeight w:val="335"/>
          <w:jc w:val="center"/>
        </w:trPr>
        <w:tc>
          <w:tcPr>
            <w:tcW w:w="38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2BA4C30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Minério de ferro</w:t>
            </w:r>
          </w:p>
        </w:tc>
      </w:tr>
      <w:tr w:rsidR="005E16F5" w:rsidRPr="00135E04" w14:paraId="4B9E2BC4" w14:textId="77777777" w:rsidTr="00496801">
        <w:trPr>
          <w:trHeight w:val="335"/>
          <w:jc w:val="center"/>
        </w:trPr>
        <w:tc>
          <w:tcPr>
            <w:tcW w:w="38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ACDFE35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Atividades de televisão, rádio</w:t>
            </w:r>
          </w:p>
        </w:tc>
      </w:tr>
      <w:tr w:rsidR="005E16F5" w:rsidRPr="00135E04" w14:paraId="7A64D1A9" w14:textId="77777777" w:rsidTr="00496801">
        <w:trPr>
          <w:trHeight w:val="335"/>
          <w:jc w:val="center"/>
        </w:trPr>
        <w:tc>
          <w:tcPr>
            <w:tcW w:w="38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E01E96E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lastRenderedPageBreak/>
              <w:t>Transporte aquaviário</w:t>
            </w:r>
          </w:p>
        </w:tc>
      </w:tr>
      <w:tr w:rsidR="005E16F5" w:rsidRPr="00135E04" w14:paraId="1F38BAEF" w14:textId="77777777" w:rsidTr="00496801">
        <w:trPr>
          <w:trHeight w:val="335"/>
          <w:jc w:val="center"/>
        </w:trPr>
        <w:tc>
          <w:tcPr>
            <w:tcW w:w="38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8CC4326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Transporte aéreo</w:t>
            </w:r>
          </w:p>
        </w:tc>
      </w:tr>
      <w:tr w:rsidR="005E16F5" w:rsidRPr="00135E04" w14:paraId="5D26175F" w14:textId="77777777" w:rsidTr="00496801">
        <w:trPr>
          <w:trHeight w:val="335"/>
          <w:jc w:val="center"/>
        </w:trPr>
        <w:tc>
          <w:tcPr>
            <w:tcW w:w="38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5E682A28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Saúde pública</w:t>
            </w:r>
          </w:p>
        </w:tc>
      </w:tr>
      <w:tr w:rsidR="005E16F5" w:rsidRPr="00135E04" w14:paraId="6717D8D6" w14:textId="77777777" w:rsidTr="00496801">
        <w:trPr>
          <w:trHeight w:val="335"/>
          <w:jc w:val="center"/>
        </w:trPr>
        <w:tc>
          <w:tcPr>
            <w:tcW w:w="38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95B855C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Fumo</w:t>
            </w:r>
          </w:p>
        </w:tc>
      </w:tr>
      <w:tr w:rsidR="005E16F5" w:rsidRPr="00135E04" w14:paraId="5B4A687F" w14:textId="77777777" w:rsidTr="00496801">
        <w:trPr>
          <w:trHeight w:val="335"/>
          <w:jc w:val="center"/>
        </w:trPr>
        <w:tc>
          <w:tcPr>
            <w:tcW w:w="38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8E66F59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Minerais metálicos não-ferrosos</w:t>
            </w:r>
          </w:p>
        </w:tc>
      </w:tr>
      <w:tr w:rsidR="005E16F5" w:rsidRPr="00135E04" w14:paraId="6615C558" w14:textId="77777777" w:rsidTr="00496801">
        <w:trPr>
          <w:trHeight w:val="335"/>
          <w:jc w:val="center"/>
        </w:trPr>
        <w:tc>
          <w:tcPr>
            <w:tcW w:w="38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5097AEB2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Atividades de vigilância</w:t>
            </w:r>
          </w:p>
        </w:tc>
      </w:tr>
      <w:tr w:rsidR="005E16F5" w:rsidRPr="00135E04" w14:paraId="06C49A43" w14:textId="77777777" w:rsidTr="00496801">
        <w:trPr>
          <w:trHeight w:val="335"/>
          <w:jc w:val="center"/>
        </w:trPr>
        <w:tc>
          <w:tcPr>
            <w:tcW w:w="3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40A346" w14:textId="77777777" w:rsidR="005E16F5" w:rsidRPr="00135E04" w:rsidRDefault="005E16F5" w:rsidP="00496801">
            <w:pPr>
              <w:spacing w:after="240" w:line="360" w:lineRule="auto"/>
              <w:rPr>
                <w:rFonts w:ascii="Georgia" w:hAnsi="Georgia"/>
                <w:color w:val="000000"/>
                <w:sz w:val="20"/>
                <w:szCs w:val="20"/>
              </w:rPr>
            </w:pPr>
            <w:r w:rsidRPr="00135E04">
              <w:rPr>
                <w:rFonts w:ascii="Georgia" w:hAnsi="Georgia"/>
                <w:color w:val="000000"/>
                <w:sz w:val="20"/>
                <w:szCs w:val="20"/>
              </w:rPr>
              <w:t>Biocombustíveis</w:t>
            </w:r>
          </w:p>
        </w:tc>
      </w:tr>
    </w:tbl>
    <w:p w14:paraId="3F5EAA1F" w14:textId="77777777" w:rsidR="005E16F5" w:rsidRDefault="005E16F5" w:rsidP="005E16F5">
      <w:pPr>
        <w:spacing w:before="120" w:after="240" w:line="360" w:lineRule="auto"/>
        <w:ind w:left="-187" w:firstLine="1411"/>
        <w:jc w:val="both"/>
        <w:rPr>
          <w:rFonts w:ascii="Georgia" w:hAnsi="Georgia"/>
        </w:rPr>
      </w:pPr>
    </w:p>
    <w:p w14:paraId="2DB1406E" w14:textId="77777777" w:rsidR="005E16F5" w:rsidRPr="00135E04" w:rsidRDefault="005E16F5" w:rsidP="005E16F5">
      <w:pPr>
        <w:spacing w:before="120" w:after="240" w:line="360" w:lineRule="auto"/>
        <w:ind w:left="-187" w:firstLine="1411"/>
        <w:jc w:val="both"/>
        <w:rPr>
          <w:rFonts w:ascii="Georgia" w:hAnsi="Georgia"/>
        </w:rPr>
      </w:pPr>
      <w:r w:rsidRPr="00135E04">
        <w:rPr>
          <w:rFonts w:ascii="Georgia" w:hAnsi="Georgia"/>
        </w:rPr>
        <w:t xml:space="preserve">Para facilitar a visualização das comunidades, apresentamos elas separadamente nas Figuras </w:t>
      </w:r>
      <w:r>
        <w:rPr>
          <w:rFonts w:ascii="Georgia" w:hAnsi="Georgia"/>
        </w:rPr>
        <w:t>34S</w:t>
      </w:r>
      <w:r w:rsidRPr="00135E04">
        <w:rPr>
          <w:rFonts w:ascii="Georgia" w:hAnsi="Georgia"/>
        </w:rPr>
        <w:t xml:space="preserve"> a </w:t>
      </w:r>
      <w:r>
        <w:rPr>
          <w:rFonts w:ascii="Georgia" w:hAnsi="Georgia"/>
        </w:rPr>
        <w:t>37S</w:t>
      </w:r>
      <w:r w:rsidRPr="00135E04">
        <w:rPr>
          <w:rFonts w:ascii="Georgia" w:hAnsi="Georgia"/>
        </w:rPr>
        <w:t>, a seguir.</w:t>
      </w:r>
    </w:p>
    <w:p w14:paraId="04017549" w14:textId="77777777" w:rsidR="005E16F5" w:rsidRPr="00135E04" w:rsidRDefault="005E16F5" w:rsidP="005E16F5">
      <w:pPr>
        <w:spacing w:after="240" w:line="360" w:lineRule="auto"/>
        <w:ind w:left="-180" w:firstLine="708"/>
        <w:jc w:val="center"/>
        <w:rPr>
          <w:rFonts w:ascii="Georgia" w:hAnsi="Georgia"/>
        </w:rPr>
      </w:pPr>
      <w:r w:rsidRPr="00135E04">
        <w:rPr>
          <w:rFonts w:ascii="Georgia" w:hAnsi="Georgia"/>
        </w:rPr>
        <w:t xml:space="preserve">Figura </w:t>
      </w:r>
      <w:r>
        <w:rPr>
          <w:rFonts w:ascii="Georgia" w:hAnsi="Georgia"/>
        </w:rPr>
        <w:t>34S</w:t>
      </w:r>
      <w:r w:rsidRPr="00135E04">
        <w:rPr>
          <w:rFonts w:ascii="Georgia" w:hAnsi="Georgia"/>
        </w:rPr>
        <w:t xml:space="preserve"> – Rede de setores – Comunidade 1</w:t>
      </w:r>
      <w:r w:rsidRPr="00135E04">
        <w:rPr>
          <w:rFonts w:ascii="Georgia" w:hAnsi="Georgia"/>
          <w:noProof/>
        </w:rPr>
        <w:drawing>
          <wp:inline distT="0" distB="0" distL="0" distR="0" wp14:anchorId="72000E82" wp14:editId="07399015">
            <wp:extent cx="3306424" cy="3306425"/>
            <wp:effectExtent l="0" t="0" r="8890" b="8890"/>
            <wp:docPr id="4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382" cy="331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2346" w14:textId="77777777" w:rsidR="005E16F5" w:rsidRPr="00135E04" w:rsidRDefault="005E16F5" w:rsidP="005E16F5">
      <w:pPr>
        <w:spacing w:after="240" w:line="360" w:lineRule="auto"/>
        <w:rPr>
          <w:rFonts w:ascii="Georgia" w:hAnsi="Georgia"/>
        </w:rPr>
      </w:pPr>
      <w:r w:rsidRPr="00135E04">
        <w:rPr>
          <w:rFonts w:ascii="Georgia" w:hAnsi="Georgia"/>
        </w:rPr>
        <w:br w:type="page"/>
      </w:r>
    </w:p>
    <w:p w14:paraId="783EFF48" w14:textId="77777777" w:rsidR="005E16F5" w:rsidRPr="00135E04" w:rsidRDefault="005E16F5" w:rsidP="005E16F5">
      <w:pPr>
        <w:spacing w:after="240" w:line="360" w:lineRule="auto"/>
        <w:ind w:left="-180" w:firstLine="708"/>
        <w:jc w:val="center"/>
        <w:rPr>
          <w:rFonts w:ascii="Georgia" w:hAnsi="Georgia"/>
        </w:rPr>
      </w:pPr>
      <w:r w:rsidRPr="00135E04">
        <w:rPr>
          <w:rFonts w:ascii="Georgia" w:hAnsi="Georgia"/>
        </w:rPr>
        <w:lastRenderedPageBreak/>
        <w:t xml:space="preserve">Figura </w:t>
      </w:r>
      <w:r>
        <w:rPr>
          <w:rFonts w:ascii="Georgia" w:hAnsi="Georgia"/>
        </w:rPr>
        <w:t>35S</w:t>
      </w:r>
      <w:r w:rsidRPr="00135E04">
        <w:rPr>
          <w:rFonts w:ascii="Georgia" w:hAnsi="Georgia"/>
        </w:rPr>
        <w:t xml:space="preserve"> – Rede de setores – Comunidade 2</w:t>
      </w:r>
    </w:p>
    <w:p w14:paraId="23D4589B" w14:textId="77777777" w:rsidR="005E16F5" w:rsidRPr="00135E04" w:rsidRDefault="005E16F5" w:rsidP="005E16F5">
      <w:pPr>
        <w:spacing w:after="240" w:line="360" w:lineRule="auto"/>
        <w:ind w:left="-180" w:firstLine="1416"/>
        <w:jc w:val="center"/>
        <w:rPr>
          <w:rFonts w:ascii="Georgia" w:hAnsi="Georgia"/>
        </w:rPr>
      </w:pPr>
      <w:r w:rsidRPr="00135E04">
        <w:rPr>
          <w:rFonts w:ascii="Georgia" w:hAnsi="Georgia"/>
          <w:noProof/>
        </w:rPr>
        <w:drawing>
          <wp:inline distT="0" distB="0" distL="0" distR="0" wp14:anchorId="46593D09" wp14:editId="68876014">
            <wp:extent cx="3021760" cy="3021761"/>
            <wp:effectExtent l="0" t="0" r="7620" b="7620"/>
            <wp:docPr id="5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458" cy="303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7F812" w14:textId="77777777" w:rsidR="005E16F5" w:rsidRPr="00135E04" w:rsidRDefault="005E16F5" w:rsidP="005E16F5">
      <w:pPr>
        <w:spacing w:after="240" w:line="360" w:lineRule="auto"/>
        <w:ind w:left="-180" w:firstLine="708"/>
        <w:jc w:val="center"/>
        <w:rPr>
          <w:rFonts w:ascii="Georgia" w:hAnsi="Georgia"/>
        </w:rPr>
      </w:pPr>
      <w:r w:rsidRPr="00135E04">
        <w:rPr>
          <w:rFonts w:ascii="Georgia" w:hAnsi="Georgia"/>
        </w:rPr>
        <w:t xml:space="preserve">Figura </w:t>
      </w:r>
      <w:r>
        <w:rPr>
          <w:rFonts w:ascii="Georgia" w:hAnsi="Georgia"/>
        </w:rPr>
        <w:t>36S</w:t>
      </w:r>
      <w:r w:rsidRPr="00135E04">
        <w:rPr>
          <w:rFonts w:ascii="Georgia" w:hAnsi="Georgia"/>
        </w:rPr>
        <w:t xml:space="preserve"> – Rede de setores – Comunidade 3</w:t>
      </w:r>
    </w:p>
    <w:p w14:paraId="5DD48222" w14:textId="77777777" w:rsidR="005E16F5" w:rsidRDefault="005E16F5" w:rsidP="005E16F5">
      <w:pPr>
        <w:spacing w:after="240" w:line="360" w:lineRule="auto"/>
        <w:ind w:left="-180" w:firstLine="1416"/>
        <w:jc w:val="center"/>
        <w:rPr>
          <w:rFonts w:ascii="Georgia" w:hAnsi="Georgia"/>
        </w:rPr>
      </w:pPr>
      <w:r w:rsidRPr="00135E04">
        <w:rPr>
          <w:rFonts w:ascii="Georgia" w:hAnsi="Georgia"/>
          <w:noProof/>
        </w:rPr>
        <w:drawing>
          <wp:inline distT="0" distB="0" distL="0" distR="0" wp14:anchorId="2C7DC8FE" wp14:editId="70947710">
            <wp:extent cx="2825740" cy="2829175"/>
            <wp:effectExtent l="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40" cy="283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4A03" w14:textId="77777777" w:rsidR="005E16F5" w:rsidRDefault="005E16F5" w:rsidP="005E16F5">
      <w:pPr>
        <w:spacing w:after="240" w:line="360" w:lineRule="auto"/>
        <w:ind w:left="-180" w:firstLine="1416"/>
        <w:jc w:val="center"/>
        <w:rPr>
          <w:rFonts w:ascii="Georgia" w:hAnsi="Georgia"/>
        </w:rPr>
      </w:pPr>
    </w:p>
    <w:p w14:paraId="2CD13201" w14:textId="77777777" w:rsidR="005E16F5" w:rsidRDefault="005E16F5" w:rsidP="005E16F5">
      <w:pPr>
        <w:spacing w:after="240" w:line="360" w:lineRule="auto"/>
        <w:ind w:left="-180" w:firstLine="1416"/>
        <w:jc w:val="center"/>
        <w:rPr>
          <w:rFonts w:ascii="Georgia" w:hAnsi="Georgia"/>
        </w:rPr>
      </w:pPr>
    </w:p>
    <w:p w14:paraId="70780CD4" w14:textId="77777777" w:rsidR="005E16F5" w:rsidRDefault="005E16F5" w:rsidP="005E16F5">
      <w:pPr>
        <w:spacing w:after="240" w:line="360" w:lineRule="auto"/>
        <w:ind w:left="-180" w:firstLine="1416"/>
        <w:jc w:val="center"/>
        <w:rPr>
          <w:rFonts w:ascii="Georgia" w:hAnsi="Georgia"/>
        </w:rPr>
      </w:pPr>
    </w:p>
    <w:p w14:paraId="48911142" w14:textId="77777777" w:rsidR="005E16F5" w:rsidRDefault="005E16F5" w:rsidP="005E16F5">
      <w:pPr>
        <w:spacing w:after="240" w:line="360" w:lineRule="auto"/>
        <w:ind w:left="-180" w:firstLine="1416"/>
        <w:jc w:val="center"/>
        <w:rPr>
          <w:rFonts w:ascii="Georgia" w:hAnsi="Georgia"/>
        </w:rPr>
      </w:pPr>
    </w:p>
    <w:p w14:paraId="004FEEB7" w14:textId="77777777" w:rsidR="005E16F5" w:rsidRPr="00135E04" w:rsidRDefault="005E16F5" w:rsidP="005E16F5">
      <w:pPr>
        <w:spacing w:after="240" w:line="360" w:lineRule="auto"/>
        <w:ind w:left="-180" w:firstLine="1416"/>
        <w:jc w:val="center"/>
        <w:rPr>
          <w:rFonts w:ascii="Georgia" w:hAnsi="Georgia"/>
        </w:rPr>
      </w:pPr>
    </w:p>
    <w:p w14:paraId="15859EE0" w14:textId="77777777" w:rsidR="005E16F5" w:rsidRPr="00135E04" w:rsidRDefault="005E16F5" w:rsidP="005E16F5">
      <w:pPr>
        <w:spacing w:after="240" w:line="360" w:lineRule="auto"/>
        <w:ind w:left="-180" w:firstLine="1416"/>
        <w:jc w:val="center"/>
        <w:rPr>
          <w:rFonts w:ascii="Georgia" w:hAnsi="Georgia"/>
        </w:rPr>
      </w:pPr>
      <w:r w:rsidRPr="00135E04">
        <w:rPr>
          <w:rFonts w:ascii="Georgia" w:hAnsi="Georgia"/>
        </w:rPr>
        <w:t xml:space="preserve">Figura </w:t>
      </w:r>
      <w:r>
        <w:rPr>
          <w:rFonts w:ascii="Georgia" w:hAnsi="Georgia"/>
        </w:rPr>
        <w:t>37S</w:t>
      </w:r>
      <w:r w:rsidRPr="00135E04">
        <w:rPr>
          <w:rFonts w:ascii="Georgia" w:hAnsi="Georgia"/>
        </w:rPr>
        <w:t xml:space="preserve"> – Rede de setores – Comunidade 4</w:t>
      </w:r>
    </w:p>
    <w:p w14:paraId="422CBA4A" w14:textId="77777777" w:rsidR="005E16F5" w:rsidRPr="00135E04" w:rsidRDefault="005E16F5" w:rsidP="005E16F5">
      <w:pPr>
        <w:spacing w:after="240" w:line="360" w:lineRule="auto"/>
        <w:ind w:left="-180" w:firstLine="1416"/>
        <w:jc w:val="center"/>
        <w:rPr>
          <w:rFonts w:ascii="Georgia" w:hAnsi="Georgia"/>
        </w:rPr>
      </w:pPr>
      <w:r w:rsidRPr="00135E04">
        <w:rPr>
          <w:rFonts w:ascii="Georgia" w:hAnsi="Georgia"/>
          <w:noProof/>
        </w:rPr>
        <w:drawing>
          <wp:inline distT="0" distB="0" distL="0" distR="0" wp14:anchorId="0AA882E6" wp14:editId="7DB25C2F">
            <wp:extent cx="2811658" cy="2420870"/>
            <wp:effectExtent l="0" t="0" r="8255" b="0"/>
            <wp:docPr id="6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941" cy="24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7D24" w14:textId="77777777" w:rsidR="00A46291" w:rsidRDefault="00ED43E9"/>
    <w:sectPr w:rsidR="00A462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E99DB" w14:textId="77777777" w:rsidR="00ED43E9" w:rsidRDefault="00ED43E9" w:rsidP="005E16F5">
      <w:r>
        <w:separator/>
      </w:r>
    </w:p>
  </w:endnote>
  <w:endnote w:type="continuationSeparator" w:id="0">
    <w:p w14:paraId="659344FF" w14:textId="77777777" w:rsidR="00ED43E9" w:rsidRDefault="00ED43E9" w:rsidP="005E1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72C07" w14:textId="77777777" w:rsidR="00ED43E9" w:rsidRDefault="00ED43E9" w:rsidP="005E16F5">
      <w:r>
        <w:separator/>
      </w:r>
    </w:p>
  </w:footnote>
  <w:footnote w:type="continuationSeparator" w:id="0">
    <w:p w14:paraId="5DE9E7E4" w14:textId="77777777" w:rsidR="00ED43E9" w:rsidRDefault="00ED43E9" w:rsidP="005E16F5">
      <w:r>
        <w:continuationSeparator/>
      </w:r>
    </w:p>
  </w:footnote>
  <w:footnote w:id="1">
    <w:p w14:paraId="3E8784D7" w14:textId="77777777" w:rsidR="005E16F5" w:rsidRPr="0058136F" w:rsidRDefault="005E16F5" w:rsidP="005E16F5">
      <w:pPr>
        <w:pStyle w:val="Textodenotaderodap"/>
        <w:rPr>
          <w:rFonts w:ascii="Georgia" w:hAnsi="Georgia"/>
        </w:rPr>
      </w:pPr>
      <w:r w:rsidRPr="0058136F">
        <w:rPr>
          <w:rStyle w:val="Refdenotaderodap"/>
          <w:rFonts w:ascii="Georgia" w:hAnsi="Georgia"/>
        </w:rPr>
        <w:footnoteRef/>
      </w:r>
      <w:r w:rsidRPr="0058136F">
        <w:rPr>
          <w:rFonts w:ascii="Georgia" w:hAnsi="Georgia"/>
        </w:rPr>
        <w:t xml:space="preserve"> “Origem da demanda final” </w:t>
      </w:r>
      <w:r>
        <w:rPr>
          <w:rFonts w:ascii="Georgia" w:hAnsi="Georgia"/>
        </w:rPr>
        <w:t>em Guilhoto et al. (2017)</w:t>
      </w:r>
      <w:r w:rsidRPr="0058136F">
        <w:rPr>
          <w:rFonts w:ascii="Georgia" w:hAnsi="Georgia"/>
        </w:rPr>
        <w:t>.</w:t>
      </w:r>
    </w:p>
  </w:footnote>
  <w:footnote w:id="2">
    <w:p w14:paraId="6FFFF90E" w14:textId="77777777" w:rsidR="005E16F5" w:rsidRPr="009B6052" w:rsidRDefault="005E16F5" w:rsidP="005E16F5">
      <w:pPr>
        <w:pStyle w:val="Textodenotaderodap"/>
        <w:jc w:val="both"/>
      </w:pPr>
      <w:r w:rsidRPr="009B6052">
        <w:rPr>
          <w:rStyle w:val="Refdenotaderodap"/>
        </w:rPr>
        <w:footnoteRef/>
      </w:r>
      <w:r w:rsidRPr="009B6052">
        <w:t xml:space="preserve"> </w:t>
      </w:r>
      <w:r>
        <w:rPr>
          <w:rFonts w:ascii="Georgia" w:hAnsi="Georgia"/>
        </w:rPr>
        <w:t xml:space="preserve">Observe mais uma vez que em uma rede dirigida </w:t>
      </w:r>
      <w:r w:rsidRPr="009B6052">
        <w:rPr>
          <w:rFonts w:ascii="Georgia" w:hAnsi="Georgia"/>
        </w:rPr>
        <w:t xml:space="preserve"> o valor dos graus </w:t>
      </w:r>
      <w:r>
        <w:rPr>
          <w:rFonts w:ascii="Georgia" w:hAnsi="Georgia"/>
        </w:rPr>
        <w:t xml:space="preserve">da distribuição </w:t>
      </w:r>
      <w:r w:rsidRPr="009B6052">
        <w:rPr>
          <w:rFonts w:ascii="Georgia" w:hAnsi="Georgia"/>
        </w:rPr>
        <w:t>se refere à soma de entradas e saídas</w:t>
      </w:r>
      <w:r>
        <w:rPr>
          <w:rFonts w:ascii="Georgia" w:hAnsi="Georgia"/>
        </w:rPr>
        <w:t>. Na rede com 27 Unidades da Federação</w:t>
      </w:r>
      <w:r w:rsidRPr="009B6052">
        <w:rPr>
          <w:rFonts w:ascii="Georgia" w:hAnsi="Georgia"/>
        </w:rPr>
        <w:t>, o grau máximo na distribuição reportada não é de 2</w:t>
      </w:r>
      <w:r>
        <w:rPr>
          <w:rFonts w:ascii="Georgia" w:hAnsi="Georgia"/>
        </w:rPr>
        <w:t>7</w:t>
      </w:r>
      <w:r w:rsidRPr="009B6052">
        <w:rPr>
          <w:rFonts w:ascii="Georgia" w:hAnsi="Georgia"/>
        </w:rPr>
        <w:t>, mas de 5</w:t>
      </w:r>
      <w:r>
        <w:rPr>
          <w:rFonts w:ascii="Georgia" w:hAnsi="Georgia"/>
        </w:rPr>
        <w:t>4</w:t>
      </w:r>
      <w:r w:rsidRPr="009B6052">
        <w:rPr>
          <w:rFonts w:ascii="Georgia" w:hAnsi="Georgia"/>
        </w:rPr>
        <w:t xml:space="preserve"> (2 x 2</w:t>
      </w:r>
      <w:r>
        <w:rPr>
          <w:rFonts w:ascii="Georgia" w:hAnsi="Georgia"/>
        </w:rPr>
        <w:t>7</w:t>
      </w:r>
      <w:r w:rsidRPr="009B6052">
        <w:rPr>
          <w:rFonts w:ascii="Georgia" w:hAnsi="Georgia"/>
        </w:rPr>
        <w:t>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421B2A"/>
    <w:multiLevelType w:val="multilevel"/>
    <w:tmpl w:val="D1A2D2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6F5"/>
    <w:rsid w:val="00577AA3"/>
    <w:rsid w:val="005E16F5"/>
    <w:rsid w:val="00C1758B"/>
    <w:rsid w:val="00ED4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80B1F"/>
  <w15:chartTrackingRefBased/>
  <w15:docId w15:val="{8B916749-D191-4194-B783-85DA1E2B8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6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E16F5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E16F5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5E16F5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5E16F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983</Words>
  <Characters>5313</Characters>
  <Application>Microsoft Office Word</Application>
  <DocSecurity>0</DocSecurity>
  <Lines>44</Lines>
  <Paragraphs>12</Paragraphs>
  <ScaleCrop>false</ScaleCrop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Fernando Nery</dc:creator>
  <cp:keywords/>
  <dc:description/>
  <cp:lastModifiedBy>Pedro Fernando Nery</cp:lastModifiedBy>
  <cp:revision>1</cp:revision>
  <dcterms:created xsi:type="dcterms:W3CDTF">2021-08-05T21:27:00Z</dcterms:created>
  <dcterms:modified xsi:type="dcterms:W3CDTF">2021-08-05T21:27:00Z</dcterms:modified>
</cp:coreProperties>
</file>