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120" w:before="240"/>
      </w:pPr>
      <w:r>
        <w:rPr>
          <w:rFonts w:ascii="Verdana;Bitstream Vera Sans;sans-serif" w:hAnsi="Verdana;Bitstream Vera Sans;sans-serif"/>
        </w:rPr>
        <w:t>sieve-router</w:t>
      </w:r>
    </w:p>
    <w:p>
      <w:pPr>
        <w:pStyle w:val="style1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Summary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sieve-router je SMTP proxy. Treba raditi kao komponenta mail sustava koja se integrira u Postfix MTA, i omogućiti sljedeću funkcionalnost:</w:t>
      </w:r>
    </w:p>
    <w:p>
      <w:pPr>
        <w:pStyle w:val="style20"/>
        <w:numPr>
          <w:ilvl w:val="0"/>
          <w:numId w:val="1"/>
        </w:numPr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tabs>
          <w:tab w:leader="none" w:pos="707" w:val="left"/>
        </w:tabs>
        <w:spacing w:after="0" w:before="0"/>
        <w:ind w:hanging="283" w:left="707" w:right="0"/>
      </w:pPr>
      <w:r>
        <w:rPr>
          <w:rFonts w:ascii="Verdana;Bitstream Vera Sans;sans-serif" w:hAnsi="Verdana;Bitstream Vera Sans;sans-serif"/>
        </w:rPr>
        <w:t xml:space="preserve">provjeru sadrzaja zaglavlja, bodyja, i envelope po: točnoj vrijednosti, regular expression matchu (ERE ili Posix RE ili PCRE) te kombinacije uvjeta (and, or, not) </w:t>
      </w:r>
    </w:p>
    <w:p>
      <w:pPr>
        <w:pStyle w:val="style20"/>
        <w:numPr>
          <w:ilvl w:val="0"/>
          <w:numId w:val="1"/>
        </w:numPr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tabs>
          <w:tab w:leader="none" w:pos="707" w:val="left"/>
        </w:tabs>
        <w:spacing w:after="0" w:before="0"/>
        <w:ind w:hanging="283" w:left="707" w:right="0"/>
      </w:pPr>
      <w:r>
        <w:rPr>
          <w:rFonts w:ascii="Verdana;Bitstream Vera Sans;sans-serif" w:hAnsi="Verdana;Bitstream Vera Sans;sans-serif"/>
        </w:rPr>
        <w:t xml:space="preserve">prihvaćanje, routanje ili odbacivanje poruke ovisno o tim uvjetima na različiti SMTP destination ili bacanje u smeće uz logiranje sadrzaja u .mbox ili Maildir </w:t>
      </w:r>
    </w:p>
    <w:p>
      <w:pPr>
        <w:pStyle w:val="style20"/>
        <w:numPr>
          <w:ilvl w:val="0"/>
          <w:numId w:val="1"/>
        </w:numPr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tabs>
          <w:tab w:leader="none" w:pos="707" w:val="left"/>
        </w:tabs>
        <w:ind w:hanging="283" w:left="707" w:right="0"/>
      </w:pPr>
      <w:r>
        <w:rPr>
          <w:rFonts w:ascii="Verdana;Bitstream Vera Sans;sans-serif" w:hAnsi="Verdana;Bitstream Vera Sans;sans-serif"/>
        </w:rPr>
        <w:t xml:space="preserve">podrška za različito routanje poruke u više kopija u slučaju da se na ulazu dobije poruka sa više od jednog RCPT TO </w:t>
      </w:r>
    </w:p>
    <w:p>
      <w:pPr>
        <w:pStyle w:val="style1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Deliverables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Iskonu treba pripadati kompletni source kod. Stroga preferencija na implementaciju u Perl, Python ili drugom čestom skriptnom jeziku koji omogućava jednostavne izmjene po potrebi od strane administratora, osim ukoliko to ruši niže navedene performansne zahtjeve. Dozvoljena je uporaba open-source komponenti.</w:t>
      </w:r>
    </w:p>
    <w:p>
      <w:pPr>
        <w:pStyle w:val="style1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Funkcijska specifikacija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smtp proxy treba izgledati kao TCP servis koji sluša na konfigurabilnoj IP adresi i portu, i raditi kao Postfix content_filter[1]. Mailove treba prosljeđivati natrag MTA također na konfigurabilnoj IP adresi i portu. Proxy treba moći servirati barem 40-4000 zahtjeva istovremeno, sa podesivim limitom. Servis se treba moći pokretati pod običnim korisnikom, i raditi na bar jedan od ova dva načina:</w:t>
      </w:r>
    </w:p>
    <w:p>
      <w:pPr>
        <w:pStyle w:val="style20"/>
        <w:numPr>
          <w:ilvl w:val="0"/>
          <w:numId w:val="2"/>
        </w:numPr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tabs>
          <w:tab w:leader="none" w:pos="707" w:val="left"/>
        </w:tabs>
        <w:spacing w:after="0" w:before="0"/>
        <w:ind w:hanging="283" w:left="707" w:right="0"/>
      </w:pPr>
      <w:r>
        <w:rPr>
          <w:rFonts w:ascii="Verdana;Bitstream Vera Sans;sans-serif" w:hAnsi="Verdana;Bitstream Vera Sans;sans-serif"/>
        </w:rPr>
        <w:t xml:space="preserve">tipični Debian standalone servis koji se sam daemonizira, spremi pid file po /var/run/servicename.pid, i koristi syslog za logiranje (mail.* ili local2.* facility), ili kao </w:t>
      </w:r>
    </w:p>
    <w:p>
      <w:pPr>
        <w:pStyle w:val="style20"/>
        <w:numPr>
          <w:ilvl w:val="0"/>
          <w:numId w:val="2"/>
        </w:numPr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tabs>
          <w:tab w:leader="none" w:pos="707" w:val="left"/>
        </w:tabs>
        <w:ind w:hanging="283" w:left="707" w:right="0"/>
      </w:pPr>
      <w:r>
        <w:rPr>
          <w:rFonts w:ascii="Verdana;Bitstream Vera Sans;sans-serif" w:hAnsi="Verdana;Bitstream Vera Sans;sans-serif"/>
        </w:rPr>
        <w:t xml:space="preserve">servis pod DJB daemontoolsima (u foregroundu i log daje na stdout). 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Log kod uspješno proslijeđene poruke treba sadržavati akciju ili niz akcija izvedenih nad porukom, message-id poruke, envelope from i to, interni queue id za korelaciju Postfix i sieve-filter logova. Log slati na syslog, podesivi syslog facility i po defaultu mail. Queue id može sadržavati npr. unix timestamp, process id klijentskog, neka jedinstvena vrijednost (npr. redni broj ulazne poruke koju je taj proces obradio) i redni broj primatelja ukoliko je poruku trebalo razdvojiti na više od jedne kopije, ili bilo kakvu drugu shemu. Bitno da se može pratiti tok za svaku kopiju poruke i svakog primatelja.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Prijedlog formata: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dvije jednostavne poruke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2011-09-14T06:25:20 id=4E702CB0_1337_39_1 f=&lt;blah@example.com&gt; t=&lt;foo@example.org&gt; action=pass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2011-09-14T06:25:20 id=4E702CB0_1337_40_1 f=&lt;glubglubglub@iskon.hr&gt; t=&lt;bar@example.com&gt; action=pass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poruka routana sa action route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2011-09-14T06:25:21 id=4E702CB1_1337_41_1 f=&lt;&gt; t=&lt;bedrockssvj@tcsn.net&gt; action=route:mxout.iskon.hr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poruka sa tri primatelja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2011-09-14T06:25:22 id=4E702CB2_1337_42_1 f=&lt;jelly@iskon.hr&gt; t=&lt;iskon.test@gmail.com&gt; action=pass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2011-09-14T06:25:22 id=4E702CB2_1337_42_2 f=&lt;jelly@iskon.hr&gt; t=&lt;jelly@iskon.hr&gt; action=route:127.0.0.1:10028,copyid=4E702CB2_1360_1_1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2011-09-14T06:25:23 id=4E702CB2_1337_42_3 f=&lt;jelly@iskon.hr&gt; t=&lt;devnull@iskon.hr&gt; action=discard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poruka sa dvije akcije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2011-09-14T06:25:25 id=4E702CB5_1338_43_1 f=&lt;support@inet.hr&gt; t=&lt;naivec@yahoo.com&gt; action=fileinto:spam-fake-support,discard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kopija poruke sa tri primatelja u lokalnom queueu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2011-09-14T06:27:26 id=4E702CB2_1360_1_1 f=&lt;jelly@iskon.hr&gt; t=&lt;jelly@iskon.hr&gt; action=route:127.0.0.1:10028_(deferred:connection refused)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2011-09-14T06:32:28 id=4E702CB2_1360_1_1 f=&lt;jelly@iskon.hr&gt; t=&lt;jelly@iskon.hr&gt; action=route:127.0.0.1:10028_(250_2.0.0_Ok:_queued_as_4C44B2E379B)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Konfiguracijske datoteke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Primjer konfiguracijske datoteke </w:t>
      </w:r>
      <w:r>
        <w:rPr>
          <w:rStyle w:val="style16"/>
          <w:rFonts w:ascii="Verdana;Bitstream Vera Sans;sans-serif" w:hAnsi="Verdana;Bitstream Vera Sans;sans-serif"/>
        </w:rPr>
        <w:t>/etc/sieve-router/sieve-router.conf</w:t>
      </w:r>
      <w:r>
        <w:rPr>
          <w:rFonts w:ascii="Verdana;Bitstream Vera Sans;sans-serif" w:hAnsi="Verdana;Bitstream Vera Sans;sans-serif"/>
        </w:rPr>
        <w:t>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server stuff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bind ip:port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listen      = 127.0.0.1:10025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default route for pass action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destination = 127.0.0.1:10026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/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limit number of child processes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maxchildren = 100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/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fileinto action destination, eg.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fileinto "suspicious" would store mails into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/opt/home/bccuser/Maildir/suspicious/ Maildir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mboxhome    = /opt/home/bccuser/Maildir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mboxtype    = Maildir # Maildir ili mbox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Točna sintaksa globalne konfiguracijske datoteke nije toliko bitna.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Primjer konfiguracijske datoteke za </w:t>
      </w:r>
      <w:r>
        <w:rPr>
          <w:rStyle w:val="style16"/>
          <w:rFonts w:ascii="Verdana;Bitstream Vera Sans;sans-serif" w:hAnsi="Verdana;Bitstream Vera Sans;sans-serif"/>
        </w:rPr>
        <w:t>/etc/sieve-router/sieve-router.siv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Discard if probable spam and suspect From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allof (header :contains ["X-SpamTest-Status"] ["SPAM"],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  </w:t>
      </w:r>
      <w:r>
        <w:rPr>
          <w:rStyle w:val="style16"/>
          <w:rFonts w:ascii="Verdana;Bitstream Vera Sans;sans-serif" w:hAnsi="Verdana;Bitstream Vera Sans;sans-serif"/>
        </w:rPr>
        <w:t xml:space="preserve">header :contains "From" "inet.hr support") {  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fileinto "spam-from-fake-support";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discard;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 xml:space="preserve">stop;   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Discard if probable spam and from domain "@dsl.iskon.hr"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allof (header :contains ["X-SpamTest-Status"] ["SPAM"],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  </w:t>
      </w:r>
      <w:r>
        <w:rPr>
          <w:rStyle w:val="style16"/>
          <w:rFonts w:ascii="Verdana;Bitstream Vera Sans;sans-serif" w:hAnsi="Verdana;Bitstream Vera Sans;sans-serif"/>
        </w:rPr>
        <w:t>address :all :matches :comparator "i;ascii-casemap" ["from"]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         </w:t>
      </w:r>
      <w:r>
        <w:rPr>
          <w:rStyle w:val="style16"/>
          <w:rFonts w:ascii="Verdana;Bitstream Vera Sans;sans-serif" w:hAnsi="Verdana;Bitstream Vera Sans;sans-serif"/>
        </w:rPr>
        <w:t>["**@dsl.iskon.hr"])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</w:t>
      </w:r>
      <w:r>
        <w:rPr>
          <w:rStyle w:val="style16"/>
          <w:rFonts w:ascii="Verdana;Bitstream Vera Sans;sans-serif" w:hAnsi="Verdana;Bitstream Vera Sans;sans-serif"/>
        </w:rPr>
        <w:t>fileinto "spam-from-dsl";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</w:t>
      </w:r>
      <w:r>
        <w:rPr>
          <w:rStyle w:val="style16"/>
          <w:rFonts w:ascii="Verdana;Bitstream Vera Sans;sans-serif" w:hAnsi="Verdana;Bitstream Vera Sans;sans-serif"/>
        </w:rPr>
        <w:t>discard;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Route messages with any recipients in .hr to :10028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envelope :any :matches "to" "\.hr$"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route "127.0.0.1:10028";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Route all DSN messages to mxout.iskon.hr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envelope :all :is "from" ""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route "mxout.iskon.hr";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Drop all messages for this recipient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envelope :any :is "to" "devnull@iskon.hr"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discard;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Ponašanje SMTP servisa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SMTP proxy treba poštivati uobičajena pravila SMTP poslužitelja, sa naglaskom na čuvanje poruka po svaku cijenu.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SMTP proxy propušta svaku poruku kroz sieve ili sličan sustav pravila nakon DATA dijela SMTP dijaloga.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Kada poruka ima više od jednog envelope primatelja, poruku treba interno razdvojiti i razmatrati Sieve pravila za svakog primatelja zasebno. Da bi se spriječilo višestruko slanje istom primatelju, ove poruke treba čuvati u lokalnom queueu. Queue mora biti perzistentan, ukratko, mail se ne smije gubiti. Kao odgovor prethodnom MTA dovoljno je proslijediti rezultat za </w:t>
      </w:r>
      <w:r>
        <w:rPr>
          <w:rStyle w:val="style17"/>
          <w:rFonts w:ascii="Verdana;Bitstream Vera Sans;sans-serif" w:hAnsi="Verdana;Bitstream Vera Sans;sans-serif"/>
        </w:rPr>
        <w:t>prvog</w:t>
      </w:r>
      <w:r>
        <w:rPr>
          <w:rFonts w:ascii="Verdana;Bitstream Vera Sans;sans-serif" w:hAnsi="Verdana;Bitstream Vera Sans;sans-serif"/>
        </w:rPr>
        <w:t xml:space="preserve"> primatelja iz liste envelope-recipienata. Za ostale primatelje rezultati će se vidjeti u logu servisa, a poveznica je sieve-filter queue id.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Primjer: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* Connect to localhost:10025 (sieve-filter):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220 localhost ESMTP sieve-filter 0.5; Wed, 14 Sep 2011 15:18:00 +0200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EHLO localhost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250-Pleased to meet you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250-ENHANCEDSTATUSCODES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250-8BITMIME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PIPELINING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MAIL FROM:&lt;jelly@iskon.hr&gt;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2.1.0 Sender Ok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RCPT TO:&lt;iskon.test@gmail.com&gt;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2.1.5 Recipient Ok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RCPT TO:&lt;jelly@iskon.hr&gt;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2.1.5 Recipient Ok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RCPT TO:&lt;devnull@iskon.hr&gt;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2.1.5 Recipient Ok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DATA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354 3.3.0 Enter mail, end with &lt;CRLF&gt;.&lt;CRLF&gt;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From: jelly &lt;jelly@iskon.hr&gt;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To: testna adresa na GMailu &lt;iskon.test@gmail.com&gt;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Cc: Zoran Dzelajlija &lt;jelly@iskon.hr&gt;,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  devnull@iskon.hr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Subject: proba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Date: Wed, 14 Sep 2011 15:27:32 +0200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Message-ID: &lt;1316006871.1337@mail.iskon.hr&gt;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 xml:space="preserve">&gt; 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proba.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.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2.0.0 Ok id=4E702CB2_1337_42_1 pass (2.0.0 Ok: queued as B96748A037 )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&gt; QUIT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221 2.0.0 Good bye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* Connection closed by foreign host.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Ukoliko dođe do neplanirane greške u tijeku rada nakon HELO/EHLO, MAIL FROM, RCPT TO ili DATA SMTP naredbe, filter treba SMTP klijentu vratiti adekvatnu 4xx poruku o grešci i zatvoriti sesiju.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Ukoliko je finalna akcija za primatelja pass, bilo eksplicitni ili implicitni, sieve-router treba proslijediti poruku sljedećem SMTP serveru u nizu. Tek nakon primljenog 2xx odgovora od odredišnog smtp servera sieve-router treba izvornom SMTP klijentu odgovoriti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250 2.0.0 Ok: id=4E702CB5_1337_666_1 pass (odgovor odredišnog smtp servera)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i očekivati dovršenje SMTP sesije.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Ukoliko je finalna akcija za primatelja route, sieve-router treba proslijediti poruku sljedećem SMTP serveru u nizu. Tek nakon primljenog 2xx odgovora od odredišnog smtp servera sieve-router treba izvornom SMTP klijentu odgovoriti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250 2.0.0 Ok: id=4E702CB5_1337_666_1 route "routeparam" (odgovor odredišnog smtp servera)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i očekivati dovršenje SMTP sesije.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Ukoliko za pass ili route akciju odredišni server timeouta, ili javi 4xx ili 5xx odgovor, izvornom SMTP klijentu odgovoriti privremenom greškom, npr: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450 4.4.1 Deferred: id=4E702CB5_1337_666_1 remote ip.ad.re.ss:port timed out after DATA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450 4.4.1 Deferred: id=4E702CB5_1337_666_1 remote ip.ad.re.ss:port timed out after RCPT TO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450 4.4.1 Deferred: id=4E702CB5_1337_666_1 remote ip.ad.re.ss:port said odgovor-odredišnog-smtp-servera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 log umjesto action upisati tempfail= i akciju: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2011-09-14T06:25:25 id=4E702CB5_1337_666_1 f=&lt;pomoc@iskon.hr&gt; t=&lt;hmha@example.com&gt; tempfail=route:ip.ad.re.ss:port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Ukoliko je finalna akcija discard, kao odgovor na DATA sieve-router treba SMTP klijentu javiti sljedeće: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250 2.0.0 Ok: id=4E702CB5_1337_666_1 discarded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 log zapisati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2011-09-14T06:25:25 id=4E702CB5_1337_666_1 f=&lt;support@inet.hr&gt; t=&lt;hmha@example.com&gt; action=discard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Ukoliko je akciji discard prethodila jedna ili više akcija fileinto, sieve-router treba kao odgovor na DATA SMTP klijentu javiti sljedeće: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250 2.0.0 Ok: id=4E702CB5_1337_666_1 fileinto "mboxparam", discarded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/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250 2.0.0 Ok: id 4E702CB5_1337_666_1 fileinto "mboxparam", fileinto "mboxparam2", discarded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Log: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2011-09-14T06:25:25 id=4E702CB5_1337_666_1 f=&lt;support@inet.hr&gt; t=&lt;naivec@example.com&gt; action=fileinto:"spam-fake-support",discard</w:t>
      </w:r>
    </w:p>
    <w:p>
      <w:pPr>
        <w:pStyle w:val="style1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Filter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Jezik za definiciju pravila za provjeru i finalnu akciju idealno neka bude podskup Sieve jezika (</w:t>
      </w:r>
      <w:bookmarkStart w:id="0" w:name="__DdeLink__3_1179293713"/>
      <w:r>
        <w:rPr>
          <w:rFonts w:ascii="Verdana;Bitstream Vera Sans;sans-serif" w:hAnsi="Verdana;Bitstream Vera Sans;sans-serif"/>
        </w:rPr>
        <w:t>http://tools.ietf.org/html/rfc5228/</w:t>
      </w:r>
      <w:bookmarkEnd w:id="0"/>
      <w:r>
        <w:rPr>
          <w:rFonts w:ascii="Verdana;Bitstream Vera Sans;sans-serif" w:hAnsi="Verdana;Bitstream Vera Sans;sans-serif"/>
        </w:rPr>
        <w:t>) uz ekstenziju za provjeru tijela poruke (RFC 5173, http://tools.ietf.org/html/rfc5173/), i custom Action ekstenziju za routanje maila na proizvoljni SMTP server:port.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Testovi koji MORAJU biti implementirani iz RFC5228: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5.1. Test address ..............................................26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5.2. Test allof ................................................27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5.3. Test anyof ................................................27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5.4. Test envelope .............................................27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5.5. Test exists ...............................................28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5.6. Test false ................................................28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5.7. Test header ...............................................29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5.8. Test not ..................................................29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5.9. Test size .................................................29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5.10. Test true ................................................30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Akcije koje MORAJU biti implementirane: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4.1. Action fileinto ...........................................23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4.3. Action keep ...............................................24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4.4. Action discard ............................................25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Sintaksa za kontrolu toka koja MORA biti implementirana: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3.1. Control if ................................................21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3.3. Control stop ..............................................22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Test iz RFC5173: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4.  Test body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Odredišna putanja za </w:t>
      </w:r>
      <w:r>
        <w:rPr>
          <w:rStyle w:val="style16"/>
          <w:rFonts w:ascii="Verdana;Bitstream Vera Sans;sans-serif" w:hAnsi="Verdana;Bitstream Vera Sans;sans-serif"/>
        </w:rPr>
        <w:t>4.1. Action fileinto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Putanju za spremanje poruka računati na sljedeći način: umjesto standardnih putanja za korisnički inbox, fileinto treba foldere kreirati i zapisivati u direktoriju specificiranom u "mboxhome" varijabli u glavnoj konfogiuracijskoj datoteci.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Primjer. Ako u </w:t>
      </w:r>
      <w:r>
        <w:rPr>
          <w:rStyle w:val="style16"/>
          <w:rFonts w:ascii="Verdana;Bitstream Vera Sans;sans-serif" w:hAnsi="Verdana;Bitstream Vera Sans;sans-serif"/>
        </w:rPr>
        <w:t>sieve-router.siv</w:t>
      </w:r>
      <w:r>
        <w:rPr>
          <w:rFonts w:ascii="Verdana;Bitstream Vera Sans;sans-serif" w:hAnsi="Verdana;Bitstream Vera Sans;sans-serif"/>
        </w:rPr>
        <w:t xml:space="preserve"> Sieve konfiguraciji piše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 xml:space="preserve"># 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envelope :all :matches :comparator "i;ascii-casemap" ["from"]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         </w:t>
      </w:r>
      <w:r>
        <w:rPr>
          <w:rStyle w:val="style16"/>
          <w:rFonts w:ascii="Verdana;Bitstream Vera Sans;sans-serif" w:hAnsi="Verdana;Bitstream Vera Sans;sans-serif"/>
        </w:rPr>
        <w:t>["**@dsl.iskon.hr"])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</w:t>
      </w:r>
      <w:r>
        <w:rPr>
          <w:rStyle w:val="style16"/>
          <w:rFonts w:ascii="Verdana;Bitstream Vera Sans;sans-serif" w:hAnsi="Verdana;Bitstream Vera Sans;sans-serif"/>
        </w:rPr>
        <w:t>fileinto "spam-from-dsl";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</w:t>
      </w:r>
      <w:r>
        <w:rPr>
          <w:rStyle w:val="style16"/>
          <w:rFonts w:ascii="Verdana;Bitstream Vera Sans;sans-serif" w:hAnsi="Verdana;Bitstream Vera Sans;sans-serif"/>
        </w:rPr>
        <w:t>discard;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i u </w:t>
      </w:r>
      <w:r>
        <w:rPr>
          <w:rStyle w:val="style16"/>
          <w:rFonts w:ascii="Verdana;Bitstream Vera Sans;sans-serif" w:hAnsi="Verdana;Bitstream Vera Sans;sans-serif"/>
        </w:rPr>
        <w:t>sieve-router.conf</w:t>
      </w:r>
      <w:r>
        <w:rPr>
          <w:rFonts w:ascii="Verdana;Bitstream Vera Sans;sans-serif" w:hAnsi="Verdana;Bitstream Vera Sans;sans-serif"/>
        </w:rPr>
        <w:t xml:space="preserve"> piše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mboxhome    = /var/lib/sieve-filter/logs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mboxtype    = Maildir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U tom slučaju bi poruke kojima je u envelope-from pisalo npr. </w:t>
      </w:r>
      <w:hyperlink r:id="rId2">
        <w:r>
          <w:rPr>
            <w:rStyle w:val="style18"/>
            <w:rFonts w:ascii="Verdana;Bitstream Vera Sans;sans-serif" w:hAnsi="Verdana;Bitstream Vera Sans;sans-serif"/>
          </w:rPr>
          <w:t>notspam@dsl.iskon.hr</w:t>
        </w:r>
      </w:hyperlink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trebaju biti spremljene u Maildir format folder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/var/lib/sieve-filter/logs/spam-from-dsl/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Servis prilikom pokretanja treba provjeriti ima li prava pisati u mboxhome i u slučaju greške istu treba logirati i ne pokrenuti servis.</w:t>
      </w:r>
    </w:p>
    <w:p>
      <w:pPr>
        <w:pStyle w:val="style2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Custom akcija route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Ovo je nova akcija, nedefinirana u RFC5228 ni 5173: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Action route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route &lt;string&gt;;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obavezni string parametar treba podrzavati format: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( ip.ad.dre.ss | hostname ) [:port]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 xml:space="preserve">Akcija route za navedenu poruku umjesto globalne route postavke upućuje sieve-router da šalje poruku na specificirani SMTP server i port. Ukoliko je zadan hostname, treba resolvati A ili AAAA zapis, nikako </w:t>
      </w:r>
      <w:r>
        <w:rPr>
          <w:rStyle w:val="style17"/>
          <w:rFonts w:ascii="Verdana;Bitstream Vera Sans;sans-serif" w:hAnsi="Verdana;Bitstream Vera Sans;sans-serif"/>
        </w:rPr>
        <w:t>ne</w:t>
      </w:r>
      <w:r>
        <w:rPr>
          <w:rFonts w:ascii="Verdana;Bitstream Vera Sans;sans-serif" w:hAnsi="Verdana;Bitstream Vera Sans;sans-serif"/>
        </w:rPr>
        <w:t xml:space="preserve"> MX zapis. Nije nužno implementirati interni caching sustav za zapise, na serveru se vrti lokalni dns cache.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Primjer: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routaj sve poruke za primatelje u .hr na :10028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envelope :any :matches "to" "\.hr$"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route "127.0.0.1:10028";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# routaj sve DSN poruke na mxout.iskon.hr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  <w:rFonts w:ascii="Verdana;Bitstream Vera Sans;sans-serif" w:hAnsi="Verdana;Bitstream Vera Sans;sans-serif"/>
        </w:rPr>
        <w:t>if envelope :all :is "from" "" {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route "mxout.iskon.hr";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Style w:val="style16"/>
        </w:rPr>
        <w:t xml:space="preserve">    </w:t>
      </w:r>
      <w:r>
        <w:rPr>
          <w:rStyle w:val="style16"/>
          <w:rFonts w:ascii="Verdana;Bitstream Vera Sans;sans-serif" w:hAnsi="Verdana;Bitstream Vera Sans;sans-serif"/>
        </w:rPr>
        <w:t>stop;</w:t>
      </w:r>
    </w:p>
    <w:p>
      <w:pPr>
        <w:pStyle w:val="style24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283" w:before="0"/>
      </w:pPr>
      <w:r>
        <w:rPr>
          <w:rStyle w:val="style16"/>
          <w:rFonts w:ascii="Verdana;Bitstream Vera Sans;sans-serif" w:hAnsi="Verdana;Bitstream Vera Sans;sans-serif"/>
        </w:rPr>
        <w:t>}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Reference: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[1] http://www.postfix.org/FILTER_README.html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</w:pPr>
      <w:r>
        <w:rPr>
          <w:rFonts w:ascii="Verdana;Bitstream Vera Sans;sans-serif" w:hAnsi="Verdana;Bitstream Vera Sans;sans-serif"/>
        </w:rPr>
        <w:t>[2] RFC 5228 http://tools.ietf.org/html/rfc5228/</w:t>
      </w:r>
    </w:p>
    <w:p>
      <w:pPr>
        <w:pStyle w:val="style20"/>
        <w:pBdr>
          <w:top w:color="AAAAAA" w:space="0" w:sz="2" w:val="single"/>
          <w:left w:color="AAAAAA" w:space="0" w:sz="2" w:val="single"/>
          <w:bottom w:color="AAAAAA" w:space="0" w:sz="2" w:val="single"/>
          <w:right w:color="AAAAAA" w:space="0" w:sz="2" w:val="single"/>
        </w:pBdr>
        <w:spacing w:after="120" w:before="0"/>
      </w:pPr>
      <w:r>
        <w:rPr>
          <w:rFonts w:ascii="Verdana;Bitstream Vera Sans;sans-serif" w:hAnsi="Verdana;Bitstream Vera Sans;sans-serif"/>
        </w:rPr>
        <w:t>[3] RFC 5173 http://tools.ietf.org/html/rfc5173/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707" w:val="num"/>
        </w:tabs>
        <w:ind w:hanging="283" w:left="707"/>
      </w:pPr>
      <w:rPr>
        <w:rFonts w:ascii="Wingdings 2" w:cs="Wingdings 2" w:hAnsi="Wingdings 2" w:hint="default"/>
      </w:rPr>
    </w:lvl>
    <w:lvl w:ilvl="1">
      <w:start w:val="1"/>
      <w:numFmt w:val="bullet"/>
      <w:lvlText w:val=""/>
      <w:lvlJc w:val="left"/>
      <w:pPr>
        <w:tabs>
          <w:tab w:pos="1414" w:val="num"/>
        </w:tabs>
        <w:ind w:hanging="283" w:left="1414"/>
      </w:pPr>
      <w:rPr>
        <w:rFonts w:ascii="Wingdings 2" w:cs="Wingdings 2" w:hAnsi="Wingdings 2" w:hint="default"/>
      </w:rPr>
    </w:lvl>
    <w:lvl w:ilvl="2">
      <w:start w:val="1"/>
      <w:numFmt w:val="bullet"/>
      <w:lvlText w:val=""/>
      <w:lvlJc w:val="left"/>
      <w:pPr>
        <w:tabs>
          <w:tab w:pos="2121" w:val="num"/>
        </w:tabs>
        <w:ind w:hanging="283" w:left="2121"/>
      </w:pPr>
      <w:rPr>
        <w:rFonts w:ascii="Wingdings 2" w:cs="Wingdings 2" w:hAnsi="Wingdings 2" w:hint="default"/>
      </w:rPr>
    </w:lvl>
    <w:lvl w:ilvl="3">
      <w:start w:val="1"/>
      <w:numFmt w:val="bullet"/>
      <w:lvlText w:val=""/>
      <w:lvlJc w:val="left"/>
      <w:pPr>
        <w:tabs>
          <w:tab w:pos="2828" w:val="num"/>
        </w:tabs>
        <w:ind w:hanging="283" w:left="2828"/>
      </w:pPr>
      <w:rPr>
        <w:rFonts w:ascii="Wingdings 2" w:cs="Wingdings 2" w:hAnsi="Wingdings 2" w:hint="default"/>
      </w:rPr>
    </w:lvl>
    <w:lvl w:ilvl="4">
      <w:start w:val="1"/>
      <w:numFmt w:val="bullet"/>
      <w:lvlText w:val=""/>
      <w:lvlJc w:val="left"/>
      <w:pPr>
        <w:tabs>
          <w:tab w:pos="3535" w:val="num"/>
        </w:tabs>
        <w:ind w:hanging="283" w:left="3535"/>
      </w:pPr>
      <w:rPr>
        <w:rFonts w:ascii="Wingdings 2" w:cs="Wingdings 2" w:hAnsi="Wingdings 2" w:hint="default"/>
      </w:rPr>
    </w:lvl>
    <w:lvl w:ilvl="5">
      <w:start w:val="1"/>
      <w:numFmt w:val="bullet"/>
      <w:lvlText w:val=""/>
      <w:lvlJc w:val="left"/>
      <w:pPr>
        <w:tabs>
          <w:tab w:pos="4242" w:val="num"/>
        </w:tabs>
        <w:ind w:hanging="283" w:left="4242"/>
      </w:pPr>
      <w:rPr>
        <w:rFonts w:ascii="Wingdings 2" w:cs="Wingdings 2" w:hAnsi="Wingdings 2" w:hint="default"/>
      </w:rPr>
    </w:lvl>
    <w:lvl w:ilvl="6">
      <w:start w:val="1"/>
      <w:numFmt w:val="bullet"/>
      <w:lvlText w:val=""/>
      <w:lvlJc w:val="left"/>
      <w:pPr>
        <w:tabs>
          <w:tab w:pos="4949" w:val="num"/>
        </w:tabs>
        <w:ind w:hanging="283" w:left="4949"/>
      </w:pPr>
      <w:rPr>
        <w:rFonts w:ascii="Wingdings 2" w:cs="Wingdings 2" w:hAnsi="Wingdings 2" w:hint="default"/>
      </w:rPr>
    </w:lvl>
    <w:lvl w:ilvl="7">
      <w:start w:val="1"/>
      <w:numFmt w:val="bullet"/>
      <w:lvlText w:val=""/>
      <w:lvlJc w:val="left"/>
      <w:pPr>
        <w:tabs>
          <w:tab w:pos="5656" w:val="num"/>
        </w:tabs>
        <w:ind w:hanging="283" w:left="5656"/>
      </w:pPr>
      <w:rPr>
        <w:rFonts w:ascii="Wingdings 2" w:cs="Wingdings 2" w:hAnsi="Wingdings 2" w:hint="default"/>
      </w:rPr>
    </w:lvl>
    <w:lvl w:ilvl="8">
      <w:start w:val="1"/>
      <w:numFmt w:val="bullet"/>
      <w:lvlText w:val=""/>
      <w:lvlJc w:val="left"/>
      <w:pPr>
        <w:tabs>
          <w:tab w:pos="6363" w:val="num"/>
        </w:tabs>
        <w:ind w:hanging="283" w:left="6363"/>
      </w:pPr>
      <w:rPr>
        <w:rFonts w:ascii="Wingdings 2" w:cs="Wingdings 2" w:hAnsi="Wingdings 2" w:hint="default"/>
      </w:rPr>
    </w:lvl>
  </w:abstractNum>
  <w:abstractNum w:abstractNumId="2">
    <w:lvl w:ilvl="0">
      <w:start w:val="1"/>
      <w:numFmt w:val="bullet"/>
      <w:lvlText w:val=""/>
      <w:lvlJc w:val="left"/>
      <w:pPr>
        <w:tabs>
          <w:tab w:pos="707" w:val="num"/>
        </w:tabs>
        <w:ind w:hanging="283" w:left="707"/>
      </w:pPr>
      <w:rPr>
        <w:rFonts w:ascii="Wingdings 2" w:cs="Wingdings 2" w:hAnsi="Wingdings 2" w:hint="default"/>
      </w:rPr>
    </w:lvl>
    <w:lvl w:ilvl="1">
      <w:start w:val="1"/>
      <w:numFmt w:val="bullet"/>
      <w:lvlText w:val=""/>
      <w:lvlJc w:val="left"/>
      <w:pPr>
        <w:tabs>
          <w:tab w:pos="1414" w:val="num"/>
        </w:tabs>
        <w:ind w:hanging="283" w:left="1414"/>
      </w:pPr>
      <w:rPr>
        <w:rFonts w:ascii="Wingdings 2" w:cs="Wingdings 2" w:hAnsi="Wingdings 2" w:hint="default"/>
      </w:rPr>
    </w:lvl>
    <w:lvl w:ilvl="2">
      <w:start w:val="1"/>
      <w:numFmt w:val="bullet"/>
      <w:lvlText w:val=""/>
      <w:lvlJc w:val="left"/>
      <w:pPr>
        <w:tabs>
          <w:tab w:pos="2121" w:val="num"/>
        </w:tabs>
        <w:ind w:hanging="283" w:left="2121"/>
      </w:pPr>
      <w:rPr>
        <w:rFonts w:ascii="Wingdings 2" w:cs="Wingdings 2" w:hAnsi="Wingdings 2" w:hint="default"/>
      </w:rPr>
    </w:lvl>
    <w:lvl w:ilvl="3">
      <w:start w:val="1"/>
      <w:numFmt w:val="bullet"/>
      <w:lvlText w:val=""/>
      <w:lvlJc w:val="left"/>
      <w:pPr>
        <w:tabs>
          <w:tab w:pos="2828" w:val="num"/>
        </w:tabs>
        <w:ind w:hanging="283" w:left="2828"/>
      </w:pPr>
      <w:rPr>
        <w:rFonts w:ascii="Wingdings 2" w:cs="Wingdings 2" w:hAnsi="Wingdings 2" w:hint="default"/>
      </w:rPr>
    </w:lvl>
    <w:lvl w:ilvl="4">
      <w:start w:val="1"/>
      <w:numFmt w:val="bullet"/>
      <w:lvlText w:val=""/>
      <w:lvlJc w:val="left"/>
      <w:pPr>
        <w:tabs>
          <w:tab w:pos="3535" w:val="num"/>
        </w:tabs>
        <w:ind w:hanging="283" w:left="3535"/>
      </w:pPr>
      <w:rPr>
        <w:rFonts w:ascii="Wingdings 2" w:cs="Wingdings 2" w:hAnsi="Wingdings 2" w:hint="default"/>
      </w:rPr>
    </w:lvl>
    <w:lvl w:ilvl="5">
      <w:start w:val="1"/>
      <w:numFmt w:val="bullet"/>
      <w:lvlText w:val=""/>
      <w:lvlJc w:val="left"/>
      <w:pPr>
        <w:tabs>
          <w:tab w:pos="4242" w:val="num"/>
        </w:tabs>
        <w:ind w:hanging="283" w:left="4242"/>
      </w:pPr>
      <w:rPr>
        <w:rFonts w:ascii="Wingdings 2" w:cs="Wingdings 2" w:hAnsi="Wingdings 2" w:hint="default"/>
      </w:rPr>
    </w:lvl>
    <w:lvl w:ilvl="6">
      <w:start w:val="1"/>
      <w:numFmt w:val="bullet"/>
      <w:lvlText w:val=""/>
      <w:lvlJc w:val="left"/>
      <w:pPr>
        <w:tabs>
          <w:tab w:pos="4949" w:val="num"/>
        </w:tabs>
        <w:ind w:hanging="283" w:left="4949"/>
      </w:pPr>
      <w:rPr>
        <w:rFonts w:ascii="Wingdings 2" w:cs="Wingdings 2" w:hAnsi="Wingdings 2" w:hint="default"/>
      </w:rPr>
    </w:lvl>
    <w:lvl w:ilvl="7">
      <w:start w:val="1"/>
      <w:numFmt w:val="bullet"/>
      <w:lvlText w:val=""/>
      <w:lvlJc w:val="left"/>
      <w:pPr>
        <w:tabs>
          <w:tab w:pos="5656" w:val="num"/>
        </w:tabs>
        <w:ind w:hanging="283" w:left="5656"/>
      </w:pPr>
      <w:rPr>
        <w:rFonts w:ascii="Wingdings 2" w:cs="Wingdings 2" w:hAnsi="Wingdings 2" w:hint="default"/>
      </w:rPr>
    </w:lvl>
    <w:lvl w:ilvl="8">
      <w:start w:val="1"/>
      <w:numFmt w:val="bullet"/>
      <w:lvlText w:val=""/>
      <w:lvlJc w:val="left"/>
      <w:pPr>
        <w:tabs>
          <w:tab w:pos="6363" w:val="num"/>
        </w:tabs>
        <w:ind w:hanging="283" w:left="6363"/>
      </w:pPr>
      <w:rPr>
        <w:rFonts w:ascii="Wingdings 2" w:cs="Wingdings 2" w:hAnsi="Wingdings 2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WenQuanYi Zen Hei" w:hAnsi="Times New Roman"/>
      <w:color w:val="auto"/>
      <w:sz w:val="24"/>
      <w:szCs w:val="24"/>
      <w:lang w:bidi="hi-IN" w:eastAsia="zh-CN" w:val="hr-HR"/>
    </w:rPr>
  </w:style>
  <w:style w:styleId="style1" w:type="paragraph">
    <w:name w:val="Heading 1"/>
    <w:basedOn w:val="style19"/>
    <w:next w:val="style20"/>
    <w:pPr/>
    <w:rPr>
      <w:rFonts w:ascii="sans-serif" w:cs="sans-serif" w:eastAsia="sans-serif" w:hAnsi="sans-serif"/>
      <w:b/>
      <w:bCs/>
      <w:color w:val="6666DD"/>
      <w:sz w:val="48"/>
      <w:szCs w:val="48"/>
    </w:rPr>
  </w:style>
  <w:style w:styleId="style2" w:type="paragraph">
    <w:name w:val="Heading 2"/>
    <w:basedOn w:val="style19"/>
    <w:next w:val="style20"/>
    <w:pPr>
      <w:outlineLvl w:val="1"/>
    </w:pPr>
    <w:rPr>
      <w:rFonts w:ascii="sans-serif" w:cs="sans-serif" w:eastAsia="sans-serif" w:hAnsi="sans-serif"/>
      <w:b w:val="false"/>
      <w:bCs w:val="false"/>
      <w:color w:val="6666DD"/>
      <w:sz w:val="36"/>
      <w:szCs w:val="36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Source Text"/>
    <w:next w:val="style16"/>
    <w:rPr>
      <w:rFonts w:ascii="courier" w:cs="courier" w:eastAsia="courier" w:hAnsi="courier"/>
    </w:rPr>
  </w:style>
  <w:style w:styleId="style17" w:type="character">
    <w:name w:val="Emphasis"/>
    <w:next w:val="style17"/>
    <w:rPr>
      <w:i/>
      <w:iCs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FreeSans" w:eastAsia="WenQuanYi Zen 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Preformatted Text"/>
    <w:basedOn w:val="style0"/>
    <w:next w:val="style24"/>
    <w:pPr>
      <w:pBdr>
        <w:top w:color="999999" w:space="0" w:sz="2" w:val="single"/>
        <w:left w:color="999999" w:space="0" w:sz="2" w:val="single"/>
        <w:bottom w:color="999999" w:space="0" w:sz="2" w:val="single"/>
        <w:right w:color="999999" w:space="0" w:sz="2" w:val="single"/>
      </w:pBdr>
      <w:shd w:fill="DDDDFF" w:val="clear"/>
      <w:spacing w:after="0" w:before="0"/>
    </w:pPr>
    <w:rPr>
      <w:rFonts w:ascii="courier" w:cs="courier" w:eastAsia="courier" w:hAnsi="courier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otspam@dsl.iskon.h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2011-09-15T11:57:04.00Z</dcterms:created>
  <cp:revision>0</cp:revision>
</cp:coreProperties>
</file>