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TASK 1: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ển khai sản phẩm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ệ thống VN Galaxy Network Server cho mạng LoRaWAN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ính sách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ử dụng cho hệ thống Network Server.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hàng.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với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ứu,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thí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lẻ.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ữ,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gateway end-device không cao.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trong hộ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sát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bị, 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Có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liệu,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tại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nhà máy, khu công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ệp,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xã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ố, ….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 lớn,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rất lớn.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ử dụng tại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ị,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ập,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chính sách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nhu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hàng.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a, Gói Free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cho sinh viên, nhà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ứu, thử nghiệm,..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chế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của mỗi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(từ 1-2 device).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chế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application (1 application).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Không có cloud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ít)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Gi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truy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500 packet /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Cloud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u tr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10Mbytes.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chế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phụ (kh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phụ).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b, Gói Standard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Gói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lẻ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Có cloud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 (6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- 1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1 ngày truy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2000 packet.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cloud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u tr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a 500Mbytes.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(10 end-device).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phụ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(5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phụ).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c, Gói Professional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Gói cho 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ệp,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xã.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Cloud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dài (1+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Không gi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u truy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ngày.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Cloud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u tr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1 - 10Gbytes.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phụ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  <w:t xml:space="preserve">d, Gói GateWay Contributor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Gói dành cho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óng góp GateWay.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1 ngày truy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n 2000 packet.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+ cloud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u tr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a 500Mbytes.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+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ợng end-device (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end-device).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ợng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 phụ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ăng (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 phụ).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 liệu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Công ty có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sử dụng dữ liệu nhận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ợc từ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end-device cho các m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ích nh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 nghi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ứu,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ển hệ thống Network v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ứng dụng mới.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Tuân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ủ tất cả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ều luật v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 quy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ịnh hiện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ành, bao 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ồm cả mọi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ều luật về quyền ri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êng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 ho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ặc bảo vệ dữ liệu,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ũng như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 luật tự quản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ý hay b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 luật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ành có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ụng khi sử dụng dữ liệu của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ách hàng.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Có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chia sẻ một số dữ liệu của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ùng cho bên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 3 (nh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áo)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đưa ra nh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ững quảng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 phù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ợp với nhu cầu sử dụng của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ách hàng. Tránh các qu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 rác.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Bên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 3 phải tu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quy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ịnh về bảo mật dữ liệu.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Phân lo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ại dữ liệu của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ùng theo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ừng cấp cụ thể (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ểm cụ thể - phố -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ờng - quận- tp ....) sau khi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ại,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tổng hợp dữ liệu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ột bản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ồ cụ thể (bản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ồ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ợng m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ưa, nhi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ộ,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 ẩm,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í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ải, mật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 xe tham gia giao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ông ...)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ồ dữ liệu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ân b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ổ số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ợng gateway tại từng khu vực cho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ợp với nhu cầu sử dụng.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ào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ịch sử dữ liệu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ân tích dung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ợng dữ liệu sử dụng tại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ểm trong ng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ày, nâng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ấp,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ều chỉnh server sao cho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ứng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ợc nhu cầu trong mọi thời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ính sách v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ề dữ liệu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giữa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ời sử dụng Network Server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VN Galaxy.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sử dụng cho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ông ty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ưng ko 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ừ dữ liệu user  X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ựng dữ liệu thống 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sử dụng cho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ông ty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ữ liệu thống 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 gì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f,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bị: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bị, end-device.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ặt.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Bán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sẵn với hệ thống lora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thú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…)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g, Các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óng góp Gateway</w:t>
      </w: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rộng mạng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Gateway.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sở hữu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Gateway khi tham gia vào Network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gói GateWay Contributor.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trả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phủ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Gateway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end-device (ngo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end-device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Contributor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của chủ sở hữu).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 Gateway &lt;5km: 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thử nghiệm mới của hệ thống (nếu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--&gt;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thể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óa,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sung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Gói Contributor,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tiền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?</w:t>
      </w: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cho các gói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(1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+)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1 hoặc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end-device.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1-3 tháng,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giảm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vụ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khách hàng 24/7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ặc thu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ại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Khi ch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ủ sở hữu gateway cho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ông ty thuê, coi nh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 gateway 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 thu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ộc to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àn quy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ền sở hữu của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ông ty. Công ty có trách nghi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ệm trả tiền thu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ê, s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ửa chữa bảo d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ỡng nếu hỏng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óc. Và ch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ủ sở hữu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àm b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ất cứ g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ì gây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ởng tới qu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 trình công ty s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ử dụng gateway.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h. Chính sách cho các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ở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ớc,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ỗ trợ vị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í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ặt Gateway,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ập.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- API ho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ặc thu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 Cloud.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- Gói Free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j.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áo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ữ liệu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ộng,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èn thêm qu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Có th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hợp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nhà qu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áo, nhà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ư 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ể quảng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 các lo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ại thiết bị, dịch vụ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ó liên quan t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ới nhu cầu của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ách hàng ( trong m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ục d).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- Nhà qu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áo cam k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ết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ử dụng dữ liệu của kh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ách hàng cho bên nào khác.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ứng c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ác quy 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79646"/>
          <w:spacing w:val="0"/>
          <w:position w:val="0"/>
          <w:sz w:val="28"/>
          <w:shd w:fill="auto" w:val="clear"/>
        </w:rPr>
        <w:t xml:space="preserve">ịnh về bảo mật.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