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Closed vocabularies are required: without them, all LLM outputs are schema-invalid.</w:t>
      </w:r>
    </w:p>
    <w:p>
      <w:pPr>
        <w:pStyle w:val="ListBullet"/>
      </w:pPr>
      <w:r>
        <w:t>LLM fields plus a routing policy reach 73.5% vs. an 85.5% oracle-ceiling accuracy.</w:t>
      </w:r>
    </w:p>
    <w:p>
      <w:pPr>
        <w:pStyle w:val="ListBullet"/>
      </w:pPr>
      <w:r>
        <w:t>Adding routing-policy text does not beat closed vocabularies alone for routing.</w:t>
      </w:r>
    </w:p>
    <w:p>
      <w:pPr>
        <w:pStyle w:val="ListBullet"/>
      </w:pPr>
      <w:r>
        <w:t>Confidence/escalation gating splits a small hard subset from a reliable majority.</w:t>
      </w:r>
    </w:p>
    <w:p>
      <w:pPr>
        <w:pStyle w:val="ListBullet"/>
      </w:pPr>
      <w:r>
        <w:t>A disclosed LLM-proxy annotator agrees most on discipline, least on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120" w:after="120"/>
      <w:ind w:left="43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