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 Công Trình Liên Quan</w:t>
      </w:r>
    </w:p>
    <w:p>
      <w:pPr>
        <w:jc w:val="both"/>
      </w:pPr>
      <w:r>
        <w:t xml:space="preserve">Phần này khảo sát công trình liên quan theo đúng hai câu hỏi nghiên cứu đã đặt ra: RQ1 (đặc tả cấu trúc tổ chức) và RQ2 (kiểm chứng nhất quán giữa mô hình mục tiêu và mô hình tiến trình). Với RQ2, thay vì chia theo chủ đề bề mặt, phần này phân loại theo đúng một tiêu chí duy nhất, xuyên suốt: </w:t>
      </w:r>
      <w:r>
        <w:rPr>
          <w:b/>
        </w:rPr>
        <w:t>phạm vi thực thi mà kỹ thuật kiểm chứng xét tới</w:t>
      </w:r>
      <w:r>
        <w:t xml:space="preserve"> — không xét thực thi (kiểm tra cấu trúc tĩnh), xét đúng một vết thực thi cụ thể (runtime verification), hoặc xét toàn bộ không gian trạng thái đạt được (model checking bao trùm). Đây là ranh giới đã được công nhận trong tài liệu kiểm chứng phần mềm nói chung, không phải tiêu chí tự đặt riêng cho bài toán goal–process (Groefsema và Bucur, 2013, khảo sát kiểm chứng hình thức cho business process, dùng đúng ranh giới cấu trúc-tĩnh/model-checking làm 2 trong các họ kỹ thuật chính). Trong mỗi họ, verdict trả về có thể là rời rạc (đúng/sai, hoặc vài lớp) hoặc liên tục (một điểm số) — đây là một thuộc tính phụ, độc lập với trục thực thi, nên được trình bày như một biến thể trong từng họ thay vì tách thành nhóm riêng.</w:t>
      </w:r>
    </w:p>
    <w:p>
      <w:pPr>
        <w:pStyle w:val="Heading1"/>
      </w:pPr>
      <w:r>
        <w:t>2.1. Danh sách công trình liên quan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w:t>
            </w:r>
          </w:p>
        </w:tc>
        <w:tc>
          <w:tcPr>
            <w:tcW w:type="dxa" w:w="1728"/>
          </w:tcPr>
          <w:p>
            <w:r>
              <w:rPr>
                <w:b/>
              </w:rPr>
              <w:t>Khoá đề xuất</w:t>
            </w:r>
          </w:p>
        </w:tc>
        <w:tc>
          <w:tcPr>
            <w:tcW w:type="dxa" w:w="1728"/>
          </w:tcPr>
          <w:p>
            <w:r>
              <w:rPr>
                <w:b/>
              </w:rPr>
              <w:t>Tác giả, tiêu đề (rút gọn), venue</w:t>
            </w:r>
          </w:p>
        </w:tc>
        <w:tc>
          <w:tcPr>
            <w:tcW w:type="dxa" w:w="1728"/>
          </w:tcPr>
          <w:p>
            <w:r>
              <w:rPr>
                <w:b/>
              </w:rPr>
              <w:t>Họ kỹ thuật</w:t>
            </w:r>
          </w:p>
        </w:tc>
        <w:tc>
          <w:tcPr>
            <w:tcW w:type="dxa" w:w="1728"/>
          </w:tcPr>
          <w:p>
            <w:r>
              <w:rPr>
                <w:b/>
              </w:rPr>
              <w:t>Verdict</w:t>
            </w:r>
          </w:p>
        </w:tc>
      </w:tr>
      <w:tr>
        <w:tc>
          <w:tcPr>
            <w:tcW w:type="dxa" w:w="1728"/>
          </w:tcPr>
          <w:p>
            <w:r>
              <w:t>1</w:t>
            </w:r>
          </w:p>
        </w:tc>
        <w:tc>
          <w:tcPr>
            <w:tcW w:type="dxa" w:w="1728"/>
          </w:tcPr>
          <w:p>
            <w:r>
              <w:rPr>
                <w:rFonts w:ascii="Consolas" w:hAnsi="Consolas"/>
              </w:rPr>
              <w:t>ghose2007validation</w:t>
            </w:r>
          </w:p>
        </w:tc>
        <w:tc>
          <w:tcPr>
            <w:tcW w:type="dxa" w:w="1728"/>
          </w:tcPr>
          <w:p>
            <w:r>
              <w:t>Ghose, Koliadis — Validation of User Intentions in Process Models — BPM 2007</w:t>
            </w:r>
          </w:p>
        </w:tc>
        <w:tc>
          <w:tcPr>
            <w:tcW w:type="dxa" w:w="1728"/>
          </w:tcPr>
          <w:p>
            <w:r>
              <w:t>Cấu trúc tĩnh</w:t>
            </w:r>
          </w:p>
        </w:tc>
        <w:tc>
          <w:tcPr>
            <w:tcW w:type="dxa" w:w="1728"/>
          </w:tcPr>
          <w:p>
            <w:r>
              <w:t>Rời rạc (3 lớp)</w:t>
            </w:r>
          </w:p>
        </w:tc>
      </w:tr>
      <w:tr>
        <w:tc>
          <w:tcPr>
            <w:tcW w:type="dxa" w:w="1728"/>
          </w:tcPr>
          <w:p>
            <w:r>
              <w:t>2</w:t>
            </w:r>
          </w:p>
        </w:tc>
        <w:tc>
          <w:tcPr>
            <w:tcW w:type="dxa" w:w="1728"/>
          </w:tcPr>
          <w:p>
            <w:r>
              <w:rPr>
                <w:rFonts w:ascii="Consolas" w:hAnsi="Consolas"/>
              </w:rPr>
              <w:t>groner2014vadl</w:t>
            </w:r>
          </w:p>
        </w:tc>
        <w:tc>
          <w:tcPr>
            <w:tcW w:type="dxa" w:w="1728"/>
          </w:tcPr>
          <w:p>
            <w:r>
              <w:t>Gröner và cộng sự — Validation of User Intentions in Process Orchestration and Choreography — Information Systems 43, 2014</w:t>
            </w:r>
          </w:p>
        </w:tc>
        <w:tc>
          <w:tcPr>
            <w:tcW w:type="dxa" w:w="1728"/>
          </w:tcPr>
          <w:p>
            <w:r>
              <w:t>Cấu trúc tĩnh</w:t>
            </w:r>
          </w:p>
        </w:tc>
        <w:tc>
          <w:tcPr>
            <w:tcW w:type="dxa" w:w="1728"/>
          </w:tcPr>
          <w:p>
            <w:r>
              <w:t>Rời rạc (3 lớp)</w:t>
            </w:r>
          </w:p>
        </w:tc>
      </w:tr>
      <w:tr>
        <w:tc>
          <w:tcPr>
            <w:tcW w:type="dxa" w:w="1728"/>
          </w:tcPr>
          <w:p>
            <w:r>
              <w:t>3</w:t>
            </w:r>
          </w:p>
        </w:tc>
        <w:tc>
          <w:tcPr>
            <w:tcW w:type="dxa" w:w="1728"/>
          </w:tcPr>
          <w:p>
            <w:r>
              <w:rPr>
                <w:rFonts w:ascii="Consolas" w:hAnsi="Consolas"/>
              </w:rPr>
              <w:t>guizzardi2014vemi</w:t>
            </w:r>
          </w:p>
        </w:tc>
        <w:tc>
          <w:tcPr>
            <w:tcW w:type="dxa" w:w="1728"/>
          </w:tcPr>
          <w:p>
            <w:r>
              <w:t>Guizzardi và cộng sự — Verifying Goal-Oriented Specifications Used in MDD Processes (VeMI) — CAiSE 2014 / REJ</w:t>
            </w:r>
          </w:p>
        </w:tc>
        <w:tc>
          <w:tcPr>
            <w:tcW w:type="dxa" w:w="1728"/>
          </w:tcPr>
          <w:p>
            <w:r>
              <w:t>Cấu trúc tĩnh</w:t>
            </w:r>
          </w:p>
        </w:tc>
        <w:tc>
          <w:tcPr>
            <w:tcW w:type="dxa" w:w="1728"/>
          </w:tcPr>
          <w:p>
            <w:r>
              <w:t>Rời rạc (NAE/NIC/Warning)</w:t>
            </w:r>
          </w:p>
        </w:tc>
      </w:tr>
      <w:tr>
        <w:tc>
          <w:tcPr>
            <w:tcW w:type="dxa" w:w="1728"/>
          </w:tcPr>
          <w:p>
            <w:r>
              <w:t>4</w:t>
            </w:r>
          </w:p>
        </w:tc>
        <w:tc>
          <w:tcPr>
            <w:tcW w:type="dxa" w:w="1728"/>
          </w:tcPr>
          <w:p>
            <w:r>
              <w:rPr>
                <w:rFonts w:ascii="Consolas" w:hAnsi="Consolas"/>
              </w:rPr>
              <w:t>eshuis2021consistency</w:t>
            </w:r>
          </w:p>
        </w:tc>
        <w:tc>
          <w:tcPr>
            <w:tcW w:type="dxa" w:w="1728"/>
          </w:tcPr>
          <w:p>
            <w:r>
              <w:t>Eshuis, Ghose — Consistency Checking of Goal Models and Case Management Schemas — BPM 2021 Forum, LNBIP</w:t>
            </w:r>
          </w:p>
        </w:tc>
        <w:tc>
          <w:tcPr>
            <w:tcW w:type="dxa" w:w="1728"/>
          </w:tcPr>
          <w:p>
            <w:r>
              <w:t>Cấu trúc tĩnh</w:t>
            </w:r>
          </w:p>
        </w:tc>
        <w:tc>
          <w:tcPr>
            <w:tcW w:type="dxa" w:w="1728"/>
          </w:tcPr>
          <w:p>
            <w:r>
              <w:t>Rời rạc (PASS/FAIL)</w:t>
            </w:r>
          </w:p>
        </w:tc>
      </w:tr>
      <w:tr>
        <w:tc>
          <w:tcPr>
            <w:tcW w:type="dxa" w:w="1728"/>
          </w:tcPr>
          <w:p>
            <w:r>
              <w:t>5</w:t>
            </w:r>
          </w:p>
        </w:tc>
        <w:tc>
          <w:tcPr>
            <w:tcW w:type="dxa" w:w="1728"/>
          </w:tcPr>
          <w:p>
            <w:r>
              <w:rPr>
                <w:rFonts w:ascii="Consolas" w:hAnsi="Consolas"/>
              </w:rPr>
              <w:t>roelens2019pga</w:t>
            </w:r>
          </w:p>
        </w:tc>
        <w:tc>
          <w:tcPr>
            <w:tcW w:type="dxa" w:w="1728"/>
          </w:tcPr>
          <w:p>
            <w:r>
              <w:t>Roelens, Steenacker, Poels — Realizing Strategic Fit within the Business Architecture: the Process-Goal Alignment (PGA) Technique — Software and Systems Modeling 18(1), 2019</w:t>
            </w:r>
          </w:p>
        </w:tc>
        <w:tc>
          <w:tcPr>
            <w:tcW w:type="dxa" w:w="1728"/>
          </w:tcPr>
          <w:p>
            <w:r>
              <w:t>Cấu trúc tĩnh</w:t>
            </w:r>
          </w:p>
        </w:tc>
        <w:tc>
          <w:tcPr>
            <w:tcW w:type="dxa" w:w="1728"/>
          </w:tcPr>
          <w:p>
            <w:r>
              <w:rPr>
                <w:b/>
              </w:rPr>
              <w:t>Liên tục</w:t>
            </w:r>
            <w:r>
              <w:t xml:space="preserve"> (heat map)</w:t>
            </w:r>
          </w:p>
        </w:tc>
      </w:tr>
      <w:tr>
        <w:tc>
          <w:tcPr>
            <w:tcW w:type="dxa" w:w="1728"/>
          </w:tcPr>
          <w:p>
            <w:r>
              <w:t>6</w:t>
            </w:r>
          </w:p>
        </w:tc>
        <w:tc>
          <w:tcPr>
            <w:tcW w:type="dxa" w:w="1728"/>
          </w:tcPr>
          <w:p>
            <w:r>
              <w:rPr>
                <w:rFonts w:ascii="Consolas" w:hAnsi="Consolas"/>
              </w:rPr>
              <w:t>koliadis2006goalbpm</w:t>
            </w:r>
          </w:p>
        </w:tc>
        <w:tc>
          <w:tcPr>
            <w:tcW w:type="dxa" w:w="1728"/>
          </w:tcPr>
          <w:p>
            <w:r>
              <w:t>Koliadis, Ghose — Relating Business Process Models to Goal-Oriented Requirements Models in KAOS (GoalBPM) — APCCM 2006</w:t>
            </w:r>
          </w:p>
        </w:tc>
        <w:tc>
          <w:tcPr>
            <w:tcW w:type="dxa" w:w="1728"/>
          </w:tcPr>
          <w:p>
            <w:r>
              <w:t>Runtime verification (thủ công)</w:t>
            </w:r>
          </w:p>
        </w:tc>
        <w:tc>
          <w:tcPr>
            <w:tcW w:type="dxa" w:w="1728"/>
          </w:tcPr>
          <w:p>
            <w:r>
              <w:t>Rời rạc</w:t>
            </w:r>
          </w:p>
        </w:tc>
      </w:tr>
      <w:tr>
        <w:tc>
          <w:tcPr>
            <w:tcW w:type="dxa" w:w="1728"/>
          </w:tcPr>
          <w:p>
            <w:r>
              <w:t>7</w:t>
            </w:r>
          </w:p>
        </w:tc>
        <w:tc>
          <w:tcPr>
            <w:tcW w:type="dxa" w:w="1728"/>
          </w:tcPr>
          <w:p>
            <w:r>
              <w:rPr>
                <w:rFonts w:ascii="Consolas" w:hAnsi="Consolas"/>
              </w:rPr>
              <w:t>dang2010jucs</w:t>
            </w:r>
          </w:p>
        </w:tc>
        <w:tc>
          <w:tcPr>
            <w:tcW w:type="dxa" w:w="1728"/>
          </w:tcPr>
          <w:p>
            <w:r>
              <w:t>Dang, Truong, Gogolla — đồng bộ kịch bản qua snapshot pattern — J.UCS 16(17), 2010</w:t>
            </w:r>
          </w:p>
        </w:tc>
        <w:tc>
          <w:tcPr>
            <w:tcW w:type="dxa" w:w="1728"/>
          </w:tcPr>
          <w:p>
            <w:r>
              <w:t>Runtime verification (tự động)</w:t>
            </w:r>
          </w:p>
        </w:tc>
        <w:tc>
          <w:tcPr>
            <w:tcW w:type="dxa" w:w="1728"/>
          </w:tcPr>
          <w:p>
            <w:r>
              <w:t>Rời rạc</w:t>
            </w:r>
          </w:p>
        </w:tc>
      </w:tr>
      <w:tr>
        <w:tc>
          <w:tcPr>
            <w:tcW w:type="dxa" w:w="1728"/>
          </w:tcPr>
          <w:p>
            <w:r>
              <w:t>8</w:t>
            </w:r>
          </w:p>
        </w:tc>
        <w:tc>
          <w:tcPr>
            <w:tcW w:type="dxa" w:w="1728"/>
          </w:tcPr>
          <w:p>
            <w:r>
              <w:rPr>
                <w:rFonts w:ascii="Consolas" w:hAnsi="Consolas"/>
              </w:rPr>
              <w:t>guizzardi2012align</w:t>
            </w:r>
          </w:p>
        </w:tc>
        <w:tc>
          <w:tcPr>
            <w:tcW w:type="dxa" w:w="1728"/>
          </w:tcPr>
          <w:p>
            <w:r>
              <w:t>Guizzardi, Reis — A Method to Align Goals and Business Processes — CAiSE 2012</w:t>
            </w:r>
          </w:p>
        </w:tc>
        <w:tc>
          <w:tcPr>
            <w:tcW w:type="dxa" w:w="1728"/>
          </w:tcPr>
          <w:p>
            <w:r>
              <w:t>Runtime verification</w:t>
            </w:r>
          </w:p>
        </w:tc>
        <w:tc>
          <w:tcPr>
            <w:tcW w:type="dxa" w:w="1728"/>
          </w:tcPr>
          <w:p>
            <w:r>
              <w:rPr>
                <w:b/>
              </w:rPr>
              <w:t>Liên tục</w:t>
            </w:r>
            <w:r>
              <w:t xml:space="preserve"> (điểm số theo path)</w:t>
            </w:r>
          </w:p>
        </w:tc>
      </w:tr>
      <w:tr>
        <w:tc>
          <w:tcPr>
            <w:tcW w:type="dxa" w:w="1728"/>
          </w:tcPr>
          <w:p>
            <w:r>
              <w:t>9</w:t>
            </w:r>
          </w:p>
        </w:tc>
        <w:tc>
          <w:tcPr>
            <w:tcW w:type="dxa" w:w="1728"/>
          </w:tcPr>
          <w:p>
            <w:r>
              <w:rPr>
                <w:rFonts w:ascii="Consolas" w:hAnsi="Consolas"/>
              </w:rPr>
              <w:t>caballero2026alig</w:t>
            </w:r>
          </w:p>
        </w:tc>
        <w:tc>
          <w:tcPr>
            <w:tcW w:type="dxa" w:w="1728"/>
          </w:tcPr>
          <w:p>
            <w:r>
              <w:t>Caballero-Villalobos và cộng sự — Aligning processes with high-level requirements — Information and Software Technology 196, 2026</w:t>
            </w:r>
          </w:p>
        </w:tc>
        <w:tc>
          <w:tcPr>
            <w:tcW w:type="dxa" w:w="1728"/>
          </w:tcPr>
          <w:p>
            <w:r>
              <w:t>Model checking (bao trùm)</w:t>
            </w:r>
          </w:p>
        </w:tc>
        <w:tc>
          <w:tcPr>
            <w:tcW w:type="dxa" w:w="1728"/>
          </w:tcPr>
          <w:p>
            <w:r>
              <w:t>Rời rạc (weak/strong compliance)</w:t>
            </w:r>
          </w:p>
        </w:tc>
      </w:tr>
      <w:tr>
        <w:tc>
          <w:tcPr>
            <w:tcW w:type="dxa" w:w="1728"/>
          </w:tcPr>
          <w:p>
            <w:r>
              <w:t>10</w:t>
            </w:r>
          </w:p>
        </w:tc>
        <w:tc>
          <w:tcPr>
            <w:tcW w:type="dxa" w:w="1728"/>
          </w:tcPr>
          <w:p>
            <w:r>
              <w:rPr>
                <w:rFonts w:ascii="Consolas" w:hAnsi="Consolas"/>
              </w:rPr>
              <w:t>hubner2002moise</w:t>
            </w:r>
          </w:p>
        </w:tc>
        <w:tc>
          <w:tcPr>
            <w:tcW w:type="dxa" w:w="1728"/>
          </w:tcPr>
          <w:p>
            <w:r>
              <w:t>Hübner, Sichman, Boissier — MOISE — SBIA 2002</w:t>
            </w:r>
          </w:p>
        </w:tc>
        <w:tc>
          <w:tcPr>
            <w:tcW w:type="dxa" w:w="1728"/>
          </w:tcPr>
          <w:p>
            <w:r>
              <w:t>Cấu trúc tĩnh, ngoài phạm vi goal–process (RQ1)</w:t>
            </w:r>
          </w:p>
        </w:tc>
        <w:tc>
          <w:tcPr>
            <w:tcW w:type="dxa" w:w="1728"/>
          </w:tcPr>
          <w:p>
            <w:r>
              <w:t>Rời rạc</w:t>
            </w:r>
          </w:p>
        </w:tc>
      </w:tr>
      <w:tr>
        <w:tc>
          <w:tcPr>
            <w:tcW w:type="dxa" w:w="1728"/>
          </w:tcPr>
          <w:p>
            <w:r>
              <w:t>11</w:t>
            </w:r>
          </w:p>
        </w:tc>
        <w:tc>
          <w:tcPr>
            <w:tcW w:type="dxa" w:w="1728"/>
          </w:tcPr>
          <w:p>
            <w:r>
              <w:rPr>
                <w:rFonts w:ascii="Consolas" w:hAnsi="Consolas"/>
              </w:rPr>
              <w:t>hubner2007moiseplus</w:t>
            </w:r>
          </w:p>
        </w:tc>
        <w:tc>
          <w:tcPr>
            <w:tcW w:type="dxa" w:w="1728"/>
          </w:tcPr>
          <w:p>
            <w:r>
              <w:t>Hübner, Sichman, Boissier — MOISE+ — IJAOSE 1(3/4), 2007</w:t>
            </w:r>
          </w:p>
        </w:tc>
        <w:tc>
          <w:tcPr>
            <w:tcW w:type="dxa" w:w="1728"/>
          </w:tcPr>
          <w:p>
            <w:r>
              <w:t>Cấu trúc tĩnh, ngoài phạm vi goal–process (RQ1)</w:t>
            </w:r>
          </w:p>
        </w:tc>
        <w:tc>
          <w:tcPr>
            <w:tcW w:type="dxa" w:w="1728"/>
          </w:tcPr>
          <w:p>
            <w:r>
              <w:t>Rời rạc</w:t>
            </w:r>
          </w:p>
        </w:tc>
      </w:tr>
      <w:tr>
        <w:tc>
          <w:tcPr>
            <w:tcW w:type="dxa" w:w="1728"/>
          </w:tcPr>
          <w:p>
            <w:r>
              <w:t>12</w:t>
            </w:r>
          </w:p>
        </w:tc>
        <w:tc>
          <w:tcPr>
            <w:tcW w:type="dxa" w:w="1728"/>
          </w:tcPr>
          <w:p>
            <w:r>
              <w:rPr>
                <w:rFonts w:ascii="Consolas" w:hAnsi="Consolas"/>
              </w:rPr>
              <w:t>ray2004rbacuml</w:t>
            </w:r>
          </w:p>
        </w:tc>
        <w:tc>
          <w:tcPr>
            <w:tcW w:type="dxa" w:w="1728"/>
          </w:tcPr>
          <w:p>
            <w:r>
              <w:t>Ray và cộng sự — Using UML to visualize RBAC constraints — SACMAT 2004</w:t>
            </w:r>
          </w:p>
        </w:tc>
        <w:tc>
          <w:tcPr>
            <w:tcW w:type="dxa" w:w="1728"/>
          </w:tcPr>
          <w:p>
            <w:r>
              <w:t>Cấu trúc tĩnh, ngoài phạm vi goal–process (RQ1)</w:t>
            </w:r>
          </w:p>
        </w:tc>
        <w:tc>
          <w:tcPr>
            <w:tcW w:type="dxa" w:w="1728"/>
          </w:tcPr>
          <w:p>
            <w:r>
              <w:t>Rời rạc</w:t>
            </w:r>
          </w:p>
        </w:tc>
      </w:tr>
      <w:tr>
        <w:tc>
          <w:tcPr>
            <w:tcW w:type="dxa" w:w="1728"/>
          </w:tcPr>
          <w:p>
            <w:r>
              <w:t>13</w:t>
            </w:r>
          </w:p>
        </w:tc>
        <w:tc>
          <w:tcPr>
            <w:tcW w:type="dxa" w:w="1728"/>
          </w:tcPr>
          <w:p>
            <w:r>
              <w:rPr>
                <w:rFonts w:ascii="Consolas" w:hAnsi="Consolas"/>
              </w:rPr>
              <w:t>governatori2006compliance</w:t>
            </w:r>
          </w:p>
        </w:tc>
        <w:tc>
          <w:tcPr>
            <w:tcW w:type="dxa" w:w="1728"/>
          </w:tcPr>
          <w:p>
            <w:r>
              <w:t>Governatori, Milosevic, Sadiq — Compliance checking between BP and contracts — EDOC 2006</w:t>
            </w:r>
          </w:p>
        </w:tc>
        <w:tc>
          <w:tcPr>
            <w:tcW w:type="dxa" w:w="1728"/>
          </w:tcPr>
          <w:p>
            <w:r>
              <w:t>Lân cận — ràng buộc phẳng</w:t>
            </w:r>
          </w:p>
        </w:tc>
        <w:tc>
          <w:tcPr>
            <w:tcW w:type="dxa" w:w="1728"/>
          </w:tcPr>
          <w:p>
            <w:r>
              <w:t>Rời rạc</w:t>
            </w:r>
          </w:p>
        </w:tc>
      </w:tr>
      <w:tr>
        <w:tc>
          <w:tcPr>
            <w:tcW w:type="dxa" w:w="1728"/>
          </w:tcPr>
          <w:p>
            <w:r>
              <w:t>14</w:t>
            </w:r>
          </w:p>
        </w:tc>
        <w:tc>
          <w:tcPr>
            <w:tcW w:type="dxa" w:w="1728"/>
          </w:tcPr>
          <w:p>
            <w:r>
              <w:rPr>
                <w:rFonts w:ascii="Consolas" w:hAnsi="Consolas"/>
              </w:rPr>
              <w:t>ghose2007auditing</w:t>
            </w:r>
          </w:p>
        </w:tc>
        <w:tc>
          <w:tcPr>
            <w:tcW w:type="dxa" w:w="1728"/>
          </w:tcPr>
          <w:p>
            <w:r>
              <w:t>Ghose, Koliadis — Auditing Business Process Compliance — ICSOC 2007</w:t>
            </w:r>
          </w:p>
        </w:tc>
        <w:tc>
          <w:tcPr>
            <w:tcW w:type="dxa" w:w="1728"/>
          </w:tcPr>
          <w:p>
            <w:r>
              <w:t>Lân cận — ràng buộc phẳng</w:t>
            </w:r>
          </w:p>
        </w:tc>
        <w:tc>
          <w:tcPr>
            <w:tcW w:type="dxa" w:w="1728"/>
          </w:tcPr>
          <w:p>
            <w:r>
              <w:t>Rời rạc</w:t>
            </w:r>
          </w:p>
        </w:tc>
      </w:tr>
      <w:tr>
        <w:tc>
          <w:tcPr>
            <w:tcW w:type="dxa" w:w="1728"/>
          </w:tcPr>
          <w:p>
            <w:r>
              <w:t>15</w:t>
            </w:r>
          </w:p>
        </w:tc>
        <w:tc>
          <w:tcPr>
            <w:tcW w:type="dxa" w:w="1728"/>
          </w:tcPr>
          <w:p>
            <w:r>
              <w:rPr>
                <w:rFonts w:ascii="Consolas" w:hAnsi="Consolas"/>
              </w:rPr>
              <w:t>awad2009visualization</w:t>
            </w:r>
          </w:p>
        </w:tc>
        <w:tc>
          <w:tcPr>
            <w:tcW w:type="dxa" w:w="1728"/>
          </w:tcPr>
          <w:p>
            <w:r>
              <w:t>Awad, Weske — Visualization of Compliance Violation in BPMN — BPM Workshops 2009</w:t>
            </w:r>
          </w:p>
        </w:tc>
        <w:tc>
          <w:tcPr>
            <w:tcW w:type="dxa" w:w="1728"/>
          </w:tcPr>
          <w:p>
            <w:r>
              <w:t>Lân cận — ràng buộc phẳng</w:t>
            </w:r>
          </w:p>
        </w:tc>
        <w:tc>
          <w:tcPr>
            <w:tcW w:type="dxa" w:w="1728"/>
          </w:tcPr>
          <w:p>
            <w:r>
              <w:t>Rời rạc</w:t>
            </w:r>
          </w:p>
        </w:tc>
      </w:tr>
      <w:tr>
        <w:tc>
          <w:tcPr>
            <w:tcW w:type="dxa" w:w="1728"/>
          </w:tcPr>
          <w:p>
            <w:r>
              <w:t>16</w:t>
            </w:r>
          </w:p>
        </w:tc>
        <w:tc>
          <w:tcPr>
            <w:tcW w:type="dxa" w:w="1728"/>
          </w:tcPr>
          <w:p>
            <w:r>
              <w:rPr>
                <w:rFonts w:ascii="Consolas" w:hAnsi="Consolas"/>
              </w:rPr>
              <w:t>aalst2005conformance</w:t>
            </w:r>
          </w:p>
        </w:tc>
        <w:tc>
          <w:tcPr>
            <w:tcW w:type="dxa" w:w="1728"/>
          </w:tcPr>
          <w:p>
            <w:r>
              <w:t>van der Aalst, de Medeiros — process mining conformance checking — ENTCS 2005</w:t>
            </w:r>
          </w:p>
        </w:tc>
        <w:tc>
          <w:tcPr>
            <w:tcW w:type="dxa" w:w="1728"/>
          </w:tcPr>
          <w:p>
            <w:r>
              <w:t>Lân cận — đối chiếu log thật</w:t>
            </w:r>
          </w:p>
        </w:tc>
        <w:tc>
          <w:tcPr>
            <w:tcW w:type="dxa" w:w="1728"/>
          </w:tcPr>
          <w:p>
            <w:r>
              <w:t>Rời rạc</w:t>
            </w:r>
          </w:p>
        </w:tc>
      </w:tr>
    </w:tbl>
    <w:p/>
    <w:p>
      <w:pPr>
        <w:jc w:val="both"/>
      </w:pPr>
      <w:r>
        <w:t>Ghi chú độ tin cậy: mục 5 (</w:t>
      </w:r>
      <w:r>
        <w:rPr>
          <w:rFonts w:ascii="Consolas" w:hAnsi="Consolas"/>
        </w:rPr>
        <w:t>roelens2019pga</w:t>
      </w:r>
      <w:r>
        <w:t>) xác nhận qua nhiều nguồn tra cứu độc lập (tên tác giả, venue, năm khớp nhau) nhưng chưa đọc toàn văn — nên tự xác nhận DOI trước khi đưa vào bản thảo chính thức. Hai mục từng có trong danh sách bản trước (</w:t>
      </w:r>
      <w:r>
        <w:rPr>
          <w:rFonts w:ascii="Consolas" w:hAnsi="Consolas"/>
        </w:rPr>
        <w:t>n3_2019_reqdepgraph</w:t>
      </w:r>
      <w:r>
        <w:t xml:space="preserve">, </w:t>
      </w:r>
      <w:r>
        <w:rPr>
          <w:rFonts w:ascii="Consolas" w:hAnsi="Consolas"/>
        </w:rPr>
        <w:t>n9_2025_goalsynthesis</w:t>
      </w:r>
      <w:r>
        <w:t>) đã bị loại: cả hai đều có tác giả chưa xác nhận được qua tra cứu, và khi soát lại theo đúng phạm vi hẹp (goal model có cấu trúc ý định, không phải suy luận phụ thuộc phẳng hay tổng hợp ngược) thì cũng không khớp rõ ràng vào họ kỹ thuật nào.</w:t>
      </w:r>
    </w:p>
    <w:p>
      <w:pPr>
        <w:pStyle w:val="Heading1"/>
      </w:pPr>
      <w:r>
        <w:t>2.2. Kiểm chứng cấu trúc tĩnh</w:t>
      </w:r>
    </w:p>
    <w:p>
      <w:pPr>
        <w:jc w:val="both"/>
      </w:pPr>
      <w:r>
        <w:t>Họ kỹ thuật đầu tiên dịch cả mô hình mục tiêu và mô hình tiến trình sang một hình thức luận chung, rồi kiểm tra một lần duy nhất trên cấu trúc đã dịch — không có khái niệm thời gian hay thực thi. Ghose và Koliadis (2007) dịch goal model GRL và process model BPMN sang Description Logics rồi dùng reasoner Pellet phân loại từng cặp (workflow pattern, intentional relation) vào một trong ba lớp: realization equivalent, strong inconsistency, potential inconsistency. Gröner và cộng sự (2014) mở rộng đúng kỹ thuật này sang choreography. Guizzardi và cộng sự (2014) hợp nhất metamodel i* với metamodel một nền tảng MDD thành một Integration Metamodel, dùng phép đo OCL phát hiện phần tử không ánh xạ được (NAE) và lớp không thể khởi tạo (NIC) trước khi phép biến đổi mô hình thực sự diễn ra. Eshuis và Ghose (2021) áp dụng kiểm tra cấu trúc tương tự cho cặp mô hình mục tiêu và lược đồ quản lý case khai báo.</w:t>
      </w:r>
    </w:p>
    <w:p>
      <w:pPr>
        <w:jc w:val="both"/>
      </w:pPr>
      <w:r>
        <w:t>Một biến thể của cùng họ này thay verdict rời rạc bằng verdict liên tục mà không cần thêm khái niệm thời gian: Roelens, Steenacker và Poels (2019) đề xuất kỹ thuật Process-Goal Alignment (PGA), dựng một hierarchy giá trị từ tầng chiến lược xuống tầng quy trình, gán mỗi phần tử một mức ưu tiên và hiệu suất, rồi trực quan hoá bằng heat map màu — hoàn toàn tĩnh, nhưng verdict là một thang liên tục thay vì nhãn rời rạc.</w:t>
      </w:r>
    </w:p>
    <w:p>
      <w:pPr>
        <w:jc w:val="both"/>
      </w:pPr>
      <w:r>
        <w:t>Điểm mạnh chung của họ này là mức độ tự động hoá cao và cơ sở lý thuyết chặt: suy luận Description Logics decidable và bao phủ toàn bộ cấu trúc mà không cần liệt kê; việc tái sử dụng công cụ OCL/EMF trưởng thành giúp Guizzardi và cộng sự phát hiện lỗi trước khi biến đổi mô hình, khi chi phí sửa còn thấp; PGA cho kết quả trực quan, dễ đọc cho người không chuyên kỹ thuật. Hạn chế chung: không họ nào trong nhóm này diễn tả được ràng buộc phụ thuộc thứ tự — một goal chỉ đúng sau khi một activity cụ thể đã thực thi là điều nằm ngoài khả năng biểu đạt của kiểm tra cấu trúc tĩnh; kỹ thuật Description Logics riêng còn giới hạn ở quan hệ AND/IOR/XOR, chưa mã hoá contribution link, và có rủi ro undecidable khi quy trình có vòng lặp; PGA gắn chặt với khung Strategic Management, không phải goal model có cấu trúc ý định AND/OR như i*/GRL.</w:t>
      </w:r>
    </w:p>
    <w:p>
      <w:pPr>
        <w:jc w:val="both"/>
      </w:pPr>
      <w:r>
        <w:t xml:space="preserve">Phương pháp đề xuất khác biệt với cả họ này ở việc kiểm tra dọc theo một vết thực thi cụ thể, nên phát hiện được vi phạm phụ thuộc thứ tự thực thi mà kiểm tra cấu trúc tĩnh bỏ sót — minh chứng cụ thể là trường hợp </w:t>
      </w:r>
      <w:r>
        <w:rPr>
          <w:rFonts w:ascii="Consolas" w:hAnsi="Consolas"/>
        </w:rPr>
        <w:t>goalFailures</w:t>
      </w:r>
      <w:r>
        <w:t xml:space="preserve"> khi trace dừng trước khi một participant thực thi hoạt động cuối (Phần~3.7).</w:t>
      </w:r>
    </w:p>
    <w:p>
      <w:pPr>
        <w:pStyle w:val="Heading1"/>
      </w:pPr>
      <w:r>
        <w:t>2.3. Kiểm chứng theo vết thực thi (runtime verification)</w:t>
      </w:r>
    </w:p>
    <w:p>
      <w:pPr>
        <w:jc w:val="both"/>
      </w:pPr>
      <w:r>
        <w:t>Runtime verification là một họ kỹ thuật hình thức đã được công nhận riêng, định nghĩa là "nghiên cứu việc đánh giá động các vết thực thi đối chiếu với đặc tả hình thức" — khác model checking ở chỗ chỉ xét một vết cụ thể đang diễn ra, không duyệt toàn bộ không gian trạng thái (Leucker và Schallhart, 2009). Trong bài toán goal–process, ba công trình áp dụng đúng tinh thần này cho một kịch bản mô phỏng cụ thể thay vì một hệ thống thật đang chạy trực tuyến. Koliadis và Ghose (2006) — khung GoalBPM — gán mỗi activity BPMN một effect annotation, trích trajectory từ start đến end event, rồi đối chiếu hiệu ứng tích luỹ với mẫu RT-LTL của goal KAOS; toàn bộ ba bước đều làm thủ công. Dang, Truong và Gogolla (2010) đề xuất khung kịch bản/hành động/snapshot, dùng triple graph grammar và OCL để đồng bộ hai kịch bản ở hai mức trừu tượng tại từng bước — nền tảng phương pháp luận cho phương pháp đề xuất trong bài báo này.</w:t>
      </w:r>
    </w:p>
    <w:p>
      <w:pPr>
        <w:jc w:val="both"/>
      </w:pPr>
      <w:r>
        <w:t>Biến thể verdict liên tục trong cùng họ: Guizzardi và Reis (2012) phân loại các execution path (main/secondary/alternative) của một cặp Tropos–BPMN đã tồn tại độc lập, ánh xạ activity sang plan kèm trọng số đóng góp, rồi lan truyền điểm số thoả mãn theo từng path bằng quy tắc AND lấy giá trị nhỏ nhất và OR lấy giá trị lớn nhất — vẫn đánh giá theo path thực thi như runtime verification, chỉ khác ở verdict là một điểm số liên tục thay vì nhãn PASS/FAIL.</w:t>
      </w:r>
    </w:p>
    <w:p>
      <w:pPr>
        <w:jc w:val="both"/>
      </w:pPr>
      <w:r>
        <w:t>Điểm mạnh của họ này: biểu diễn được thứ tự và tích luỹ nhân quả qua nhiều bước, điều kiểm tra cấu trúc tĩnh không làm được; tự động hoá được khi kịch bản/snapshot suy ra tự động từ OCL sẵn có (Dang và cộng sự; phương pháp đề xuất) thay vì viết tay (GoalBPM); Guizzardi và Reis áp dụng được cho hai mô hình brownfield đã tồn tại độc lập, không cần quan hệ sinh một chiều. Hạn chế: verdict chỉ có giá trị cho đúng kịch bản đã kiểm — một nhánh không nằm trên kịch bản hoàn toàn không được xét, nên PASS chỉ là phát biểu về vết cụ thể đó, không phải về toàn hệ thống; GoalBPM không scalable vì làm tay hoàn toàn; verdict liên tục của Guizzardi và Reis phụ thuộc trọng số gán chủ quan, chưa có tool tự động hoá đầy đủ.</w:t>
      </w:r>
    </w:p>
    <w:p>
      <w:pPr>
        <w:jc w:val="both"/>
      </w:pPr>
      <w:r>
        <w:t xml:space="preserve">Phương pháp đề xuất thuộc đúng họ này — kiểm dọc theo một vết cụ thể, tự động suy ra từ OCL/SOIL thay vì viết tay — nhưng khác biệt ở việc </w:t>
      </w:r>
      <w:r>
        <w:rPr>
          <w:b/>
        </w:rPr>
        <w:t>kết hợp thêm kiểm tra cấu trúc tĩnh</w:t>
      </w:r>
      <w:r>
        <w:t xml:space="preserve"> (Phần 2.2) cho ràng buộc vai trò tổ chức tại mỗi checkpoint của cùng vết đó, một tổ hợp hai họ mà không công trình nào trong danh sách khảo sát thực hiện.</w:t>
      </w:r>
    </w:p>
    <w:p>
      <w:pPr>
        <w:pStyle w:val="Heading1"/>
      </w:pPr>
      <w:r>
        <w:t>2.4. Kiểm chứng bao trùm mọi vết (model checking)</w:t>
      </w:r>
    </w:p>
    <w:p>
      <w:pPr>
        <w:jc w:val="both"/>
      </w:pPr>
      <w:r>
        <w:t xml:space="preserve">Họ kỹ thuật thứ ba dịch cả hai mô hình sang một hệ chuyển trạng thái chung (labeled transition system), dựng product của hai hệ đó, rồi kiểm một thuộc tính đúng trên </w:t>
      </w:r>
      <w:r>
        <w:rPr>
          <w:b/>
        </w:rPr>
        <w:t>mọi</w:t>
      </w:r>
      <w:r>
        <w:t xml:space="preserve"> trạng thái đạt được thay vì một vết đơn lẻ — đúng định nghĩa chuẩn của model checking. Caballero-Villalobos và cộng sự (2026) dịch goal model iStar và process model (workflow net hoặc DCR graph) sang cùng một labeled transition system, dựng product qua một mapping function nối process action với intentional element, rồi kiểm hai mức compliance lồng nhau bằng duyệt đồ thị hai chiều: weak compliance — từ mọi trạng thái đạt được đều tồn tại đường tới trạng thái thoả mọi quality; strong compliance — weak compliance cộng thêm tính đơn điệu thoả mãn quality trong suốt một run.</w:t>
      </w:r>
    </w:p>
    <w:p>
      <w:pPr>
        <w:jc w:val="both"/>
      </w:pPr>
      <w:r>
        <w:t>Đáng chú ý: dù đã tìm theo nhiều hướng — kiểm chứng xác suất (probabilistic model checking) cho business process, kỹ thuật lan truyền định lượng theo toàn bộ không gian trạng thái, các bài mới 2024–2025 về xác minh hình thức BPMN — không tìm được công trình nào kết hợp model checking bao trùm với verdict liên tục cho đúng cặp goal model–process model. Biến thể gần nhất tìm được (kiểm định lượng bao trùm mọi vết cho declarative process, hoặc kiểm xác suất cho ràng buộc workflow) đều thiếu vế goal model có cấu trúc ý định. Ô này để trống có chủ đích, không phải do khảo sát chưa đủ.</w:t>
      </w:r>
    </w:p>
    <w:p>
      <w:pPr>
        <w:jc w:val="both"/>
      </w:pPr>
      <w:r>
        <w:t>Điểm mạnh: bảo đảm mạnh nhất có thể trong cả ba họ — đúng trên mọi nhánh thực thi, không chỉ nhánh đã chọn; có chứng minh hình thức về tính đúng đắn và đầy đủ của thuật toán. Hạn chế: bùng nổ không gian trạng thái khi quy trình có vòng lặp hoặc concurrency; buộc mọi nhánh thực thi — kể cả nhánh không nhằm thoả mãn goal ban đầu, ví dụ nhánh từ chối một đơn xin phép — phải dẫn tới trạng thái thoả mãn, điều chính tác giả tự nhận có thể tạo phán quyết vô lý về nghiệp vụ.</w:t>
      </w:r>
    </w:p>
    <w:p>
      <w:pPr>
        <w:jc w:val="both"/>
      </w:pPr>
      <w:r>
        <w:t>Phương pháp đề xuất đánh đổi đúng bảo đảm "mọi vết" của họ này lấy khả năng chạy trực tiếp trên hạ tầng USE/SOIL sẵn có, không cần xây và kiểm chứng độc lập một hình thức luận mới — cùng logic đánh đổi mà nhiều hệ thống lân cận domain khác (ví dụ ActivFORMS chuyển từ exhaustive model checking design-time sang Statistical Model Checking tại runtime) cũng đã chọn khi gặp đúng vấn đề bùng nổ trạng thái.</w:t>
      </w:r>
    </w:p>
    <w:p>
      <w:pPr>
        <w:pStyle w:val="Heading1"/>
      </w:pPr>
      <w:r>
        <w:t>2.5. Đặc tả và kiểm chứng cấu trúc vai trò tổ chức</w:t>
      </w:r>
    </w:p>
    <w:p>
      <w:pPr>
        <w:jc w:val="both"/>
      </w:pPr>
      <w:r>
        <w:t>Nhóm công trình cuối không thuộc phạm vi goal–process (RQ2) mà trả lời RQ1: đặc tả và kiểm chứng cấu trúc tổ chức. Hübner, Sichman và Boissier (2002; 2007) đề xuất mô hình tổ chức MOISE và MOISE+ cho hệ đa tác tử, đặc tả cấu trúc gồm role, group, và cardinality cho từng role trong từng group. Ray và cộng sự (2004) hình thức hoá ràng buộc kiểm soát truy cập dựa trên vai trò, gồm cả ràng buộc phân tách nhiệm vụ ngăn một chủ thể đồng thời giữ hai vai trò xung đột, bằng OCL trên mô hình UML.</w:t>
      </w:r>
    </w:p>
    <w:p>
      <w:pPr>
        <w:jc w:val="both"/>
      </w:pPr>
      <w:r>
        <w:t>Về mặt cơ chế, cả ba công trình này thuộc đúng họ "kiểm chứng cấu trúc tĩnh" (Phần 2.2) — chỉ khác đối tượng kiểm: ai giữ vai trò gì, thay vì process có thoả goal hay không. Điểm mạnh: metamodel hình thức hoá tốt cho câu hỏi tương thích vai trò; Ray và cộng sự cho thấy dịch ràng buộc loại này sang OCL khả thi và kiểm chứng được bằng công cụ UML/OCL trưởng thành. Hạn chế mấu chốt: cả hai hướng dừng hoàn toàn ở đặc tả cấu trúc tổ chức tĩnh, tách rời khỏi mô hình ý định và mô hình hành vi của cùng hệ thống — không công trình nào tích hợp kết quả kiểm vai trò vào cùng một hệ đối tượng dùng để kiểm goal–process.</w:t>
      </w:r>
    </w:p>
    <w:p>
      <w:pPr>
        <w:pStyle w:val="Heading1"/>
      </w:pPr>
      <w:r>
        <w:t>2.6. Công trình lân cận</w:t>
      </w:r>
    </w:p>
    <w:p>
      <w:pPr>
        <w:jc w:val="both"/>
      </w:pPr>
      <w:r>
        <w:t>Ba nhóm công trình sau được khảo sát nhưng không đưa vào ba họ chính ở trên, vì mỗi nhóm thiếu đúng một điều kiện của phạm vi bài toán — goal model có cấu trúc ý định (actor/AND-OR/contribution) đối chiếu với process model, cả hai đều là mô hình do người thiết kế.</w:t>
      </w:r>
    </w:p>
    <w:p>
      <w:pPr>
        <w:jc w:val="both"/>
      </w:pPr>
      <w:r>
        <w:rPr>
          <w:b/>
        </w:rPr>
        <w:t>Đối chiếu với ràng buộc phẳng bên ngoài.</w:t>
      </w:r>
      <w:r>
        <w:t xml:space="preserve"> Governatori, Milosevic và Sadiq (2006) hình thức hoá nghĩa vụ hợp đồng và kiểm tra tiến trình có tuân thủ hay không; Ghose và Koliadis (2007) kiểm toán tiến trình đối chiếu với quy định — một bài toán khác với công trình DL của cùng hai tác giả ở Phần 2.2; Awad và Weske (2009) biểu diễn ràng buộc tuân thủ bằng mẫu LTL và trực quan hoá vị trí vi phạm trên BPMN; van der Aalst và de Medeiros (2005) đối chiếu log thực thi thật với mô hình tiến trình. Không công trình nào trong bốn công trình này có một goal model có cấu trúc ý định ở phía "yêu cầu" — phía đó luôn đã bị phẳng hoá thành luật, quy định, hoặc log trước khi kiểm, hoặc (với van der Aalst) thay hẳn bằng dữ liệu thực thi thật thay vì một mô hình thứ hai. Vẫn đáng nêu vì cùng chia sẻ bài toán lân cận "process có tuân thủ một đặc tả bên ngoài hay không", và vì kỹ thuật kiểm chứng bên trong (LTL model checking, formal contract checking) vẫn thuộc đúng ba họ cơ chế ở trên, chỉ khác đối tượng "yêu cầu".</w:t>
      </w:r>
    </w:p>
    <w:p>
      <w:pPr>
        <w:jc w:val="both"/>
      </w:pPr>
      <w:r>
        <w:rPr>
          <w:b/>
        </w:rPr>
        <w:t>Mở rộng góc nhìn ngoài i*.</w:t>
      </w:r>
      <w:r>
        <w:t xml:space="preserve"> Bài toán "why-model đối chiếu process-model" không giới hạn ở i</w:t>
      </w:r>
      <w:r>
        <w:rPr>
          <w:i/>
        </w:rPr>
        <w:t xml:space="preserve">/GRL. Trong lĩnh vực value modeling, Bodenstaff và cộng sự (~2008) kiểm nhất quán giữa mô hình giá trị e3value và mô hình phối hợp (coordination model) bằng quy tắc hình thức đối chiếu value transfer với message flow — cùng thuộc họ kiểm chứng cấu trúc tĩnh (Phần 2.2), chỉ khác "why-model" là mô hình giá trị kinh tế thay vì mô hình ý định. </w:t>
      </w:r>
      <w:r>
        <w:t>(Cần tự xác nhận đầy đủ tên tác giả và venue chính xác trước khi trích dẫn chính thức — tìm được qua tra cứu thứ cấp, chưa đọc toàn văn.)*</w:t>
      </w:r>
    </w:p>
    <w:p>
      <w:pPr>
        <w:jc w:val="both"/>
      </w:pPr>
      <w:r>
        <w:rPr>
          <w:b/>
        </w:rPr>
        <w:t>Hai họ không có đại diện trong bài toán goal–process.</w:t>
      </w:r>
      <w:r>
        <w:t xml:space="preserve"> Khảo sát tổng quát của Groefsema và Bucur (2013) về kiểm chứng hình thức cho business process liệt kê thêm hai họ kỹ thuật — theorem proving (chứng minh suy diễn bằng Coq/Isabelle) và soundness checking (tính đúng đắn cấu trúc riêng của process, theo nghĩa proper completion không deadlock của Van der Aalst) — nhưng tra cứu trực tiếp cho thấy </w:t>
      </w:r>
      <w:r>
        <w:rPr>
          <w:b/>
        </w:rPr>
        <w:t>không có công trình nào</w:t>
      </w:r>
      <w:r>
        <w:t xml:space="preserve"> áp dụng theorem proving cho bài toán goal–process, kể cả cho riêng BPMN. Soundness checking có đại diện gần đây (ví dụ kiểm soundness BPMN tự động, 2024) nhưng trả lời một câu hỏi trực giao — process có tự nó well-formed hay không — độc lập với việc process có thoả goal nào hay không, nên thường được giả định đã đúng trước khi bắt đầu kiểm goal–process, không phải một kỹ thuật cạnh tranh.</w:t>
      </w:r>
    </w:p>
    <w:p>
      <w:pPr>
        <w:pStyle w:val="Heading1"/>
      </w:pPr>
      <w:r>
        <w:t>2.7. Khoảng trống còn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Verdict rời rạc</w:t>
            </w:r>
          </w:p>
        </w:tc>
        <w:tc>
          <w:tcPr>
            <w:tcW w:type="dxa" w:w="2880"/>
          </w:tcPr>
          <w:p>
            <w:r>
              <w:rPr>
                <w:b/>
              </w:rPr>
              <w:t>Verdict liên tục</w:t>
            </w:r>
          </w:p>
        </w:tc>
      </w:tr>
      <w:tr>
        <w:tc>
          <w:tcPr>
            <w:tcW w:type="dxa" w:w="2880"/>
          </w:tcPr>
          <w:p>
            <w:r>
              <w:rPr>
                <w:b/>
              </w:rPr>
              <w:t>Cấu trúc tĩnh</w:t>
            </w:r>
          </w:p>
        </w:tc>
        <w:tc>
          <w:tcPr>
            <w:tcW w:type="dxa" w:w="2880"/>
          </w:tcPr>
          <w:p>
            <w:r>
              <w:t>Ghose &amp; Koliadis 2007; Gröner và cộng sự 2014; Guizzardi và cộng sự 2014; Eshuis &amp; Ghose 2021</w:t>
            </w:r>
          </w:p>
        </w:tc>
        <w:tc>
          <w:tcPr>
            <w:tcW w:type="dxa" w:w="2880"/>
          </w:tcPr>
          <w:p>
            <w:r>
              <w:t>Roelens và cộng sự 2019</w:t>
            </w:r>
          </w:p>
        </w:tc>
      </w:tr>
      <w:tr>
        <w:tc>
          <w:tcPr>
            <w:tcW w:type="dxa" w:w="2880"/>
          </w:tcPr>
          <w:p>
            <w:r>
              <w:rPr>
                <w:b/>
              </w:rPr>
              <w:t>Runtime verification</w:t>
            </w:r>
          </w:p>
        </w:tc>
        <w:tc>
          <w:tcPr>
            <w:tcW w:type="dxa" w:w="2880"/>
          </w:tcPr>
          <w:p>
            <w:r>
              <w:t xml:space="preserve">Koliadis &amp; Ghose 2006 (thủ công); Dang và cộng sự 2010 (tự động); </w:t>
            </w:r>
            <w:r>
              <w:rPr>
                <w:b/>
              </w:rPr>
              <w:t>phương pháp đề xuất</w:t>
            </w:r>
            <w:r>
              <w:t xml:space="preserve"> (tự động)</w:t>
            </w:r>
          </w:p>
        </w:tc>
        <w:tc>
          <w:tcPr>
            <w:tcW w:type="dxa" w:w="2880"/>
          </w:tcPr>
          <w:p>
            <w:r>
              <w:t>Guizzardi &amp; Reis 2012</w:t>
            </w:r>
          </w:p>
        </w:tc>
      </w:tr>
      <w:tr>
        <w:tc>
          <w:tcPr>
            <w:tcW w:type="dxa" w:w="2880"/>
          </w:tcPr>
          <w:p>
            <w:r>
              <w:rPr>
                <w:b/>
              </w:rPr>
              <w:t>Model checking (bao trùm)</w:t>
            </w:r>
          </w:p>
        </w:tc>
        <w:tc>
          <w:tcPr>
            <w:tcW w:type="dxa" w:w="2880"/>
          </w:tcPr>
          <w:p>
            <w:r>
              <w:t>Caballero-Villalobos và cộng sự 2026</w:t>
            </w:r>
          </w:p>
        </w:tc>
        <w:tc>
          <w:tcPr>
            <w:tcW w:type="dxa" w:w="2880"/>
          </w:tcPr>
          <w:p>
            <w:r>
              <w:rPr>
                <w:i/>
              </w:rPr>
              <w:t>(trống — xác nhận qua khảo sát mở rộng)</w:t>
            </w:r>
          </w:p>
        </w:tc>
      </w:tr>
    </w:tbl>
    <w:p/>
    <w:p>
      <w:pPr>
        <w:jc w:val="both"/>
      </w:pPr>
      <w:r>
        <w:t xml:space="preserve">Ba họ kỹ thuật trên trả lời RQ2 theo ba mức phạm vi thực thi khác nhau; nhóm đặc tả cấu trúc tổ chức (Phần 2.5) trả lời RQ1 nhưng tách biệt hoàn toàn khỏi cả ba. Tổng hợp lại: chưa có công trình nào trong toàn bộ khảo sát trả lời đồng thời RQ1 và RQ2 trên cùng một hệ thống đối tượng cụ thể — bốn nhóm ở Phần 2.2–2.4 và 2.6 chỉ xét cặp goal–process (hoặc bài toán lân cận) theo ba cơ chế khác nhau, còn Phần 2.5 chỉ xét cấu trúc tổ chức một mình. Phương pháp đề xuất lấp khoảng trống này bằng cách đứng ở đúng ô "runtime verification × verdict rời rạc" — cùng ô với Koliadis &amp; Ghose và Dang và cộng sự — nhưng </w:t>
      </w:r>
      <w:r>
        <w:rPr>
          <w:b/>
        </w:rPr>
        <w:t>kết hợp thêm</w:t>
      </w:r>
      <w:r>
        <w:t xml:space="preserve"> cơ chế kiểm chứng cấu trúc tĩnh (Phần 2.2) cho ràng buộc vai trò tổ chức tại mỗi checkpoint của vết thực thi đó, một tổ hợp hai họ kỹ thuật mà không công trình nào khảo sát ở trên thực hiện.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