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Công Trình Liên Quan</w:t>
      </w:r>
    </w:p>
    <w:p>
      <w:pPr>
        <w:pStyle w:val="Subtitle"/>
      </w:pPr>
      <w:r>
        <w:t xml:space="preserve">Chuyển thể sang Word từ latex/paper/02-cong-trinh-lien-quan.tex, kèm phụ lục bảng so sánh kỹ thuật 9 phương pháp cốt lõi (latex/content/02-0-bang-so-sanh-9-phuong-phap.md).</w:t>
      </w:r>
    </w:p>
    <w:p>
      <w:pPr>
        <w:pStyle w:val="Heading1"/>
      </w:pPr>
      <w:r>
        <w:t xml:space="preserve">2. Công Trình Liên Quan</w:t>
      </w:r>
    </w:p>
    <w:p>
      <w:r>
        <w:t xml:space="preserve">Phần này trình bày công trình liên quan chia thành năm nhóm: (i) suy luận tĩnh trên hình thức luận chung, (ii) ngữ nghĩa vận hành theo vết thực thi, (iii) căn chỉnh định lượng và liên tục, (iv) đối chiếu với ràng buộc phẳng bên ngoài, và (v) đặc tả và kiểm chứng cấu trúc vai trò tổ chức. Bốn nhóm đầu giải quyết bài toán kiểm tra tính nhất quán giữa mô hình mục tiêu và mô hình tiến trình đã tồn tại độc lập, đúng phạm vi của RQ2; nhóm thứ năm đặc tả và kiểm chứng cấu trúc tổ chức tách biệt khỏi cả mô hình mục tiêu lẫn mô hình tiến trình, đúng phạm vi của RQ1. Mỗi nhóm được trình bày theo cùng một cấu trúc: cơ chế chung, các đại diện tiêu biểu, và điểm khác biệt cụ thể giữa phương pháp đề xuất với nhóm đó.</w:t>
      </w:r>
    </w:p>
    <w:p>
      <w:pPr>
        <w:pStyle w:val="Heading2"/>
      </w:pPr>
      <w:r>
        <w:t xml:space="preserve">2.1. Suy Luận Tĩnh Trên Hình Thức Luận Chung</w:t>
      </w:r>
    </w:p>
    <w:p>
      <w:r>
        <w:t xml:space="preserve">Nhóm công trình đầu tiên dịch cả mô hình mục tiêu và mô hình tiến trình sang một hình thức luận chung rồi dùng một bộ máy suy luận hoặc truy vấn tự động để phân loại tính nhất quán, không mô phỏng thực thi. Ghose và Koliadis (Ghose và Koliadis, 2007) dịch goal model GRL và process model BPMN sang Description Logics, rồi dùng reasoner Pellet để phân loại từng cặp workflow pattern và intentional relation thành ba trạng thái: realization equivalent, khi mọi đường thực thi đều thoả goal; strong inconsistency, khi không đường thực thi nào thoả; và potential inconsistency, khi chỉ một số đường thực thi thoả. Gröner và cộng sự (Gröner và cộng sự, 2014) mở rộng đúng kỹ thuật này sang cả choreography, tức tương tác giữa nhiều tiến trình độc lập qua trao đổi thông điệp. Guizzardi và cộng sự (Guizzardi và cộng sự, 2014/2015) theo một hướng khác trong cùng nhóm: hợp nhất metamodel của i* và metamodel của một nền tảng phát triển hướng mô hình thành một Integration Metamodel duy nhất, rồi dùng các phép đo kiểm OCL thực thi được để phát hiện phần tử không thể ánh xạ và lớp không thể khởi tạo, trước khi phép biến đổi mô hình thực sự diễn ra. Eshuis và Ghose (Eshuis và Ghose, 2021) áp dụng kỹ thuật kiểm tra nhất quán cấu trúc tương tự cho cặp mô hình mục tiêu và lược đồ quản lý case khai báo. Li và cộng sự (Li và cộng sự, 2015) đề xuất một chuỗi hình thức hoá khác hẳn về nền tảng toán học, kết hợp lý thuyết phạm trù cho mô hình mục tiêu, mạng Petri cho mô hình tiến trình, và QVTo cho các phép ánh xạ giữa hai mức.</w:t>
      </w:r>
    </w:p>
    <w:p>
      <w:r>
        <w:t xml:space="preserve">Điểm mạnh chung của nhóm này là mức độ tự động hoá cao và cơ sở lý thuyết chặt: suy luận Description Logics là decidable và bao phủ toàn bộ không gian trạng thái mà không cần liệt kê, trong khi việc tái sử dụng công cụ OCL và EMF trưởng thành giúp Guizzardi và cộng sự (Guizzardi và cộng sự, 2014/2015) phát hiện lỗi trước khi biến đổi mô hình, khi chi phí sửa còn thấp. Tuy nhiên, phạm vi ngữ nghĩa của nhóm này còn hẹp: kỹ thuật Description Logics chỉ xử lý quan hệ AND, IOR, và XOR decomposition, chưa mã hoá contribution link, và gặp rủi ro undecidable khi quy trình có vòng lặp; công trình của Guizzardi và cộng sự (Guizzardi và cộng sự, 2014/2015) gắn chặt với một nền tảng phát triển hướng mô hình cụ thể và chỉ kiểm tra được vi phạm cấu trúc, không phát hiện xung đột ở mức logic nghiệp vụ. Phương pháp đề xuất khác biệt với nhóm này ở hai điểm. Thứ nhất, phương pháp đề xuất kiểm tra dọc theo một vết thực thi cụ thể thay vì suy luận tĩnh tại một thời điểm, nên phát hiện được vi phạm phụ thuộc vào thứ tự thực thi mà suy luận tĩnh bỏ sót. Thứ hai, phương pháp đề xuất đặc tả thêm được ràng buộc cấu trúc tổ chức trong cùng miền OCL/USE dùng để kiểm i* và BPMN, điều không công trình nào trong nhóm này làm được.</w:t>
      </w:r>
    </w:p>
    <w:p>
      <w:pPr>
        <w:pStyle w:val="Heading2"/>
      </w:pPr>
      <w:r>
        <w:t xml:space="preserve">2.2. Ngữ Nghĩa Vận Hành Theo Vết Thực Thi</w:t>
      </w:r>
    </w:p>
    <w:p>
      <w:r>
        <w:t xml:space="preserve">Nhóm công trình thứ hai định nghĩa một khái niệm vết hoặc trạng thái vận hành của tiến trình theo thời gian, rồi đối chiếu vết đó với đặc tả logic hoặc thời gian của goal. Koliadis và Ghose (Koliadis và Ghose, 2006) đề xuất khung GoalBPM: gán mỗi hoạt động BPMN một effect annotation ở thể tường thuật, trích xuất các trajectory từ sự kiện bắt đầu tới sự kiện kết thúc, rồi đối chiếu hiệu ứng tích luỹ dọc mỗi trajectory với mẫu thời gian RT-LTL của goal KAOS, gồm Achieve, Maintain, Avoid, và Cease. Dang và cộng sự (Dang và cộng sự, 2010) đề xuất khung khái niệm kịch bản, hành động, và snapshot dùng làm nền tảng lý thuyết cho phương pháp đề xuất (đã trình bày ở phần Giới thiệu), dùng triple graph grammar và OCL để đồng bộ hai kịch bản ở hai mức trừu tượng khác nhau. Caballero-Villalobos và cộng sự (Caballero-Villalobos và cộng sự, 2026) dịch cả goal model iStar lẫn process model, workflow net hoặc DCR graph, sang cùng một labeled transition system, dựng product của hai LTS đó thông qua một mapping function nối process action với intentional element, rồi kiểm hai mức compliance lồng nhau bằng duyệt đồ thị hai chiều trên product: weak compliance, khi mọi trạng thái đạt được đều có đường tiếp tục tới một trạng thái thoả mọi quality, và strong compliance, tức weak compliance cộng thêm tính đơn điệu thoả mãn quality theo suốt một run. Nagel và cộng sự (Nagel và cộng sự, 2013) kiểm tra sự phụ thuộc logic và thời gian giữa các business goal khi chúng được ánh xạ sang một mô hình BPMN; một công trình khác kiểm chứng bằng model checking hình thức trên một Requirement Dependency Graph mở rộng, đối chiếu với mô hình BPMN cộng tác (tác giả chưa xác định, 2019).</w:t>
      </w:r>
    </w:p>
    <w:p>
      <w:r>
        <w:t xml:space="preserve">So với nhóm suy luận tĩnh, nhóm này biểu diễn được thứ tự và tích luỹ nhân quả qua nhiều bước, và một số công trình, như của Caballero-Villalobos và cộng sự (Caballero-Villalobos và cộng sự, 2026), có chứng minh hình thức về tính đúng đắn và đầy đủ của thuật toán. Hạn chế của nhóm là khung GoalBPM của Koliadis và Ghose (Koliadis và Ghose, 2006) được thực hiện hoàn toàn thủ công; các kỹ thuật dựa trên hệ chuyển trạng thái đối mặt bùng nổ không gian trạng thái khi quy trình có vòng lặp; và bản thân Caballero-Villalobos và cộng sự (Caballero-Villalobos và cộng sự, 2026) tự nhận rằng buộc mọi nhánh thực thi phải dẫn tới trạng thái thoả mãn có thể tạo ra phán quyết vô lý về nghiệp vụ khi một số nhánh, như từ chối một đơn xin phép, vốn dĩ không nên bị buộc phải đạt goal ban đầu. Phương pháp đề xuất khác biệt với nhóm này ở hai điểm. Thứ nhất, snapshot pattern trong phương pháp đề xuất được suy tự động từ OCL sẵn có trong mô hình, không cần viết tay như GoalBPM, và không cần tự xây luật lan truyền AND/OR/Make/Break riêng như Caballero-Villalobos và cộng sự. Thứ hai, phương pháp đề xuất kiểm tra đồng thời ràng buộc cấu trúc tổ chức trên cùng vết thực thi, không chỉ tính nhất quán goal--process.</w:t>
      </w:r>
    </w:p>
    <w:p>
      <w:pPr>
        <w:pStyle w:val="Heading2"/>
      </w:pPr>
      <w:r>
        <w:t xml:space="preserve">2.3. Căn Chỉnh Định Lượng Và Liên Tục</w:t>
      </w:r>
    </w:p>
    <w:p>
      <w:r>
        <w:t xml:space="preserve">Thay vì trả lời nhị phân đạt hay không đạt, nhóm công trình thứ ba tính một điểm số hoặc mức độ liên tục. Guizzardi và Reis (Guizzardi và Reis, 2012) đề xuất phương pháp năm bước để căn chỉnh một mô hình mục tiêu Tropos và một mô hình tiến trình BPMN đã tồn tại độc lập: phân loại execution path, ánh xạ activity sang plan kèm trọng số đóng góp, phát hiện tự động goal chưa được hỗ trợ và activity không đóng góp vào goal nào, rồi lan truyền điểm số thoả mãn theo từng path bằng quy tắc AND lấy giá trị nhỏ nhất và OR lấy giá trị lớn nhất. Shamsaei và cộng sự (Shamsaei và cộng sự, 2011) theo dõi mức độ tuân thủ quy trình bằng chỉ số hiệu suất KPI gắn với goal model GRL trong chuẩn URN. Một hướng ngược lại tổng hợp mô hình mục tiêu từ các milestone của một mô hình tiến trình khai báo dữ liệu (tác giả chưa xác định, 2025), cùng thuộc bản chất định lượng và liên tục dù đi theo chiều ngược.</w:t>
      </w:r>
    </w:p>
    <w:p>
      <w:r>
        <w:t xml:space="preserve">Điểm mạnh nổi bật của phương pháp năm bước (Guizzardi và Reis, 2012) là áp dụng được cho tình huống cả hai mô hình đã tồn tại độc lập, không đòi hỏi quan hệ sinh một chiều như nhóm chuyển đổi. Hạn chế chung của nhóm là việc gán trọng số mang tính chủ quan và phần lớn chưa được tự động hoá đầy đủ. Phương pháp đề xuất khác biệt với nhóm này ở chỗ trả về ba danh sách lỗi tách theo chiều, cấu trúc, quy trình, và goal, thay vì một điểm số tổng hợp duy nhất, và không yêu cầu chuyên gia gán trọng số chủ quan cho từng liên kết đóng góp.</w:t>
      </w:r>
    </w:p>
    <w:p>
      <w:pPr>
        <w:pStyle w:val="Heading2"/>
      </w:pPr>
      <w:r>
        <w:t xml:space="preserve">2.4. Đối Chiếu Với Ràng Buộc Phẳng Bên Ngoài</w:t>
      </w:r>
    </w:p>
    <w:p>
      <w:r>
        <w:t xml:space="preserve">Nhóm công trình thứ tư đối chiếu tiến trình với một đặc tả bên ngoài phẳng, không mang cấu trúc ý định của goal model. Governatori và cộng sự (Governatori và cộng sự, 2006) hình thức hoá nghĩa vụ hợp đồng và kiểm tra tiến trình có tuân thủ hợp đồng đó hay không. Ghose và Koliadis (Ghose và Koliadis, 2007) kiểm toán tiến trình đối chiếu với quy định, một bài toán khác với công trình của cùng hai tác giả đã khảo sát ở mục 2.1. Awad và Weske (Awad và Weske, 2009) biểu diễn ràng buộc tuân thủ bằng mẫu thời gian LTL và trực quan hoá vị trí vi phạm ngay trên mô hình BPMN. Van der Aalst và de Medeiros (van der Aalst và de Medeiros, 2005) đối chiếu trực tiếp log thực thi thật với một mô hình tiến trình để phát hiện thực thi bất thường.</w:t>
      </w:r>
    </w:p>
    <w:p>
      <w:r>
        <w:t xml:space="preserve">Nhóm này thừa hưởng nhiều kỹ thuật kiểm chứng và trực quan hoá trưởng thành, đã ứng dụng công nghiệp rộng rãi cho bài toán tuân thủ nói chung, nhưng phía yêu cầu luôn bị phẳng hoá thành luật, chỉ số, hoặc log trước khi kiểm tra. Phương pháp đề xuất khác biệt với nhóm này ở chỗ giữ nguyên cấu trúc ý định actor, goal, refinement, và contribution của mô hình i* làm phía yêu cầu, thay vì phẳng hoá nó trước khi kiểm tra.</w:t>
      </w:r>
    </w:p>
    <w:p>
      <w:pPr>
        <w:pStyle w:val="Heading2"/>
      </w:pPr>
      <w:r>
        <w:t xml:space="preserve">2.5. Đặc Tả Và Kiểm Chứng Cấu Trúc Vai Trò Tổ Chức</w:t>
      </w:r>
    </w:p>
    <w:p>
      <w:r>
        <w:t xml:space="preserve">Nhóm công trình cuối cùng không thuộc phạm vi goal--process mà đặc tả và kiểm chứng cấu trúc tổ chức. Hübner và cộng sự (Hübner và cộng sự, 2002) (mô hình MOISE) và Hübner và cộng sự (Hübner và cộng sự, 2007) (MOISE+) đề xuất mô hình tổ chức cho hệ đa tác tử, với đặc tả cấu trúc gồm role, group, và cardinality cho từng role trong từng group. Ray và cộng sự (Ray và cộng sự, 2004) hình thức hoá các ràng buộc kiểm soát truy cập dựa trên vai trò, gồm cả ràng buộc phân tách nhiệm vụ ngăn một chủ thể đồng thời giữ hai vai trò xung đột, bằng OCL trên mô hình UML.</w:t>
      </w:r>
    </w:p>
    <w:p>
      <w:r>
        <w:t xml:space="preserve">Điểm mạnh của nhóm này là có metamodel hình thức hoá tốt cho câu hỏi ai được giữ vai trò gì, đồng thời với vai trò nào khác; công trình của Ray và cộng sự (Ray và cộng sự, 2004) còn cho thấy việc dịch loại ràng buộc này sang OCL là khả thi và kiểm chứng được bằng công cụ UML/OCL trưởng thành. Hạn chế mấu chốt là cả hai hướng nghiên cứu này dừng hoàn toàn ở mức đặc tả cấu trúc tổ chức tĩnh, tách rời khỏi mô hình ý định và mô hình hành vi của cùng hệ thống. Phương pháp đề xuất khác biệt với nhóm này ở chỗ không dừng lại ở đặc tả và kiểm chứng cấu trúc tổ chức một mình, mà tích hợp kết quả đó vào cùng một hệ thống đối tượng dùng để kiểm tra tính nhất quán với mô hình mục tiêu và mô hình tiến trình.</w:t>
      </w:r>
    </w:p>
    <w:p>
      <w:pPr>
        <w:pStyle w:val="Heading2"/>
      </w:pPr>
      <w:r>
        <w:t xml:space="preserve">2.6. Khoảng Trống Còn Lại</w:t>
      </w:r>
    </w:p>
    <w:p>
      <w:r>
        <w:t xml:space="preserve">Tổng hợp lại, chưa có công trình nào trong năm nhóm trên trả lời đồng thời RQ1 và RQ2 trên cùng một mô hình hệ thống cụ thể: bốn nhóm đầu chỉ xét cặp goal--process theo bốn cơ chế khác nhau, còn nhóm thứ năm chỉ xét cấu trúc tổ chức tách biệt. Phương pháp đề xuất ở các phần tiếp theo của bài báo lấp khoảng trống này bằng cách kế thừa khung kịch bản--snapshot của Dang và cộng sự (Dang và cộng sự, 2010) cho phần đồng bộ, và triết lý dịch sang một hình thức luận chung rồi truy vấn của Guizzardi và cộng sự (Guizzardi và cộng sự, 2014/2015) cho phần cấu trúc, đồng thời bổ sung chiều tổ chức và kiểm tra dọc theo một vết thực thi cụ thể trên cùng một hệ thống đối tượng USE duy nhất.</w:t>
      </w:r>
    </w:p>
    <w:p>
      <w:pPr>
        <w:pStyle w:val="Heading1"/>
      </w:pPr>
      <w:r>
        <w:t xml:space="preserve">Phụ Lục — Bảng So Sánh Kỹ Thuật 9 Phương Pháp Cốt Lõi (Tier 1)</w:t>
      </w:r>
    </w:p>
    <w:p>
      <w:pPr>
        <w:pStyle w:val="Note"/>
      </w:pPr>
      <w:r>
        <w:rPr>
          <w:i/>
        </w:rPr>
        <w:t xml:space="preserve">Nguồn: latex/content/02-0-bang-so-sanh-9-phuong-phap.md — dựa trên latex/context/SURVEY_kiem_tra_tuong_thich_goal_process.md mục 2.1-2.2 (đúng 9 mục Tier 1) cộng đối chiếu lại với bản gốc đã đọc toàn văn (paper_3, paper_11, paper_4, paper_14, và doc/paper/alig.md), cộng 4 lượt WebSearch bổ sung cho các bài chỉ có tóm tắt cấp cao. Cột “Chất lượng” = có mô hình hoá Quality/softgoal + contribution link (Make/Help/Hurt/Break) hay không, không phải quartile tạp chí.</w:t>
      </w:r>
    </w:p>
    <w:tbl>
      <w:tblPr>
        <w:tblW w:w="963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400"/>
        <w:gridCol w:w="1550"/>
        <w:gridCol w:w="1550"/>
        <w:gridCol w:w="950"/>
        <w:gridCol w:w="1150"/>
        <w:gridCol w:w="1900"/>
        <w:gridCol w:w="2138"/>
      </w:tblGrid>
      <w:tr>
        <w:tc>
          <w:tcPr>
            <w:tcW w:w="400" w:type="dxa"/>
            <w:shd w:val="clear" w:color="auto" w:fill="D9D9D9"/>
            <w:vAlign w:val="top"/>
          </w:tcPr>
          <w:p>
            <w:r>
              <w:rPr>
                <w:b/>
              </w:rPr>
              <w:t xml:space="preserve">#</w:t>
            </w:r>
          </w:p>
        </w:tc>
        <w:tc>
          <w:tcPr>
            <w:tcW w:w="1550" w:type="dxa"/>
            <w:shd w:val="clear" w:color="auto" w:fill="D9D9D9"/>
            <w:vAlign w:val="top"/>
          </w:tcPr>
          <w:p>
            <w:r>
              <w:rPr>
                <w:b/>
              </w:rPr>
              <w:t xml:space="preserve">Tên bài (gộp)</w:t>
            </w:r>
          </w:p>
        </w:tc>
        <w:tc>
          <w:tcPr>
            <w:tcW w:w="1550" w:type="dxa"/>
            <w:shd w:val="clear" w:color="auto" w:fill="D9D9D9"/>
            <w:vAlign w:val="top"/>
          </w:tcPr>
          <w:p>
            <w:r>
              <w:rPr>
                <w:b/>
              </w:rPr>
              <w:t xml:space="preserve">Tác giả – Năm – Venue</w:t>
            </w:r>
          </w:p>
        </w:tc>
        <w:tc>
          <w:tcPr>
            <w:tcW w:w="950" w:type="dxa"/>
            <w:shd w:val="clear" w:color="auto" w:fill="D9D9D9"/>
            <w:vAlign w:val="top"/>
          </w:tcPr>
          <w:p>
            <w:r>
              <w:rPr>
                <w:b/>
              </w:rPr>
              <w:t xml:space="preserve">Goal lang.</w:t>
            </w:r>
          </w:p>
        </w:tc>
        <w:tc>
          <w:tcPr>
            <w:tcW w:w="1150" w:type="dxa"/>
            <w:shd w:val="clear" w:color="auto" w:fill="D9D9D9"/>
            <w:vAlign w:val="top"/>
          </w:tcPr>
          <w:p>
            <w:r>
              <w:rPr>
                <w:b/>
              </w:rPr>
              <w:t xml:space="preserve">Process lang.</w:t>
            </w:r>
          </w:p>
        </w:tc>
        <w:tc>
          <w:tcPr>
            <w:tcW w:w="1900" w:type="dxa"/>
            <w:shd w:val="clear" w:color="auto" w:fill="D9D9D9"/>
            <w:vAlign w:val="top"/>
          </w:tcPr>
          <w:p>
            <w:r>
              <w:rPr>
                <w:b/>
              </w:rPr>
              <w:t xml:space="preserve">Chất lượng / softgoal</w:t>
            </w:r>
          </w:p>
        </w:tc>
        <w:tc>
          <w:tcPr>
            <w:tcW w:w="2138" w:type="dxa"/>
            <w:shd w:val="clear" w:color="auto" w:fill="D9D9D9"/>
            <w:vAlign w:val="top"/>
          </w:tcPr>
          <w:p>
            <w:r>
              <w:rPr>
                <w:b/>
              </w:rPr>
              <w:t xml:space="preserve">Loại đầu ra</w:t>
            </w:r>
          </w:p>
        </w:tc>
      </w:tr>
      <w:tr>
        <w:tc>
          <w:tcPr>
            <w:tcW w:w="400" w:type="dxa"/>
            <w:vAlign w:val="top"/>
          </w:tcPr>
          <w:p>
            <w:r>
              <w:t xml:space="preserve">1</w:t>
            </w:r>
          </w:p>
        </w:tc>
        <w:tc>
          <w:tcPr>
            <w:tcW w:w="1550" w:type="dxa"/>
            <w:vAlign w:val="top"/>
          </w:tcPr>
          <w:p>
            <w:r>
              <w:t xml:space="preserve">Validation of User Intentions in Process Models + ...Orchestration and Choreography</w:t>
            </w:r>
          </w:p>
        </w:tc>
        <w:tc>
          <w:tcPr>
            <w:tcW w:w="1550" w:type="dxa"/>
            <w:vAlign w:val="top"/>
          </w:tcPr>
          <w:p>
            <w:r>
              <w:t xml:space="preserve">Ghose, Koliadis — 2007 — BPM; (+ mở rộng, tác giả bản mở rộng cần xác nhận lại) — 2014 — Information Systems</w:t>
            </w:r>
          </w:p>
        </w:tc>
        <w:tc>
          <w:tcPr>
            <w:tcW w:w="950" w:type="dxa"/>
            <w:vAlign w:val="top"/>
          </w:tcPr>
          <w:p>
            <w:r>
              <w:t xml:space="preserve">GRL</w:t>
            </w:r>
          </w:p>
        </w:tc>
        <w:tc>
          <w:tcPr>
            <w:tcW w:w="1150" w:type="dxa"/>
            <w:vAlign w:val="top"/>
          </w:tcPr>
          <w:p>
            <w:r>
              <w:t xml:space="preserve">BPMN (orch. + choreo.)</w:t>
            </w:r>
          </w:p>
        </w:tc>
        <w:tc>
          <w:tcPr>
            <w:tcW w:w="1900" w:type="dxa"/>
            <w:vAlign w:val="top"/>
          </w:tcPr>
          <w:p>
            <w:r>
              <w:t xml:space="preserve">Không — chỉ AND/IOR/XOR decomposition, contribution link nằm ngoài phạm vi</w:t>
            </w:r>
          </w:p>
        </w:tc>
        <w:tc>
          <w:tcPr>
            <w:tcW w:w="2138" w:type="dxa"/>
            <w:vAlign w:val="top"/>
          </w:tcPr>
          <w:p>
            <w:r>
              <w:t xml:space="preserve">3 lớp: Realization Equivalent / Strong Inconsistency / Potential Inconsistency</w:t>
            </w:r>
          </w:p>
        </w:tc>
      </w:tr>
      <w:tr>
        <w:tc>
          <w:tcPr>
            <w:tcW w:w="400" w:type="dxa"/>
            <w:vAlign w:val="top"/>
          </w:tcPr>
          <w:p>
            <w:r>
              <w:t xml:space="preserve">2</w:t>
            </w:r>
          </w:p>
        </w:tc>
        <w:tc>
          <w:tcPr>
            <w:tcW w:w="1550" w:type="dxa"/>
            <w:vAlign w:val="top"/>
          </w:tcPr>
          <w:p>
            <w:r>
              <w:t xml:space="preserve">Relating Business Process Models to Goal-Oriented Requirements Models in KAOS (GoalBPM)</w:t>
            </w:r>
          </w:p>
        </w:tc>
        <w:tc>
          <w:tcPr>
            <w:tcW w:w="1550" w:type="dxa"/>
            <w:vAlign w:val="top"/>
          </w:tcPr>
          <w:p>
            <w:r>
              <w:t xml:space="preserve">Koliadis, Ghose — 2006 — APCCM</w:t>
            </w:r>
          </w:p>
        </w:tc>
        <w:tc>
          <w:tcPr>
            <w:tcW w:w="950" w:type="dxa"/>
            <w:vAlign w:val="top"/>
          </w:tcPr>
          <w:p>
            <w:r>
              <w:t xml:space="preserve">KAOS</w:t>
            </w:r>
          </w:p>
        </w:tc>
        <w:tc>
          <w:tcPr>
            <w:tcW w:w="1150" w:type="dxa"/>
            <w:vAlign w:val="top"/>
          </w:tcPr>
          <w:p>
            <w:r>
              <w:t xml:space="preserve">BPMN</w:t>
            </w:r>
          </w:p>
        </w:tc>
        <w:tc>
          <w:tcPr>
            <w:tcW w:w="1900" w:type="dxa"/>
            <w:vAlign w:val="top"/>
          </w:tcPr>
          <w:p>
            <w:r>
              <w:t xml:space="preserve">Không có lớp Quality tách biệt; một số ràng buộc phi chức năng qua goal dạng Maintain</w:t>
            </w:r>
          </w:p>
        </w:tc>
        <w:tc>
          <w:tcPr>
            <w:tcW w:w="2138" w:type="dxa"/>
            <w:vAlign w:val="top"/>
          </w:tcPr>
          <w:p>
            <w:r>
              <w:t xml:space="preserve">Traceability link + Satisfaction link theo trajectory; hướng dẫn co-evolution</w:t>
            </w:r>
          </w:p>
        </w:tc>
      </w:tr>
      <w:tr>
        <w:tc>
          <w:tcPr>
            <w:tcW w:w="400" w:type="dxa"/>
            <w:vAlign w:val="top"/>
          </w:tcPr>
          <w:p>
            <w:r>
              <w:t xml:space="preserve">3</w:t>
            </w:r>
          </w:p>
        </w:tc>
        <w:tc>
          <w:tcPr>
            <w:tcW w:w="1550" w:type="dxa"/>
            <w:vAlign w:val="top"/>
          </w:tcPr>
          <w:p>
            <w:r>
              <w:t xml:space="preserve">A Method to Align Goals and Business Processes</w:t>
            </w:r>
          </w:p>
        </w:tc>
        <w:tc>
          <w:tcPr>
            <w:tcW w:w="1550" w:type="dxa"/>
            <w:vAlign w:val="top"/>
          </w:tcPr>
          <w:p>
            <w:r>
              <w:t xml:space="preserve">Guizzardi, Reis — 2012 — CAiSE</w:t>
            </w:r>
          </w:p>
        </w:tc>
        <w:tc>
          <w:tcPr>
            <w:tcW w:w="950" w:type="dxa"/>
            <w:vAlign w:val="top"/>
          </w:tcPr>
          <w:p>
            <w:r>
              <w:t xml:space="preserve">Tropos</w:t>
            </w:r>
          </w:p>
        </w:tc>
        <w:tc>
          <w:tcPr>
            <w:tcW w:w="1150" w:type="dxa"/>
            <w:vAlign w:val="top"/>
          </w:tcPr>
          <w:p>
            <w:r>
              <w:t xml:space="preserve">BPMN</w:t>
            </w:r>
          </w:p>
        </w:tc>
        <w:tc>
          <w:tcPr>
            <w:tcW w:w="1900" w:type="dxa"/>
            <w:vAlign w:val="top"/>
          </w:tcPr>
          <w:p>
            <w:r>
              <w:t xml:space="preserve">Có, trung tâm — softgoal + contribution link + trọng số w ∈ [0,1]</w:t>
            </w:r>
          </w:p>
        </w:tc>
        <w:tc>
          <w:tcPr>
            <w:tcW w:w="2138" w:type="dxa"/>
            <w:vAlign w:val="top"/>
          </w:tcPr>
          <w:p>
            <w:r>
              <w:t xml:space="preserve">Ánh xạ activity→plan + gap list + điểm thoả mãn liên tục theo path</w:t>
            </w:r>
          </w:p>
        </w:tc>
      </w:tr>
      <w:tr>
        <w:tc>
          <w:tcPr>
            <w:tcW w:w="400" w:type="dxa"/>
            <w:vAlign w:val="top"/>
          </w:tcPr>
          <w:p>
            <w:r>
              <w:t xml:space="preserve">4</w:t>
            </w:r>
          </w:p>
        </w:tc>
        <w:tc>
          <w:tcPr>
            <w:tcW w:w="1550" w:type="dxa"/>
            <w:vAlign w:val="top"/>
          </w:tcPr>
          <w:p>
            <w:r>
              <w:t xml:space="preserve">Verifying Goal-Oriented Specifications Used in MDD Processes (VeMI)</w:t>
            </w:r>
          </w:p>
        </w:tc>
        <w:tc>
          <w:tcPr>
            <w:tcW w:w="1550" w:type="dxa"/>
            <w:vAlign w:val="top"/>
          </w:tcPr>
          <w:p>
            <w:r>
              <w:t xml:space="preserve">Guizzardi và cộng sự — 2014/2015 — CAiSE / Requirements Engineering Journal</w:t>
            </w:r>
          </w:p>
        </w:tc>
        <w:tc>
          <w:tcPr>
            <w:tcW w:w="950" w:type="dxa"/>
            <w:vAlign w:val="top"/>
          </w:tcPr>
          <w:p>
            <w:r>
              <w:t xml:space="preserve">i*</w:t>
            </w:r>
          </w:p>
        </w:tc>
        <w:tc>
          <w:tcPr>
            <w:tcW w:w="1150" w:type="dxa"/>
            <w:vAlign w:val="top"/>
          </w:tcPr>
          <w:p>
            <w:r>
              <w:t xml:space="preserve">Không phải BPMN — class model MDD (Integranova)</w:t>
            </w:r>
          </w:p>
        </w:tc>
        <w:tc>
          <w:tcPr>
            <w:tcW w:w="1900" w:type="dxa"/>
            <w:vAlign w:val="top"/>
          </w:tcPr>
          <w:p>
            <w:r>
              <w:t xml:space="preserve">i* có Quality nhưng VeMI không kiểm dựa trên đó — trọng tâm là ánh xạ cấu trúc</w:t>
            </w:r>
          </w:p>
        </w:tc>
        <w:tc>
          <w:tcPr>
            <w:tcW w:w="2138" w:type="dxa"/>
            <w:vAlign w:val="top"/>
          </w:tcPr>
          <w:p>
            <w:r>
              <w:t xml:space="preserve">Danh sách lỗi NAE / NIC / Warning + Fixing Guidelines</w:t>
            </w:r>
          </w:p>
        </w:tc>
      </w:tr>
      <w:tr>
        <w:tc>
          <w:tcPr>
            <w:tcW w:w="400" w:type="dxa"/>
            <w:vAlign w:val="top"/>
          </w:tcPr>
          <w:p>
            <w:r>
              <w:t xml:space="preserve">5</w:t>
            </w:r>
          </w:p>
        </w:tc>
        <w:tc>
          <w:tcPr>
            <w:tcW w:w="1550" w:type="dxa"/>
            <w:vAlign w:val="top"/>
          </w:tcPr>
          <w:p>
            <w:r>
              <w:t xml:space="preserve">Ensuring Consistency among Business Goals and Business Process Models</w:t>
            </w:r>
          </w:p>
        </w:tc>
        <w:tc>
          <w:tcPr>
            <w:tcW w:w="1550" w:type="dxa"/>
            <w:vAlign w:val="top"/>
          </w:tcPr>
          <w:p>
            <w:r>
              <w:t xml:space="preserve">Nagel, Gerth, Engels, Post — 2013 — IEEE EDOC</w:t>
            </w:r>
          </w:p>
        </w:tc>
        <w:tc>
          <w:tcPr>
            <w:tcW w:w="950" w:type="dxa"/>
            <w:vAlign w:val="top"/>
          </w:tcPr>
          <w:p>
            <w:r>
              <w:t xml:space="preserve">Kaos4SOA (KAOS mở rộng riêng cho SOA)</w:t>
            </w:r>
          </w:p>
        </w:tc>
        <w:tc>
          <w:tcPr>
            <w:tcW w:w="1150" w:type="dxa"/>
            <w:vAlign w:val="top"/>
          </w:tcPr>
          <w:p>
            <w:r>
              <w:t xml:space="preserve">BPMN</w:t>
            </w:r>
          </w:p>
        </w:tc>
        <w:tc>
          <w:tcPr>
            <w:tcW w:w="1900" w:type="dxa"/>
            <w:vAlign w:val="top"/>
          </w:tcPr>
          <w:p>
            <w:r>
              <w:t xml:space="preserve">Chưa xác nhận — cần đọc bài gốc</w:t>
            </w:r>
          </w:p>
        </w:tc>
        <w:tc>
          <w:tcPr>
            <w:tcW w:w="2138" w:type="dxa"/>
            <w:vAlign w:val="top"/>
          </w:tcPr>
          <w:p>
            <w:r>
              <w:t xml:space="preserve">Xác nhận/vi phạm ràng buộc phụ thuộc logic-thời gian giữa các goal</w:t>
            </w:r>
          </w:p>
        </w:tc>
      </w:tr>
      <w:tr>
        <w:tc>
          <w:tcPr>
            <w:tcW w:w="400" w:type="dxa"/>
            <w:vAlign w:val="top"/>
          </w:tcPr>
          <w:p>
            <w:r>
              <w:t xml:space="preserve">6</w:t>
            </w:r>
          </w:p>
        </w:tc>
        <w:tc>
          <w:tcPr>
            <w:tcW w:w="1550" w:type="dxa"/>
            <w:vAlign w:val="top"/>
          </w:tcPr>
          <w:p>
            <w:r>
              <w:t xml:space="preserve">Consistency Checking of Goal Models and Case Management Schemas</w:t>
            </w:r>
          </w:p>
        </w:tc>
        <w:tc>
          <w:tcPr>
            <w:tcW w:w="1550" w:type="dxa"/>
            <w:vAlign w:val="top"/>
          </w:tcPr>
          <w:p>
            <w:r>
              <w:t xml:space="preserve">Eshuis, Ghose — 2021 — BPM Forum (LNBIP)</w:t>
            </w:r>
          </w:p>
        </w:tc>
        <w:tc>
          <w:tcPr>
            <w:tcW w:w="950" w:type="dxa"/>
            <w:vAlign w:val="top"/>
          </w:tcPr>
          <w:p>
            <w:r>
              <w:t xml:space="preserve">Goal model (dạng chung)</w:t>
            </w:r>
          </w:p>
        </w:tc>
        <w:tc>
          <w:tcPr>
            <w:tcW w:w="1150" w:type="dxa"/>
            <w:vAlign w:val="top"/>
          </w:tcPr>
          <w:p>
            <w:r>
              <w:t xml:space="preserve">Không phải BPMN — declarative case management schema</w:t>
            </w:r>
          </w:p>
        </w:tc>
        <w:tc>
          <w:tcPr>
            <w:tcW w:w="1900" w:type="dxa"/>
            <w:vAlign w:val="top"/>
          </w:tcPr>
          <w:p>
            <w:r>
              <w:t xml:space="preserve">Chưa xác nhận — abstract chỉ nói “structural approach”</w:t>
            </w:r>
          </w:p>
        </w:tc>
        <w:tc>
          <w:tcPr>
            <w:tcW w:w="2138" w:type="dxa"/>
            <w:vAlign w:val="top"/>
          </w:tcPr>
          <w:p>
            <w:r>
              <w:t xml:space="preserve">PASS/FAIL nhất quán cấu trúc, có tool + case study</w:t>
            </w:r>
          </w:p>
        </w:tc>
      </w:tr>
      <w:tr>
        <w:tc>
          <w:tcPr>
            <w:tcW w:w="400" w:type="dxa"/>
            <w:vAlign w:val="top"/>
          </w:tcPr>
          <w:p>
            <w:r>
              <w:t xml:space="preserve">7</w:t>
            </w:r>
          </w:p>
        </w:tc>
        <w:tc>
          <w:tcPr>
            <w:tcW w:w="1550" w:type="dxa"/>
            <w:vAlign w:val="top"/>
          </w:tcPr>
          <w:p>
            <w:r>
              <w:t xml:space="preserve">Consistency Verification between Collaborative Business Processes and Requirements</w:t>
            </w:r>
          </w:p>
        </w:tc>
        <w:tc>
          <w:tcPr>
            <w:tcW w:w="1550" w:type="dxa"/>
            <w:vAlign w:val="top"/>
          </w:tcPr>
          <w:p>
            <w:r>
              <w:t xml:space="preserve">Tác giả chưa xác định — 2019 — IEEE</w:t>
            </w:r>
          </w:p>
        </w:tc>
        <w:tc>
          <w:tcPr>
            <w:tcW w:w="950" w:type="dxa"/>
            <w:vAlign w:val="top"/>
          </w:tcPr>
          <w:p>
            <w:r>
              <w:t xml:space="preserve">Requirement Dependency Graph (theo SURVEY, chưa xác nhận qua tra cứu)</w:t>
            </w:r>
          </w:p>
        </w:tc>
        <w:tc>
          <w:tcPr>
            <w:tcW w:w="1150" w:type="dxa"/>
            <w:vAlign w:val="top"/>
          </w:tcPr>
          <w:p>
            <w:r>
              <w:t xml:space="preserve">Collaborative BPMN</w:t>
            </w:r>
          </w:p>
        </w:tc>
        <w:tc>
          <w:tcPr>
            <w:tcW w:w="1900" w:type="dxa"/>
            <w:vAlign w:val="top"/>
          </w:tcPr>
          <w:p>
            <w:r>
              <w:t xml:space="preserve">Chưa xác nhận</w:t>
            </w:r>
          </w:p>
        </w:tc>
        <w:tc>
          <w:tcPr>
            <w:tcW w:w="2138" w:type="dxa"/>
            <w:vAlign w:val="top"/>
          </w:tcPr>
          <w:p>
            <w:r>
              <w:t xml:space="preserve">Chưa xác nhận — SURVEY ghi “model checking hình thức”; ĐỘ TIN CẬY THẤP, không nên trích cho tới khi xác minh lại</w:t>
            </w:r>
          </w:p>
        </w:tc>
      </w:tr>
      <w:tr>
        <w:tc>
          <w:tcPr>
            <w:tcW w:w="400" w:type="dxa"/>
            <w:vAlign w:val="top"/>
          </w:tcPr>
          <w:p>
            <w:r>
              <w:t xml:space="preserve">8</w:t>
            </w:r>
          </w:p>
        </w:tc>
        <w:tc>
          <w:tcPr>
            <w:tcW w:w="1550" w:type="dxa"/>
            <w:vAlign w:val="top"/>
          </w:tcPr>
          <w:p>
            <w:r>
              <w:t xml:space="preserve">Aligning processes with high-level requirements: Goal-model-based compliance checking</w:t>
            </w:r>
          </w:p>
        </w:tc>
        <w:tc>
          <w:tcPr>
            <w:tcW w:w="1550" w:type="dxa"/>
            <w:vAlign w:val="top"/>
          </w:tcPr>
          <w:p>
            <w:r>
              <w:t xml:space="preserve">Caballero-Villalobos, Baumeister, Paja, Kokoulina, López — 2026 — Information and Software Technology</w:t>
            </w:r>
          </w:p>
        </w:tc>
        <w:tc>
          <w:tcPr>
            <w:tcW w:w="950" w:type="dxa"/>
            <w:vAlign w:val="top"/>
          </w:tcPr>
          <w:p>
            <w:r>
              <w:t xml:space="preserve">iStar (goal + quality + contribution)</w:t>
            </w:r>
          </w:p>
        </w:tc>
        <w:tc>
          <w:tcPr>
            <w:tcW w:w="1150" w:type="dxa"/>
            <w:vAlign w:val="top"/>
          </w:tcPr>
          <w:p>
            <w:r>
              <w:t xml:space="preserve">Workflow net HOẶC DCR graph (2 lựa chọn thay thế)</w:t>
            </w:r>
          </w:p>
        </w:tc>
        <w:tc>
          <w:tcPr>
            <w:tcW w:w="1900" w:type="dxa"/>
            <w:vAlign w:val="top"/>
          </w:tcPr>
          <w:p>
            <w:r>
              <w:t xml:space="preserve">Có, trung tâm — sâu nhất trong 9 bài</w:t>
            </w:r>
          </w:p>
        </w:tc>
        <w:tc>
          <w:tcPr>
            <w:tcW w:w="2138" w:type="dxa"/>
            <w:vAlign w:val="top"/>
          </w:tcPr>
          <w:p>
            <w:r>
              <w:t xml:space="preserve">Weak compliance / Strong compliance (= weak + quality satisfaction monotonicity); Non-compliant = phủ định weak</w:t>
            </w:r>
          </w:p>
        </w:tc>
      </w:tr>
      <w:tr>
        <w:tc>
          <w:tcPr>
            <w:tcW w:w="400" w:type="dxa"/>
            <w:vAlign w:val="top"/>
          </w:tcPr>
          <w:p>
            <w:r>
              <w:t xml:space="preserve">9</w:t>
            </w:r>
          </w:p>
        </w:tc>
        <w:tc>
          <w:tcPr>
            <w:tcW w:w="1550" w:type="dxa"/>
            <w:vAlign w:val="top"/>
          </w:tcPr>
          <w:p>
            <w:r>
              <w:t xml:space="preserve">A complete approach for CIM modelling and model formalising (GSP)</w:t>
            </w:r>
          </w:p>
        </w:tc>
        <w:tc>
          <w:tcPr>
            <w:tcW w:w="1550" w:type="dxa"/>
            <w:vAlign w:val="top"/>
          </w:tcPr>
          <w:p>
            <w:r>
              <w:t xml:space="preserve">Li, Zhou, Gu, Li — 2015 — Information and Software Technology</w:t>
            </w:r>
          </w:p>
        </w:tc>
        <w:tc>
          <w:tcPr>
            <w:tcW w:w="950" w:type="dxa"/>
            <w:vAlign w:val="top"/>
          </w:tcPr>
          <w:p>
            <w:r>
              <w:t xml:space="preserve">Goal model hình thức hoá bằng lý thuyết phạm trù</w:t>
            </w:r>
          </w:p>
        </w:tc>
        <w:tc>
          <w:tcPr>
            <w:tcW w:w="1150" w:type="dxa"/>
            <w:vAlign w:val="top"/>
          </w:tcPr>
          <w:p>
            <w:r>
              <w:t xml:space="preserve">Scenario + Process model bằng Petri net</w:t>
            </w:r>
          </w:p>
        </w:tc>
        <w:tc>
          <w:tcPr>
            <w:tcW w:w="1900" w:type="dxa"/>
            <w:vAlign w:val="top"/>
          </w:tcPr>
          <w:p>
            <w:r>
              <w:t xml:space="preserve">Chưa xác nhận rõ — abstract không nhắc Quality/softgoal tách biệt</w:t>
            </w:r>
          </w:p>
        </w:tc>
        <w:tc>
          <w:tcPr>
            <w:tcW w:w="2138" w:type="dxa"/>
            <w:vAlign w:val="top"/>
          </w:tcPr>
          <w:p>
            <w:r>
              <w:t xml:space="preserve">1 chiều: sinh tự động Scenario model rồi Process model từ Goal model (transformation, không phải kiểm tra hậu kỳ)</w:t>
            </w:r>
          </w:p>
        </w:tc>
      </w:tr>
    </w:tbl>
    <w:p>
      <w:r>
        <w:t xml:space="preserve"/>
      </w:r>
    </w:p>
    <w:p>
      <w:pPr>
        <w:pStyle w:val="Caption"/>
      </w:pPr>
      <w:r>
        <w:rPr>
          <w:i/>
        </w:rPr>
        <w:t xml:space="preserve">Bảng 1. So sánh 9 phương pháp cốt lõi (Tier 1) theo bốn trục yêu cầu.</w:t>
      </w:r>
    </w:p>
    <w:p>
      <w:pPr>
        <w:pStyle w:val="Note"/>
      </w:pPr>
      <w:r>
        <w:rPr>
          <w:i/>
        </w:rPr>
        <w:t xml:space="preserve">Ghi chú quan trọng: Bài 9 về bản chất là bài toán transformation (sinh Scenario→Process từ Goal), không phải validation như 8 bài còn lại — cần quyết định lại có giữ trong Related Work chính hay không. Bài 7 có độ tin cậy thấp nhất, khuyến nghị không trích dẫn cho tới khi tự xác nhận lại đúng bài qua IEEE Xplore.</w:t>
      </w:r>
    </w:p>
    <w:p>
      <w:pPr>
        <w:pStyle w:val="Heading2"/>
      </w:pPr>
      <w:r>
        <w:t xml:space="preserve">Chi Tiết Từng Bài</w:t>
      </w:r>
    </w:p>
    <w:p>
      <w:pPr>
        <w:pStyle w:val="Heading3"/>
      </w:pPr>
      <w:r>
        <w:t xml:space="preserve">Bài 1 — Validation of User Intentions (họ Description Logics)</w:t>
      </w:r>
    </w:p>
    <w:p>
      <w:r>
        <w:rPr>
          <w:b/>
        </w:rPr>
        <w:t xml:space="preserve">Định nghĩa hình thức chính: </w:t>
      </w:r>
      <w:r>
        <w:t xml:space="preserve">mỗi intentional relation (AND/IOR/XOR decomposition của GRL) và mỗi workflow pattern (AND/XOR/IOR-split/join của BPMN) được mã hoá thành 1 DL concept; kiểm subsumption (RelA ⊑ RelG) và satisfiability (RelA ⊓ RelG ≠ ⊥).</w:t>
      </w:r>
    </w:p>
    <w:p>
      <w:r>
        <w:rPr>
          <w:b/>
        </w:rPr>
        <w:t xml:space="preserve">Luật chuyển: </w:t>
      </w:r>
      <w:r>
        <w:t xml:space="preserve">task↔activity KHÔNG tự động suy ra — là một phần đầu vào (mapping model) do người dùng cung cấp trước; bài chỉ tự động hoá bước dịch DL và suy luận.</w:t>
      </w:r>
    </w:p>
    <w:p>
      <w:r>
        <w:rPr>
          <w:b/>
        </w:rPr>
        <w:t xml:space="preserve">Input: </w:t>
      </w:r>
      <w:r>
        <w:t xml:space="preserve">GRL goal model + BPMN/workflow process model + mapping model (task↔activity).</w:t>
      </w:r>
    </w:p>
    <w:p>
      <w:r>
        <w:rPr>
          <w:b/>
        </w:rPr>
        <w:t xml:space="preserve">Output: </w:t>
      </w:r>
      <w:r>
        <w:t xml:space="preserve">với mỗi cặp (workflow pattern, intentional relation) đã ánh xạ, một trong ba nhãn; kèm bảng tra cứu đầy đủ 15 tổ hợp (5 pattern × 3 relation).</w:t>
      </w:r>
    </w:p>
    <w:p>
      <w:r>
        <w:rPr>
          <w:b/>
        </w:rPr>
        <w:t xml:space="preserve">Thuật toán: </w:t>
      </w:r>
      <w:r>
        <w:t xml:space="preserve">dịch sang OWL knowledge base, chạy reasoner Pellet (ALC), phân loại theo subsumption/satisfiability. Đo được khoảng 6 giây cho 20 cặp model.</w:t>
      </w:r>
    </w:p>
    <w:p>
      <w:pPr>
        <w:pStyle w:val="Note"/>
      </w:pPr>
      <w:r>
        <w:rPr>
          <w:i/>
        </w:rPr>
        <w:t xml:space="preserve">Độ tin cậy: cao cho paper_3 (đã đọc toàn văn). Bản mở rộng “...Orchestration and Choreography” trùng tiêu đề tuyệt đối với bài Gröner et al., Information Systems 43 (2014) — mâu thuẫn tác giả với SURVEY nội bộ, bắt buộc tự tra DBLP trước khi trích chính thức.</w:t>
      </w:r>
    </w:p>
    <w:p>
      <w:pPr>
        <w:pStyle w:val="Heading3"/>
      </w:pPr>
      <w:r>
        <w:t xml:space="preserve">Bài 2 — Relating BPM to KAOS (GoalBPM)</w:t>
      </w:r>
    </w:p>
    <w:p>
      <w:r>
        <w:rPr>
          <w:b/>
        </w:rPr>
        <w:t xml:space="preserve">Định nghĩa hình thức chính: </w:t>
      </w:r>
      <w:r>
        <w:t xml:space="preserve">Effect Annotation (nhãn thể tường thuật gán cho activity, mô tả postcondition); Trajectory (đường thực thi Normal/Exceptional); mẫu RT-LTL: Achieve, Maintain, Avoid, Cease.</w:t>
      </w:r>
    </w:p>
    <w:p>
      <w:r>
        <w:rPr>
          <w:b/>
        </w:rPr>
        <w:t xml:space="preserve">Luật chuyển: </w:t>
      </w:r>
      <w:r>
        <w:t xml:space="preserve">2 giai đoạn hoàn toàn thủ công — (1) traceability link KAOS goal ↔ BPMN activity theo tay; (2) gán effect annotation, trích trajectory, đối chiếu với mẫu RT-LTL, cả 3 bước đều thủ công.</w:t>
      </w:r>
    </w:p>
    <w:p>
      <w:r>
        <w:rPr>
          <w:b/>
        </w:rPr>
        <w:t xml:space="preserve">Input: </w:t>
      </w:r>
      <w:r>
        <w:t xml:space="preserve">BPMN process + KAOS goal model (đặc tả RT-LTL) + traceability table lập tay.</w:t>
      </w:r>
    </w:p>
    <w:p>
      <w:r>
        <w:rPr>
          <w:b/>
        </w:rPr>
        <w:t xml:space="preserve">Output: </w:t>
      </w:r>
      <w:r>
        <w:t xml:space="preserve">mỗi trajectory được đánh dấu thoả/không thoả từng goal; khi thêm goal mới, chỉ ra trajectory nào không còn thoả và gợi ý loại activity cần bổ sung (co-evolution).</w:t>
      </w:r>
    </w:p>
    <w:p>
      <w:r>
        <w:rPr>
          <w:b/>
        </w:rPr>
        <w:t xml:space="preserve">Thuật toán: </w:t>
      </w:r>
      <w:r>
        <w:t xml:space="preserve">không có — toàn bộ pipeline chạy tay, case study Package Sorting Process (~5 activity, ~14 goal).</w:t>
      </w:r>
    </w:p>
    <w:p>
      <w:pPr>
        <w:pStyle w:val="Note"/>
      </w:pPr>
      <w:r>
        <w:rPr>
          <w:i/>
        </w:rPr>
        <w:t xml:space="preserve">Độ tin cậy: cao, đã đọc toàn văn.</w:t>
      </w:r>
    </w:p>
    <w:p>
      <w:pPr>
        <w:pStyle w:val="Heading3"/>
      </w:pPr>
      <w:r>
        <w:t xml:space="preserve">Bài 3 — A Method to Align Goals and Business Processes (5 bước)</w:t>
      </w:r>
    </w:p>
    <w:p>
      <w:r>
        <w:rPr>
          <w:b/>
        </w:rPr>
        <w:t xml:space="preserve">Định nghĩa hình thức chính: </w:t>
      </w:r>
      <w:r>
        <w:t xml:space="preserve">Path classification (main/secondary/alternative); Gap (unaligned goal/activity/path gap); Contribution type theo path (positive/negative/break/hurt/help/unknown) kèm trọng số w∈[0,1].</w:t>
      </w:r>
    </w:p>
    <w:p>
      <w:r>
        <w:rPr>
          <w:b/>
        </w:rPr>
        <w:t xml:space="preserve">Luật chuyển: </w:t>
      </w:r>
      <w:r>
        <w:t xml:space="preserve">5 bước — (1) phân loại path; (2) ánh xạ activity→plan kèm contribution (thủ công); (3) gap detection (tự động hoá được); (4) gán trọng số (thủ công); (5) lan truyền forward/backward: AND = min(children), OR = max(children), parent += w × child.</w:t>
      </w:r>
    </w:p>
    <w:p>
      <w:r>
        <w:rPr>
          <w:b/>
        </w:rPr>
        <w:t xml:space="preserve">Input: </w:t>
      </w:r>
      <w:r>
        <w:t xml:space="preserve">Tropos goal model và BPMN process model đã tồn tại độc lập (brownfield, không cần quan hệ sinh một chiều).</w:t>
      </w:r>
    </w:p>
    <w:p>
      <w:r>
        <w:rPr>
          <w:b/>
        </w:rPr>
        <w:t xml:space="preserve">Output: </w:t>
      </w:r>
      <w:r>
        <w:t xml:space="preserve">bảng ánh xạ activity→plan; danh sách gap; điểm thoả mãn liên tục [0,1] theo từng goal, từng execution path.</w:t>
      </w:r>
    </w:p>
    <w:p>
      <w:r>
        <w:rPr>
          <w:b/>
        </w:rPr>
        <w:t xml:space="preserve">Thuật toán: </w:t>
      </w:r>
      <w:r>
        <w:t xml:space="preserve">propagation tuyến tính min/max/weighted-sum; đánh giá qua thực nghiệm có kiểm soát (14 học viên cao học, 5-bước cho tỉ lệ ánh xạ đúng cao hơn ad-hoc).</w:t>
      </w:r>
    </w:p>
    <w:p>
      <w:pPr>
        <w:pStyle w:val="Note"/>
      </w:pPr>
      <w:r>
        <w:rPr>
          <w:i/>
        </w:rPr>
        <w:t xml:space="preserve">Độ tin cậy: cao, đã đọc toàn văn.</w:t>
      </w:r>
    </w:p>
    <w:p>
      <w:pPr>
        <w:pStyle w:val="Heading3"/>
      </w:pPr>
      <w:r>
        <w:t xml:space="preserve">Bài 4 — VeMI (Verification for Model Integration)</w:t>
      </w:r>
    </w:p>
    <w:p>
      <w:r>
        <w:rPr>
          <w:b/>
        </w:rPr>
        <w:t xml:space="preserve">Định nghĩa hình thức chính: </w:t>
      </w:r>
      <w:r>
        <w:t xml:space="preserve">NAE (Non-Accessible Element — phần tử i* không ánh xạ được sang Integranova); NIC (Non-Instantiable Class — lớp sinh ra có ràng buộc mâu thuẫn, không thể có instance); Integration Metamodel (hợp nhất i* metamodel + Integranova metamodel + cross-metamodel link).</w:t>
      </w:r>
    </w:p>
    <w:p>
      <w:r>
        <w:rPr>
          <w:b/>
        </w:rPr>
        <w:t xml:space="preserve">Luật chuyển: </w:t>
      </w:r>
      <w:r>
        <w:t xml:space="preserve">transformation rule i*→Integranova (Actor→Class, Resource dependency→Association mandatory [1..1], Task→Method) phân tích trước rồi mã hoá thành ràng buộc trong Integration Metamodel.</w:t>
      </w:r>
    </w:p>
    <w:p>
      <w:r>
        <w:rPr>
          <w:b/>
        </w:rPr>
        <w:t xml:space="preserve">Input: </w:t>
      </w:r>
      <w:r>
        <w:t xml:space="preserve">i* model của người dùng + bộ transformation rule i*→Integranova đã biết trước (cố định).</w:t>
      </w:r>
    </w:p>
    <w:p>
      <w:r>
        <w:rPr>
          <w:b/>
        </w:rPr>
        <w:t xml:space="preserve">Output: </w:t>
      </w:r>
      <w:r>
        <w:t xml:space="preserve">danh sách lỗi NAE/NIC/Warning, mỗi lỗi kèm Fixing Guideline cụ thể.</w:t>
      </w:r>
    </w:p>
    <w:p>
      <w:r>
        <w:rPr>
          <w:b/>
        </w:rPr>
        <w:t xml:space="preserve">Thuật toán: </w:t>
      </w:r>
      <w:r>
        <w:t xml:space="preserve">OCL Verification Measures chạy trên Integration Metamodel (nền EMF), trước khi phép biến đổi thật diễn ra (pre-transformation). Đánh giá qua thực nghiệm 24 người + case study công nghiệp.</w:t>
      </w:r>
    </w:p>
    <w:p>
      <w:pPr>
        <w:pStyle w:val="Note"/>
      </w:pPr>
      <w:r>
        <w:rPr>
          <w:i/>
        </w:rPr>
        <w:t xml:space="preserve">Lưu ý phân loại: đích đối chiếu của VeMI không phải BPMN mà là class model MDD (Integranova) — biến thể goal↔design-model, không phải goal↔process thuần túy. Độ tin cậy: cao, đã đọc toàn văn.</w:t>
      </w:r>
    </w:p>
    <w:p>
      <w:pPr>
        <w:pStyle w:val="Heading3"/>
      </w:pPr>
      <w:r>
        <w:t xml:space="preserve">Bài 5 — Ensuring Consistency among Business Goals and BPM</w:t>
      </w:r>
    </w:p>
    <w:p>
      <w:r>
        <w:rPr>
          <w:b/>
        </w:rPr>
        <w:t xml:space="preserve">Định nghĩa hình thức chính: </w:t>
      </w:r>
      <w:r>
        <w:t xml:space="preserve">chưa xác nhận đầy đủ. Xác nhận qua WebSearch: nhóm tác giả dùng ngôn ngữ goal model tự mở rộng gọi là Kaos4SOA (không phải KAOS gốc), nhấn mạnh temporal and logical dependencies GIỮA các goal với nhau — khác trọng tâm so với Bài 1-4 (quan hệ goal↔activity đơn lẻ).</w:t>
      </w:r>
    </w:p>
    <w:p>
      <w:r>
        <w:rPr>
          <w:b/>
        </w:rPr>
        <w:t xml:space="preserve">Luật chuyển / Input / Output / Thuật toán: </w:t>
      </w:r>
      <w:r>
        <w:t xml:space="preserve">chưa đủ thông tin — chỉ có abstract, không suy diễn thêm để tránh bịa chi tiết kỹ thuật. Cần tự truy cập IEEE Xplore document 6658260 (EDOC 2013, tr. 17-26) trước khi viết bản thảo chính thức.</w:t>
      </w:r>
    </w:p>
    <w:p>
      <w:pPr>
        <w:pStyle w:val="Heading3"/>
      </w:pPr>
      <w:r>
        <w:t xml:space="preserve">Bài 6 — Consistency Checking of Goal Models and Case Management Schemas</w:t>
      </w:r>
    </w:p>
    <w:p>
      <w:r>
        <w:rPr>
          <w:b/>
        </w:rPr>
        <w:t xml:space="preserve">Định nghĩa hình thức chính: </w:t>
      </w:r>
      <w:r>
        <w:t xml:space="preserve">chưa xác nhận đầy đủ. Abstract xác nhận: đối tượng đối chiếu là case management schema dạng khai báo (declarative, data-centric), khác BPMN (activity-centric) — điểm đặc biệt của bài này trong 9 bài.</w:t>
      </w:r>
    </w:p>
    <w:p>
      <w:r>
        <w:rPr>
          <w:b/>
        </w:rPr>
        <w:t xml:space="preserve">Luật chuyển / Input / Output / Thuật toán: </w:t>
      </w:r>
      <w:r>
        <w:t xml:space="preserve">gọi là “structural approach” theo abstract, có tool và case study, cơ chế cụ thể chưa xác nhận. Cần tự truy cập Springer BPM 2021 Forum, LNBIP, DOI 10.1007/978-3-030-85440-9_4 (tr. 54-70).</w:t>
      </w:r>
    </w:p>
    <w:p>
      <w:pPr>
        <w:pStyle w:val="Heading3"/>
      </w:pPr>
      <w:r>
        <w:t xml:space="preserve">Bài 7 — Consistency Verification between Collaborative BP and Requirements</w:t>
      </w:r>
    </w:p>
    <w:p>
      <w:r>
        <w:rPr>
          <w:b/>
        </w:rPr>
        <w:t xml:space="preserve">Cảnh báo độ tin cậy: </w:t>
      </w:r>
      <w:r>
        <w:t xml:space="preserve">WebSearch cho IEEE Xplore document 8875503 không trả về mô tả khớp “Requirement Dependency Graph” như SURVEY ghi — chỉ cho biết tài liệu liên quan giới thiệu “concurrency operator” để compose process của các tổ chức tham gia, không nhắc goal model.</w:t>
      </w:r>
    </w:p>
    <w:p>
      <w:r>
        <w:rPr>
          <w:b/>
        </w:rPr>
        <w:t xml:space="preserve">Kết luận: </w:t>
      </w:r>
      <w:r>
        <w:t xml:space="preserve">không đủ cơ sở hoàn thiện các ô khác. Khuyến nghị không trích dẫn bài này cho tới khi tự xác nhận lại đúng tên bài, đúng tác giả qua IEEE Xplore trực tiếp.</w:t>
      </w:r>
    </w:p>
    <w:p>
      <w:pPr>
        <w:pStyle w:val="Heading3"/>
      </w:pPr>
      <w:r>
        <w:t xml:space="preserve">Bài 8 — Aligning Processes with High-Level Requirements (Caballero-Villalobos et al.)</w:t>
      </w:r>
    </w:p>
    <w:p>
      <w:r>
        <w:rPr>
          <w:b/>
        </w:rPr>
        <w:t xml:space="preserve">Định nghĩa hình thức chính: </w:t>
      </w:r>
      <w:r>
        <w:t xml:space="preserve">Labeled Transition System (nền tảng ngữ nghĩa chung 2 phía); Workflow net (sound = proper completing + weakly terminating + quasi-live; và safe); DCR graph (marking (h,i,p) — happened/included/pending; 4 quan hệ: condition, response, inclusion, exclusion; accepting run); Goal model GM := (IE, L), IE := G ⊎ T ⊎ Q (Goal/Task/Quality), với contribution link Make/Help/Hurt/Break và luật lan truyền marking AND/OR/Make/Break.</w:t>
      </w:r>
    </w:p>
    <w:p>
      <w:r>
        <w:rPr>
          <w:b/>
        </w:rPr>
        <w:t xml:space="preserve">Luật chuyển: </w:t>
      </w:r>
      <w:r>
        <w:t xml:space="preserve">cả Workflow net lẫn DCR graph đều dịch sang LTS theo đúng ngữ nghĩa vận hành riêng; goal model được gán ngữ nghĩa vận hành riêng (marking propagation) rồi cũng biểu diễn dưới dạng LTS; một mapping function xác định process action nào cập nhật intentional element nào.</w:t>
      </w:r>
    </w:p>
    <w:p>
      <w:r>
        <w:rPr>
          <w:b/>
        </w:rPr>
        <w:t xml:space="preserve">Input: </w:t>
      </w:r>
      <w:r>
        <w:t xml:space="preserve">1 goal model iStar (goal, task, quality, contribution) + 1 process model là Workflow net HOẶC DCR graph (2 lựa chọn thay thế, không dùng đồng thời cả ba) + 1 mapping function.</w:t>
      </w:r>
    </w:p>
    <w:p>
      <w:r>
        <w:rPr>
          <w:b/>
        </w:rPr>
        <w:t xml:space="preserve">Output: </w:t>
      </w:r>
      <w:r>
        <w:t xml:space="preserve">Weak compliance (mọi trạng thái đạt được đều có đường tới trạng thái thoả mọi quality, và mọi trạng thái kết thúc đã thoả); Strong compliance = weak + tính đơn điệu thoả mãn quality (stability); Non-compliant = phủ định weak. Đây là 2 mức lồng nhau, không phải 4 nhãn phẳng.</w:t>
      </w:r>
    </w:p>
    <w:p>
      <w:r>
        <w:rPr>
          <w:b/>
        </w:rPr>
        <w:t xml:space="preserve">Thuật toán: </w:t>
      </w:r>
      <w:r>
        <w:t xml:space="preserve">dựng synchronous product của 2 LTS (goal + process), kiểm reachability 2 hướng (forward/backward BFS) trên product. Có chứng minh hình thức về tính đúng đắn, đầy đủ, và độ phức tạp cho cả thuật toán compliance lẫn stability. Công cụ hỗ trợ: Kogi tool.</w:t>
      </w:r>
    </w:p>
    <w:p>
      <w:pPr>
        <w:pStyle w:val="Note"/>
      </w:pPr>
      <w:r>
        <w:rPr>
          <w:i/>
        </w:rPr>
        <w:t xml:space="preserve">Chất lượng/softgoal: bài xử lý sâu nhất trong 9 bài — toàn bộ đóng góp chính là nâng compliance checking từ mức task/event rời rạc lên mức high-level business requirement biểu diễn qua Quality với contribution link. Độ tin cậy: cao nhất, đã đọc toàn văn đầy đủ.</w:t>
      </w:r>
    </w:p>
    <w:p>
      <w:pPr>
        <w:pStyle w:val="Heading3"/>
      </w:pPr>
      <w:r>
        <w:t xml:space="preserve">Bài 9 — A Complete Approach for CIM Modelling and Model Formalising (GSP)</w:t>
      </w:r>
    </w:p>
    <w:p>
      <w:r>
        <w:rPr>
          <w:b/>
        </w:rPr>
        <w:t xml:space="preserve">Định nghĩa hình thức chính: </w:t>
      </w:r>
      <w:r>
        <w:t xml:space="preserve">goal model hình thức hoá bằng lý thuyết phạm trù; scenario model và process model hình thức hoá bằng mạng Petri — họ kỹ thuật thứ 5 trong 9 bài, khác hẳn nền tảng DL/RT-LTL/OCL/marking-LTS của 8 bài còn lại.</w:t>
      </w:r>
    </w:p>
    <w:p>
      <w:r>
        <w:rPr>
          <w:b/>
        </w:rPr>
        <w:t xml:space="preserve">Luật chuyển: </w:t>
      </w:r>
      <w:r>
        <w:t xml:space="preserve">bộ metamodel + transformation rule (QVTo) cho phép sinh tự động Scenario model từ Goal model, rồi Process model từ Scenario model.</w:t>
      </w:r>
    </w:p>
    <w:p>
      <w:r>
        <w:rPr>
          <w:b/>
        </w:rPr>
        <w:t xml:space="preserve">Input: </w:t>
      </w:r>
      <w:r>
        <w:t xml:space="preserve">1 goal model cấp cao (category theory).</w:t>
      </w:r>
    </w:p>
    <w:p>
      <w:r>
        <w:rPr>
          <w:b/>
        </w:rPr>
        <w:t xml:space="preserve">Output: </w:t>
      </w:r>
      <w:r>
        <w:t xml:space="preserve">Scenario model (Petri net) sinh tự động, rồi Process model (Petri net) sinh tự động từ Scenario model — không phải danh sách lỗi/verdict như 8 bài kia.</w:t>
      </w:r>
    </w:p>
    <w:p>
      <w:r>
        <w:rPr>
          <w:b/>
        </w:rPr>
        <w:t xml:space="preserve">Thuật toán: </w:t>
      </w:r>
      <w:r>
        <w:t xml:space="preserve">transformation rule QVTo, cài đặt bằng công cụ MDA, kiểm chứng qua case study công ty du lịch (travel agency).</w:t>
      </w:r>
    </w:p>
    <w:p>
      <w:pPr>
        <w:pStyle w:val="Note"/>
      </w:pPr>
      <w:r>
        <w:rPr>
          <w:i/>
        </w:rPr>
        <w:t xml:space="preserve">Ghi chú quan trọng: Bài 9 thuộc loại bài toán TRANSFORMATION, không phải VALIDATION như 8 bài kia — cần quyết định lại vị trí trong Related Work (giữ làm ví dụ về họ kỹ thuật khác lạ, hay loại khỏi phạm vi chính theo đúng nguyên tắc lọc validation-only đã đặt ra).</w:t>
      </w:r>
    </w:p>
    <w:p>
      <w:pPr>
        <w:pStyle w:val="Heading1"/>
      </w:pPr>
      <w:r>
        <w:t xml:space="preserve">Việc Cần Làm Tiếp Theo</w:t>
      </w:r>
    </w:p>
    <w:p>
      <w:r>
        <w:rPr>
          <w:b/>
        </w:rPr>
        <w:t xml:space="preserve">1. </w:t>
      </w:r>
      <w:r>
        <w:t xml:space="preserve">Xác nhận lại tác giả bản mở rộng của Bài 1 (“...Orchestration and Choreography”) qua DBLP — nghi vấn đây là bài Gröner et al. 2014 (Information Systems), không phải bản mở rộng của chính Ghose/Koliadis.</w:t>
      </w:r>
    </w:p>
    <w:p>
      <w:r>
        <w:rPr>
          <w:b/>
        </w:rPr>
        <w:t xml:space="preserve">2. </w:t>
      </w:r>
      <w:r>
        <w:t xml:space="preserve">Đọc toàn văn Bài 5 (Nagel et al.) và Bài 6 (Eshuis &amp; Ghose) qua tài khoản thư viện trước khi đưa chi tiết kỹ thuật vào bản thảo chính thức.</w:t>
      </w:r>
    </w:p>
    <w:p>
      <w:r>
        <w:rPr>
          <w:b/>
        </w:rPr>
        <w:t xml:space="preserve">3. </w:t>
      </w:r>
      <w:r>
        <w:t xml:space="preserve">Xác minh lại toàn bộ Bài 7 — có khả năng SURVEY nội bộ gán nhầm mã tài liệu IEEE Xplore; nên loại khỏi bản thảo chính thức cho tới khi xác nhận được đúng bài.</w:t>
      </w:r>
    </w:p>
    <w:p>
      <w:r>
        <w:rPr>
          <w:b/>
        </w:rPr>
        <w:t xml:space="preserve">4. </w:t>
      </w:r>
      <w:r>
        <w:t xml:space="preserve">Quyết định vị trí của Bài 9 trong 5 nhóm ở 02-cong-trinh-lien-quan.tex — bài toán transformation, không phải validation.</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after="160" w:line="276" w:lineRule="auto"/>
      </w:pPr>
    </w:pPrDefault>
  </w:docDefaults>
  <w:style w:type="paragraph" w:default="1" w:styleId="Normal">
    <w:name w:val="Normal"/>
  </w:style>
  <w:style w:type="paragraph" w:styleId="Title">
    <w:name w:val="Title"/>
    <w:basedOn w:val="Normal"/>
    <w:qFormat/>
    <w:pPr>
      <w:jc w:val="center"/>
      <w:spacing w:after="240"/>
    </w:pPr>
    <w:rPr>
      <w:b/>
      <w:sz w:val="40"/>
      <w:szCs w:val="40"/>
    </w:rPr>
  </w:style>
  <w:style w:type="paragraph" w:styleId="Subtitle">
    <w:name w:val="Subtitle"/>
    <w:basedOn w:val="Normal"/>
    <w:qFormat/>
    <w:pPr>
      <w:jc w:val="center"/>
      <w:spacing w:after="360"/>
    </w:pPr>
    <w:rPr>
      <w:i/>
      <w:color w:val="595959"/>
      <w:sz w:val="20"/>
      <w:szCs w:val="20"/>
    </w:rPr>
  </w:style>
  <w:style w:type="paragraph" w:styleId="Heading1">
    <w:name w:val="heading 1"/>
    <w:basedOn w:val="Normal"/>
    <w:qFormat/>
    <w:pPr>
      <w:keepNext/>
      <w:spacing w:before="360" w:after="160"/>
      <w:outlineLvl w:val="0"/>
    </w:pPr>
    <w:rPr>
      <w:b/>
      <w:sz w:val="32"/>
      <w:szCs w:val="32"/>
    </w:rPr>
  </w:style>
  <w:style w:type="paragraph" w:styleId="Heading2">
    <w:name w:val="heading 2"/>
    <w:basedOn w:val="Normal"/>
    <w:qFormat/>
    <w:pPr>
      <w:keepNext/>
      <w:spacing w:before="280" w:after="120"/>
      <w:outlineLvl w:val="1"/>
    </w:pPr>
    <w:rPr>
      <w:b/>
      <w:sz w:val="28"/>
      <w:szCs w:val="28"/>
    </w:rPr>
  </w:style>
  <w:style w:type="paragraph" w:styleId="Heading3">
    <w:name w:val="heading 3"/>
    <w:basedOn w:val="Normal"/>
    <w:qFormat/>
    <w:pPr>
      <w:keepNext/>
      <w:spacing w:before="200" w:after="100"/>
      <w:outlineLvl w:val="2"/>
    </w:pPr>
    <w:rPr>
      <w:b/>
      <w:i/>
      <w:sz w:val="26"/>
      <w:szCs w:val="26"/>
    </w:rPr>
  </w:style>
  <w:style w:type="paragraph" w:styleId="Caption">
    <w:name w:val="caption"/>
    <w:basedOn w:val="Normal"/>
    <w:qFormat/>
    <w:pPr>
      <w:spacing w:before="60" w:after="120"/>
      <w:jc w:val="center"/>
    </w:pPr>
    <w:rPr>
      <w:i/>
      <w:sz w:val="20"/>
      <w:szCs w:val="20"/>
    </w:rPr>
  </w:style>
  <w:style w:type="paragraph" w:styleId="Note">
    <w:name w:val="Note"/>
    <w:basedOn w:val="Normal"/>
    <w:qFormat/>
    <w:pPr>
      <w:spacing w:after="120"/>
      <w:ind w:left="284"/>
    </w:pPr>
    <w:rPr>
      <w:i/>
      <w:color w:val="595959"/>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Application>python-zipfile</Application>
</Properties>
</file>

<file path=docProps/core.xml><?xml version="1.0" encoding="utf-8"?>
<cp:coreProperties xmlns:cp="http://schemas.openxmlformats.org/package/2006/metadata/core-properties" xmlns:dc="http://purl.org/dc/elements/1.1/" xmlns:dcterms="http://purl.org/dc/terms/" xmlns:xsi="http://www.w3.org/2001/XMLSchema-instance">
  <dc:title>Cong trinh lien quan</dc:title>
  <dc:creator>Claude</dc:creator>
  <cp:lastModifiedBy>Claude</cp:lastModifiedBy>
</cp:coreProperties>
</file>