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-biogenic carbon storage and carbon sequestration excluded from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-cradle to gate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-fuel related carbon emissions included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Appliances and Internal Fixtures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Ordinary vs. Water-Saving (Self-Closing) Taps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Global warming potential (sum of all greenhouse gases measured in kg of equivalent CO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) is recorded instead of only carbon emissions.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Measured using the method developed by the Intergovernmental Panel on Climate Change for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100-year time horizon (Eq.4) (Heijungs et al., 1992).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vertAlign w:val="subscript"/>
          <w:rtl w:val="0"/>
        </w:rPr>
        <w:t xml:space="preserve">GWP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 =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color w:val="323333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color w:val="323333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color w:val="323333"/>
              </w:rPr>
              <m:t xml:space="preserve">n</m:t>
            </m:r>
          </m:sup>
        </m:nary>
      </m:oMath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ODP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 x AE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vertAlign w:val="subscript"/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where I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vertAlign w:val="subscript"/>
          <w:rtl w:val="0"/>
        </w:rPr>
        <w:t xml:space="preserve">GWP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is the global warming potential indicator (kg CO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eq), n is the number of analyzed substances, GWP is the global warming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potential of the substance (kg CO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eq/kg), and AE is the substance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emission to air (kg).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Assessment is centered in Santa Catarina State University in Joinville, Southern Brazil.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Assumed lifespan of both taps is 4 years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eq during the “Use” comes from water usage and heating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While no model or brand given for either plumbing fixture, the makeup of each is conveyed in the table below: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35036" cy="2243138"/>
            <wp:effectExtent b="0" l="0" r="0" t="0"/>
            <wp:docPr descr="Screen Shot 2015-11-03 at 6.03.57 PM.png" id="1" name="image01.png"/>
            <a:graphic>
              <a:graphicData uri="http://schemas.openxmlformats.org/drawingml/2006/picture">
                <pic:pic>
                  <pic:nvPicPr>
                    <pic:cNvPr descr="Screen Shot 2015-11-03 at 6.03.57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036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23333"/>
          <w:rtl w:val="0"/>
        </w:rPr>
        <w:t xml:space="preserve">Toilet Bowl &amp; Showerhead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LCA data centered in Japan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Toilet bowl replaced every 13 years; showerhead every 20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No model or brand given for either plumbing fixture: assumed generic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23333"/>
          <w:rtl w:val="0"/>
        </w:rPr>
        <w:t xml:space="preserve">Magnetic vs. Vapor-Compression Refrigerators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Specifications for both refrigerators: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Energy Efficiency class of A+++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Annual energy consumption of 66.17 kWh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Subtropical climate (18-38ºC ambient temperature)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Refrigeration compartment volume of 223L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No freezer compartment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Gross volume of 230L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Free-standing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One door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Lifetime of 14 years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LCA boundary box: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76763" cy="2442407"/>
            <wp:effectExtent b="0" l="0" r="0" t="0"/>
            <wp:docPr descr="Screen Shot 2015-11-03 at 6.18.17 PM.png" id="3" name="image05.png"/>
            <a:graphic>
              <a:graphicData uri="http://schemas.openxmlformats.org/drawingml/2006/picture">
                <pic:pic>
                  <pic:nvPicPr>
                    <pic:cNvPr descr="Screen Shot 2015-11-03 at 6.18.17 PM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442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Refrigerators are assumed to be in Europe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No model or brand is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23333"/>
          <w:rtl w:val="0"/>
        </w:rPr>
        <w:t xml:space="preserve">Household Refrigerators in China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Refrigerator specifications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Direct cooling double door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Compartment volume is 200L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Total weight 61kg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Assesses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23333"/>
          <w:rtl w:val="0"/>
        </w:rPr>
        <w:t xml:space="preserve">typical 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refrigerator in China (again, no model or brand is given)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Lifetime is 10 years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Assumed that the refrigerator is kept running 24/h a day ( this only affects the use phase)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Assumed that the refrigerator is made and used in China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LCA boundary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71800" cy="3605674"/>
            <wp:effectExtent b="0" l="0" r="0" t="0"/>
            <wp:docPr descr="Screen Shot 2015-11-03 at 6.49.25 PM.png" id="2" name="image04.png"/>
            <a:graphic>
              <a:graphicData uri="http://schemas.openxmlformats.org/drawingml/2006/picture">
                <pic:pic>
                  <pic:nvPicPr>
                    <pic:cNvPr descr="Screen Shot 2015-11-03 at 6.49.25 PM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0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23333"/>
          <w:rtl w:val="0"/>
        </w:rPr>
        <w:t xml:space="preserve">Chinese Color TV Sets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TV specifications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25” diagonally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30kg mass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kg CO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eq of a single set is derived from a division by 10,000 of the LCA’s original functional unit (10,000 color TV sets)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Lifetime: 10 years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2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rtl w:val="0"/>
        </w:rPr>
        <w:t xml:space="preserve">“Glass is the main component (51 wt %), followed by steel (12 wt %), copper (8 wt %), aluminium (2 wt %), polyethylene (PE) (1.0 wt %), polyvinyl chloride (PVC) (3.5 wt %), polystyrene (PS) (6.0 wt %), circuit board (3 wt %) and others (3 wt %)”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