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Chair</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425"/>
        <w:gridCol w:w="6780"/>
        <w:tblGridChange w:id="0">
          <w:tblGrid>
            <w:gridCol w:w="1155"/>
            <w:gridCol w:w="1425"/>
            <w:gridCol w:w="67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hyperlink r:id="rId5">
              <w:r w:rsidDel="00000000" w:rsidR="00000000" w:rsidRPr="00000000">
                <w:rPr>
                  <w:b w:val="1"/>
                  <w:color w:val="1155cc"/>
                  <w:u w:val="single"/>
                  <w:rtl w:val="0"/>
                </w:rPr>
                <w:t xml:space="preserve">Source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Assumption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Chair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36 Kg CO2 per individual chair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1: Average per product utility consumption is representative of the utilities used in the manufacturing of individual products, i.e. the organisation’s total utilily footprint is divided by the total number of products produced, regardless of product type, to obtain an allocation of utilies per product.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2: The average emissions factor data used by the Furniture Footprinter</w:t>
            </w:r>
            <w:r w:rsidDel="00000000" w:rsidR="00000000" w:rsidRPr="00000000">
              <w:rPr>
                <w:color w:val="3d00ee"/>
                <w:sz w:val="12"/>
                <w:szCs w:val="12"/>
                <w:rtl w:val="0"/>
              </w:rPr>
              <w:t xml:space="preserve">TM </w:t>
            </w:r>
            <w:r w:rsidDel="00000000" w:rsidR="00000000" w:rsidRPr="00000000">
              <w:rPr>
                <w:color w:val="3d00ee"/>
                <w:sz w:val="20"/>
                <w:szCs w:val="20"/>
                <w:rtl w:val="0"/>
              </w:rPr>
              <w:t xml:space="preserve">tool are representative of the embedded carbon seen in materials used within the UK furniture industry. </w:t>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ab/>
              <w:tab/>
              <w:t xml:space="preserve"> </w:t>
              <w:tab/>
              <w:t xml:space="preserve"> </w:t>
              <w:tab/>
              <w:t xml:space="preserve"> </w:t>
              <w:tab/>
              <w:tab/>
            </w:r>
          </w:p>
          <w:p w:rsidR="00000000" w:rsidDel="00000000" w:rsidP="00000000" w:rsidRDefault="00000000" w:rsidRPr="00000000">
            <w:pPr>
              <w:widowControl w:val="0"/>
              <w:spacing w:line="240" w:lineRule="auto"/>
              <w:contextualSpacing w:val="0"/>
            </w:pPr>
            <w:r w:rsidDel="00000000" w:rsidR="00000000" w:rsidRPr="00000000">
              <w:rPr>
                <w:color w:val="3d00ee"/>
                <w:sz w:val="20"/>
                <w:szCs w:val="20"/>
                <w:rtl w:val="0"/>
              </w:rPr>
              <w:t xml:space="preserve">Assumption 3: Manufacture and ongoing maintenance of capital goods, such as plant machinery, transport equipment, electricity generating plant, office furniture for internal use.</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All office materials (stationery) and equipment (computers, printers).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The building and maintenance of premises.</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Staff commute to and from their place of work.</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tab/>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 xml:space="preserve">• Immaterial emissions (individual elements contributing less than 1% of a footprint provided that these elements, when combined, do not contribute 5% or more towards the total footprint). </w:t>
            </w:r>
          </w:p>
          <w:p w:rsidR="00000000" w:rsidDel="00000000" w:rsidP="00000000" w:rsidRDefault="00000000" w:rsidRPr="00000000">
            <w:pPr>
              <w:widowControl w:val="0"/>
              <w:numPr>
                <w:ilvl w:val="0"/>
                <w:numId w:val="1"/>
              </w:numPr>
              <w:spacing w:line="240" w:lineRule="auto"/>
              <w:ind w:left="720" w:hanging="360"/>
              <w:contextualSpacing w:val="1"/>
              <w:rPr>
                <w:color w:val="3d00ee"/>
                <w:sz w:val="20"/>
                <w:szCs w:val="20"/>
              </w:rPr>
            </w:pPr>
            <w:r w:rsidDel="00000000" w:rsidR="00000000" w:rsidRPr="00000000">
              <w:rPr>
                <w:color w:val="3d00ee"/>
                <w:sz w:val="20"/>
                <w:szCs w:val="20"/>
                <w:rtl w:val="0"/>
              </w:rPr>
              <w:tab/>
              <w:tab/>
              <w:tab/>
              <w:tab/>
              <w:tab/>
              <w:tab/>
              <w:tab/>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52950" cy="20764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552950" cy="207645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ira.co.uk/document/fira-carbon-footprinting-document-2011.pdf" TargetMode="External"/><Relationship Id="rId6" Type="http://schemas.openxmlformats.org/officeDocument/2006/relationships/image" Target="media/image01.png"/></Relationships>
</file>