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f2f2f"/>
          <w:sz w:val="18"/>
          <w:szCs w:val="18"/>
          <w:shd w:fill="fffffe" w:val="clear"/>
          <w:rtl w:val="0"/>
        </w:rPr>
        <w:t xml:space="preserve">LED pg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71700"/>
            <wp:effectExtent b="0" l="0" r="0" t="0"/>
            <wp:docPr descr="led.jpg" id="1" name="image01.jpg"/>
            <a:graphic>
              <a:graphicData uri="http://schemas.openxmlformats.org/drawingml/2006/picture">
                <pic:pic>
                  <pic:nvPicPr>
                    <pic:cNvPr descr="led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f2f2f"/>
          <w:sz w:val="18"/>
          <w:szCs w:val="18"/>
          <w:shd w:fill="fffffe" w:val="clear"/>
          <w:rtl w:val="0"/>
        </w:rPr>
        <w:t xml:space="preserve">Source: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f2f2f"/>
          <w:sz w:val="18"/>
          <w:szCs w:val="18"/>
          <w:shd w:fill="fffffe" w:val="clear"/>
          <w:rtl w:val="0"/>
        </w:rPr>
        <w:t xml:space="preserve">https://www.nema.org/Policy/Environmental-Stewardship/Documents/Carbon%20Footprint%20project%20%E2%80%93%20First%20Phase%20Report%20Sept%202012.pdf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