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Refrigerator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*Numbers have been quartered in database, as THIMBY’s Refrigerator will weigh 50lbs instead of ~200lbs.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60"/>
        <w:gridCol w:w="4320"/>
        <w:gridCol w:w="2340"/>
        <w:tblGridChange w:id="0">
          <w:tblGrid>
            <w:gridCol w:w="2340"/>
            <w:gridCol w:w="360"/>
            <w:gridCol w:w="432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Chinese Refrigerator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(Functional Unit 61 kg direct-cooling, double door)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1670*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A life-cycle assessment of household refrigerators in China Rufeng Xiao, You Zhang, Xin Liu, Zengwei Yuan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Magnetic Refrigerator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808*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Magnetic vs. vapor-compression household refrigerators: A preliminary comparative life cycle assessmentBehzad Monfared a,*, Richard Furberg b, Bjo ̈rn Palm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Conventional Refrigerator (Vapor-Compression)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718*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Magnetic vs. vapor-compression household refrigerators: A preliminary comparative life cycle assessmentBehzad Monfared a,*, Richard Furberg b, Bjo ̈rn Palm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researchgate.net/publication/275218837_A_life-cycle_assessment_of_household_refrigerators_in_China" TargetMode="External"/><Relationship Id="rId6" Type="http://schemas.openxmlformats.org/officeDocument/2006/relationships/hyperlink" Target="http://www.sciencedirect.com/science/article/pii/S0140700714000371" TargetMode="External"/><Relationship Id="rId7" Type="http://schemas.openxmlformats.org/officeDocument/2006/relationships/hyperlink" Target="http://www.sciencedirect.com/science/article/pii/S0140700714000371" TargetMode="External"/></Relationships>
</file>