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TVs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5025"/>
        <w:gridCol w:w="960"/>
        <w:gridCol w:w="1035"/>
        <w:tblGridChange w:id="0">
          <w:tblGrid>
            <w:gridCol w:w="2340"/>
            <w:gridCol w:w="5025"/>
            <w:gridCol w:w="960"/>
            <w:gridCol w:w="10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Assumptions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Value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Source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Color TV Set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23333"/>
                <w:rtl w:val="0"/>
              </w:rPr>
              <w:t xml:space="preserve">Chinese Color TV Sets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color w:val="32333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23333"/>
                <w:rtl w:val="0"/>
              </w:rPr>
              <w:t xml:space="preserve">TV specifications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ind w:left="1440" w:hanging="360"/>
              <w:contextualSpacing w:val="1"/>
              <w:rPr>
                <w:rFonts w:ascii="Times New Roman" w:cs="Times New Roman" w:eastAsia="Times New Roman" w:hAnsi="Times New Roman"/>
                <w:color w:val="32333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23333"/>
                <w:rtl w:val="0"/>
              </w:rPr>
              <w:t xml:space="preserve">25” diagonally</w:t>
            </w:r>
          </w:p>
          <w:p w:rsidR="00000000" w:rsidDel="00000000" w:rsidP="00000000" w:rsidRDefault="00000000" w:rsidRPr="00000000">
            <w:pPr>
              <w:numPr>
                <w:ilvl w:val="1"/>
                <w:numId w:val="1"/>
              </w:numPr>
              <w:ind w:left="1440" w:hanging="360"/>
              <w:contextualSpacing w:val="1"/>
              <w:rPr>
                <w:rFonts w:ascii="Times New Roman" w:cs="Times New Roman" w:eastAsia="Times New Roman" w:hAnsi="Times New Roman"/>
                <w:color w:val="32333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23333"/>
                <w:rtl w:val="0"/>
              </w:rPr>
              <w:t xml:space="preserve">30kg mass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color w:val="32333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23333"/>
                <w:rtl w:val="0"/>
              </w:rPr>
              <w:t xml:space="preserve">Processes 1-4 (Cradle to gate)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color w:val="323333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23333"/>
                <w:rtl w:val="0"/>
              </w:rPr>
              <w:t xml:space="preserve">3,261,529.937 kg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23333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23333"/>
                <w:rtl w:val="0"/>
              </w:rPr>
              <w:t xml:space="preserve">-eq total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color w:val="32333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23333"/>
                <w:rtl w:val="0"/>
              </w:rPr>
              <w:t xml:space="preserve">kg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23333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23333"/>
                <w:rtl w:val="0"/>
              </w:rPr>
              <w:t xml:space="preserve">-eq of a single set is derived from a division by 10,000 of the LCA’s original functional unit (10,000 color TV sets)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color w:val="32333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23333"/>
                <w:rtl w:val="0"/>
              </w:rPr>
              <w:t xml:space="preserve">Lifetime: 10 years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Times New Roman" w:cs="Times New Roman" w:eastAsia="Times New Roman" w:hAnsi="Times New Roman"/>
                <w:color w:val="32333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23333"/>
                <w:rtl w:val="0"/>
              </w:rPr>
              <w:t xml:space="preserve">“Glass is the main component (51 wt %), followed by steel (12 wt %), copper (8 wt %), aluminium (2 wt %), polyethylene (PE) (1.0 wt %), polyvinyl chloride (PVC) (3.5 wt %), polystyrene (PS) (6.0 wt %), circuit board (3 wt %) and others (3 wt %)”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326.15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hyperlink r:id="rId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rive.google.com/file/d/0B--O_p54KxzvajJONkJmTTFkZWs/view?usp=sharing" TargetMode="External"/></Relationships>
</file>