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25"/>
        <w:gridCol w:w="6780"/>
        <w:tblGridChange w:id="0">
          <w:tblGrid>
            <w:gridCol w:w="1155"/>
            <w:gridCol w:w="1425"/>
            <w:gridCol w:w="6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
              <w:r w:rsidDel="00000000" w:rsidR="00000000" w:rsidRPr="00000000">
                <w:rPr>
                  <w:b w:val="1"/>
                  <w:color w:val="1155cc"/>
                  <w:u w:val="single"/>
                  <w:rtl w:val="0"/>
                </w:rPr>
                <w:t xml:space="preserve">Source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228 Kg CO2 per individual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1: Average per product utility consumption is representative of the utilities used in the manufacturing of individual products, i.e. the organisation’s total utilily footprint is divided by the total number of products produced, regardless of product type, to obtain an allocation of utilies per product.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2: The average emissions factor data used by the Furniture Footprinter</w:t>
            </w:r>
            <w:r w:rsidDel="00000000" w:rsidR="00000000" w:rsidRPr="00000000">
              <w:rPr>
                <w:color w:val="3d00ee"/>
                <w:sz w:val="12"/>
                <w:szCs w:val="12"/>
                <w:rtl w:val="0"/>
              </w:rPr>
              <w:t xml:space="preserve">TM </w:t>
            </w:r>
            <w:r w:rsidDel="00000000" w:rsidR="00000000" w:rsidRPr="00000000">
              <w:rPr>
                <w:color w:val="3d00ee"/>
                <w:sz w:val="20"/>
                <w:szCs w:val="20"/>
                <w:rtl w:val="0"/>
              </w:rPr>
              <w:t xml:space="preserve">tool are representative of the embedded carbon seen in materials used within the UK furniture industry.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ab/>
              <w:tab/>
              <w:t xml:space="preserve"> </w:t>
              <w:tab/>
              <w:t xml:space="preserve"> </w:t>
              <w:tab/>
              <w:t xml:space="preserve"> </w:t>
              <w:tab/>
              <w:tab/>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3: Manufacture and ongoing maintenance of capital goods, such as plant machinery, transport equipment, electricity generating plant, office furniture for internal use.</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All office materials (stationery) and equipment (computers, printers).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The building and maintenance of premises.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Staff commute to and from their place of work.</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Immaterial emissions (individual elements contributing less than 1% of a footprint provided that these elements, when combined, do not contribute 5% or more towards the total footprint). </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15025" cy="3429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15025" cy="3429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ira.co.uk/document/fira-carbon-footprinting-document-2011.pdf" TargetMode="External"/><Relationship Id="rId6" Type="http://schemas.openxmlformats.org/officeDocument/2006/relationships/image" Target="media/image01.png"/></Relationships>
</file>