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Memo: Sunshine Group vs Vingroup - credit comparison for a KRW land-secured bond</w:t>
      </w:r>
    </w:p>
    <w:p>
      <w:r>
        <w:rPr>
          <w:i/>
        </w:rPr>
        <w:t>Draft for discussion. Based on FY2025 audited consolidated statements (Vingroup: EY; Sunshine Group: Deloitte). VND bn. Preliminary - see 'Limits' at the end.</w:t>
      </w:r>
    </w:p>
    <w:p>
      <w:pPr>
        <w:pStyle w:val="Heading2"/>
      </w:pPr>
      <w:r>
        <w:t>1. Bottom line</w:t>
      </w:r>
    </w:p>
    <w:p>
      <w:pPr>
        <w:pStyle w:val="ListBullet"/>
      </w:pPr>
      <w:r>
        <w:t>Sunshine Group is about 11% of Vingroup by assets and 6% by revenue. It will not be priced as Vingroup's equal on size, diversification or track record.</w:t>
      </w:r>
    </w:p>
    <w:p>
      <w:pPr>
        <w:pStyle w:val="ListBullet"/>
      </w:pPr>
      <w:r>
        <w:t>On headline FY2025 ratios Sunshine looks stronger than Vingroup: lower leverage (borrowings/equity 1.2x vs 2.2x), lower net debt/EBITDA (1.6x vs 3.0x), much higher interest cover (18x vs 3x) and a higher current ratio (1.5x vs 1.1x).</w:t>
      </w:r>
    </w:p>
    <w:p>
      <w:pPr>
        <w:pStyle w:val="ListBullet"/>
      </w:pPr>
      <w:r>
        <w:t>These ratios come from a single, very unusual year. Sunshine's assets grew 6x (VND 20.6tn to 120.1tn) and revenue 8x in twelve months, 95% of revenue is real-estate handovers, and 48% of assets are short-term receivables. Korean investors will focus on earnings quality, receivables and the one-year track record, not the ratios.</w:t>
      </w:r>
    </w:p>
    <w:p>
      <w:pPr>
        <w:pStyle w:val="ListBullet"/>
      </w:pPr>
      <w:r>
        <w:t>Land collateral can help recovery and pricing, but it does not fix those issues. The Ciputra (Nam Thang Long) land must be shown to be unencumbered: the debt notes show project assets there already pledged to a bank.</w:t>
      </w:r>
    </w:p>
    <w:p>
      <w:pPr>
        <w:pStyle w:val="Heading2"/>
      </w:pPr>
      <w:r>
        <w:t>2. Key numbers (FY2025)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Vingroup</w:t>
            </w:r>
          </w:p>
        </w:tc>
        <w:tc>
          <w:tcPr>
            <w:tcW w:type="dxa" w:w="3324"/>
          </w:tcPr>
          <w:p>
            <w:r>
              <w:t>Sunshine</w:t>
            </w:r>
          </w:p>
        </w:tc>
      </w:tr>
      <w:tr>
        <w:tc>
          <w:tcPr>
            <w:tcW w:type="dxa" w:w="3324"/>
          </w:tcPr>
          <w:p>
            <w:r>
              <w:t>Total assets (VND bn)</w:t>
            </w:r>
          </w:p>
        </w:tc>
        <w:tc>
          <w:tcPr>
            <w:tcW w:type="dxa" w:w="3324"/>
          </w:tcPr>
          <w:p>
            <w:r>
              <w:t>1,118,623</w:t>
            </w:r>
          </w:p>
        </w:tc>
        <w:tc>
          <w:tcPr>
            <w:tcW w:type="dxa" w:w="3324"/>
          </w:tcPr>
          <w:p>
            <w:r>
              <w:t>120,144</w:t>
            </w:r>
          </w:p>
        </w:tc>
      </w:tr>
      <w:tr>
        <w:tc>
          <w:tcPr>
            <w:tcW w:type="dxa" w:w="3324"/>
          </w:tcPr>
          <w:p>
            <w:r>
              <w:t>Net revenue (VND bn)</w:t>
            </w:r>
          </w:p>
        </w:tc>
        <w:tc>
          <w:tcPr>
            <w:tcW w:type="dxa" w:w="3324"/>
          </w:tcPr>
          <w:p>
            <w:r>
              <w:t>331,838</w:t>
            </w:r>
          </w:p>
        </w:tc>
        <w:tc>
          <w:tcPr>
            <w:tcW w:type="dxa" w:w="3324"/>
          </w:tcPr>
          <w:p>
            <w:r>
              <w:t>20,198</w:t>
            </w:r>
          </w:p>
        </w:tc>
      </w:tr>
      <w:tr>
        <w:tc>
          <w:tcPr>
            <w:tcW w:type="dxa" w:w="3324"/>
          </w:tcPr>
          <w:p>
            <w:r>
              <w:t>Profit after tax (VND bn)</w:t>
            </w:r>
          </w:p>
        </w:tc>
        <w:tc>
          <w:tcPr>
            <w:tcW w:type="dxa" w:w="3324"/>
          </w:tcPr>
          <w:p>
            <w:r>
              <w:t>11,065</w:t>
            </w:r>
          </w:p>
        </w:tc>
        <w:tc>
          <w:tcPr>
            <w:tcW w:type="dxa" w:w="3324"/>
          </w:tcPr>
          <w:p>
            <w:r>
              <w:t>8,906</w:t>
            </w:r>
          </w:p>
        </w:tc>
      </w:tr>
      <w:tr>
        <w:tc>
          <w:tcPr>
            <w:tcW w:type="dxa" w:w="3324"/>
          </w:tcPr>
          <w:p>
            <w:r>
              <w:t>Net margin</w:t>
            </w:r>
          </w:p>
        </w:tc>
        <w:tc>
          <w:tcPr>
            <w:tcW w:type="dxa" w:w="3324"/>
          </w:tcPr>
          <w:p>
            <w:r>
              <w:t>3.3%</w:t>
            </w:r>
          </w:p>
        </w:tc>
        <w:tc>
          <w:tcPr>
            <w:tcW w:type="dxa" w:w="3324"/>
          </w:tcPr>
          <w:p>
            <w:r>
              <w:t>44.1%</w:t>
            </w:r>
          </w:p>
        </w:tc>
      </w:tr>
      <w:tr>
        <w:tc>
          <w:tcPr>
            <w:tcW w:type="dxa" w:w="3324"/>
          </w:tcPr>
          <w:p>
            <w:r>
              <w:t>Borrowings (VND bn)</w:t>
            </w:r>
          </w:p>
        </w:tc>
        <w:tc>
          <w:tcPr>
            <w:tcW w:type="dxa" w:w="3324"/>
          </w:tcPr>
          <w:p>
            <w:r>
              <w:t>338,501</w:t>
            </w:r>
          </w:p>
        </w:tc>
        <w:tc>
          <w:tcPr>
            <w:tcW w:type="dxa" w:w="3324"/>
          </w:tcPr>
          <w:p>
            <w:r>
              <w:t>23,623</w:t>
            </w:r>
          </w:p>
        </w:tc>
      </w:tr>
      <w:tr>
        <w:tc>
          <w:tcPr>
            <w:tcW w:type="dxa" w:w="3324"/>
          </w:tcPr>
          <w:p>
            <w:r>
              <w:t>Equity (VND bn)</w:t>
            </w:r>
          </w:p>
        </w:tc>
        <w:tc>
          <w:tcPr>
            <w:tcW w:type="dxa" w:w="3324"/>
          </w:tcPr>
          <w:p>
            <w:r>
              <w:t>151,489</w:t>
            </w:r>
          </w:p>
        </w:tc>
        <w:tc>
          <w:tcPr>
            <w:tcW w:type="dxa" w:w="3324"/>
          </w:tcPr>
          <w:p>
            <w:r>
              <w:t>19,863</w:t>
            </w:r>
          </w:p>
        </w:tc>
      </w:tr>
      <w:tr>
        <w:tc>
          <w:tcPr>
            <w:tcW w:type="dxa" w:w="3324"/>
          </w:tcPr>
          <w:p>
            <w:r>
              <w:t>Total liabilities / equity</w:t>
            </w:r>
          </w:p>
        </w:tc>
        <w:tc>
          <w:tcPr>
            <w:tcW w:type="dxa" w:w="3324"/>
          </w:tcPr>
          <w:p>
            <w:r>
              <w:t>6.4x</w:t>
            </w:r>
          </w:p>
        </w:tc>
        <w:tc>
          <w:tcPr>
            <w:tcW w:type="dxa" w:w="3324"/>
          </w:tcPr>
          <w:p>
            <w:r>
              <w:t>5.0x</w:t>
            </w:r>
          </w:p>
        </w:tc>
      </w:tr>
      <w:tr>
        <w:tc>
          <w:tcPr>
            <w:tcW w:type="dxa" w:w="3324"/>
          </w:tcPr>
          <w:p>
            <w:r>
              <w:t>Borrowings / equity</w:t>
            </w:r>
          </w:p>
        </w:tc>
        <w:tc>
          <w:tcPr>
            <w:tcW w:type="dxa" w:w="3324"/>
          </w:tcPr>
          <w:p>
            <w:r>
              <w:t>2.2x</w:t>
            </w:r>
          </w:p>
        </w:tc>
        <w:tc>
          <w:tcPr>
            <w:tcW w:type="dxa" w:w="3324"/>
          </w:tcPr>
          <w:p>
            <w:r>
              <w:t>1.2x</w:t>
            </w:r>
          </w:p>
        </w:tc>
      </w:tr>
      <w:tr>
        <w:tc>
          <w:tcPr>
            <w:tcW w:type="dxa" w:w="3324"/>
          </w:tcPr>
          <w:p>
            <w:r>
              <w:t>Net debt / EBITDA</w:t>
            </w:r>
          </w:p>
        </w:tc>
        <w:tc>
          <w:tcPr>
            <w:tcW w:type="dxa" w:w="3324"/>
          </w:tcPr>
          <w:p>
            <w:r>
              <w:t>3.0x</w:t>
            </w:r>
          </w:p>
        </w:tc>
        <w:tc>
          <w:tcPr>
            <w:tcW w:type="dxa" w:w="3324"/>
          </w:tcPr>
          <w:p>
            <w:r>
              <w:t>1.6x</w:t>
            </w:r>
          </w:p>
        </w:tc>
      </w:tr>
      <w:tr>
        <w:tc>
          <w:tcPr>
            <w:tcW w:type="dxa" w:w="3324"/>
          </w:tcPr>
          <w:p>
            <w:r>
              <w:t>EBITDA / interest</w:t>
            </w:r>
          </w:p>
        </w:tc>
        <w:tc>
          <w:tcPr>
            <w:tcW w:type="dxa" w:w="3324"/>
          </w:tcPr>
          <w:p>
            <w:r>
              <w:t>3.0x</w:t>
            </w:r>
          </w:p>
        </w:tc>
        <w:tc>
          <w:tcPr>
            <w:tcW w:type="dxa" w:w="3324"/>
          </w:tcPr>
          <w:p>
            <w:r>
              <w:t>18.1x</w:t>
            </w:r>
          </w:p>
        </w:tc>
      </w:tr>
      <w:tr>
        <w:tc>
          <w:tcPr>
            <w:tcW w:type="dxa" w:w="3324"/>
          </w:tcPr>
          <w:p>
            <w:r>
              <w:t>Current ratio</w:t>
            </w:r>
          </w:p>
        </w:tc>
        <w:tc>
          <w:tcPr>
            <w:tcW w:type="dxa" w:w="3324"/>
          </w:tcPr>
          <w:p>
            <w:r>
              <w:t>1.12x</w:t>
            </w:r>
          </w:p>
        </w:tc>
        <w:tc>
          <w:tcPr>
            <w:tcW w:type="dxa" w:w="3324"/>
          </w:tcPr>
          <w:p>
            <w:r>
              <w:t>1.54x</w:t>
            </w:r>
          </w:p>
        </w:tc>
      </w:tr>
      <w:tr>
        <w:tc>
          <w:tcPr>
            <w:tcW w:type="dxa" w:w="3324"/>
          </w:tcPr>
          <w:p>
            <w:r>
              <w:t>Asset growth FY25 vs FY24</w:t>
            </w:r>
          </w:p>
        </w:tc>
        <w:tc>
          <w:tcPr>
            <w:tcW w:type="dxa" w:w="3324"/>
          </w:tcPr>
          <w:p>
            <w:r>
              <w:t>+34%</w:t>
            </w:r>
          </w:p>
        </w:tc>
        <w:tc>
          <w:tcPr>
            <w:tcW w:type="dxa" w:w="3324"/>
          </w:tcPr>
          <w:p>
            <w:r>
              <w:t>+484%</w:t>
            </w:r>
          </w:p>
        </w:tc>
      </w:tr>
    </w:tbl>
    <w:p>
      <w:r>
        <w:rPr>
          <w:i/>
        </w:rPr>
        <w:t>EBITDA = profit before tax + interest expense + D&amp;A (analyst definition). Net debt = borrowings - cash &amp; equivalents. Full workings in the Excel model.</w:t>
      </w:r>
    </w:p>
    <w:p>
      <w:pPr>
        <w:pStyle w:val="Heading2"/>
      </w:pPr>
      <w:r>
        <w:t>3. What drives the differences</w:t>
      </w:r>
    </w:p>
    <w:p>
      <w:pPr>
        <w:pStyle w:val="ListBullet"/>
      </w:pPr>
      <w:r>
        <w:t>Profitability: Sunshine's 44% net margin and ~45-77% ROE reflect land/plot transfer revenue on a small equity base; Vingroup's 3.3% margin reflects VinFast manufacturing and large-scale development. Not like-for-like.</w:t>
      </w:r>
    </w:p>
    <w:p>
      <w:pPr>
        <w:pStyle w:val="ListBullet"/>
      </w:pPr>
      <w:r>
        <w:t>Leverage: both groups have liabilities of 83-87% of assets because customer deposits and cooperation-contract payables are large. Financial debt is the cleaner measure: Sunshine VND 23.6tn vs Vingroup VND 338.5tn.</w:t>
      </w:r>
    </w:p>
    <w:p>
      <w:pPr>
        <w:pStyle w:val="ListBullet"/>
      </w:pPr>
      <w:r>
        <w:t>Debt mix: Vingroup is 31% bank loans, 32% domestic bonds, 30% syndicated loans, 5% exchangeable bonds, ~80% VND-denominated or hedged, and issues in several markets. Sunshine's debt is mainly secured bank project loans (e.g. an HDBank facility secured on the Nam Thang Long project).</w:t>
      </w:r>
    </w:p>
    <w:p>
      <w:pPr>
        <w:pStyle w:val="ListBullet"/>
      </w:pPr>
      <w:r>
        <w:t>Cash: Vingroup holds VND 73.5tn (12.5% of current liabilities); Sunshine VND 4.8tn (9.1%). Liquidity cushion is thin for both.</w:t>
      </w:r>
    </w:p>
    <w:p>
      <w:pPr>
        <w:pStyle w:val="Heading2"/>
      </w:pPr>
      <w:r>
        <w:t>4. Risks a Korean investor will raise</w:t>
      </w:r>
    </w:p>
    <w:p>
      <w:pPr>
        <w:pStyle w:val="ListBullet"/>
      </w:pPr>
      <w:r>
        <w:t>Auditor emphasis of matter (Notes 10-11): Sunshine extended terms of several loan and investment-cooperation agreements - i.e. receivables are being rolled over.</w:t>
      </w:r>
    </w:p>
    <w:p>
      <w:pPr>
        <w:pStyle w:val="ListBullet"/>
      </w:pPr>
      <w:r>
        <w:t>Receivables of VND 57.7tn (loans 19.9tn, other 23.2tn, supplier advances 13.3tn): counterparty and related-party exposure.</w:t>
      </w:r>
    </w:p>
    <w:p>
      <w:pPr>
        <w:pStyle w:val="ListBullet"/>
      </w:pPr>
      <w:r>
        <w:t>Operating cash flow of +23.3tn is inflated by customer deposits (18.6tn) and partly offset by deposits paid for share transfers (17.4tn): it is not a clean measure of debt service capacity.</w:t>
      </w:r>
    </w:p>
    <w:p>
      <w:pPr>
        <w:pStyle w:val="ListBullet"/>
      </w:pPr>
      <w:r>
        <w:t>Debt grew from 0.9tn to 23.6tn largely via consolidation (cash flow shows repayments above new borrowing); interest cost of 664bn may understate a full-year run-rate or exclude capitalised interest.</w:t>
      </w:r>
    </w:p>
    <w:p>
      <w:pPr>
        <w:pStyle w:val="ListBullet"/>
      </w:pPr>
      <w:r>
        <w:t>Collateral: priority of lien, legal enforceability of Vietnamese land security for foreign bondholders, FX (KRW vs VND), approvals and withholding tax.</w:t>
      </w:r>
    </w:p>
    <w:p>
      <w:pPr>
        <w:pStyle w:val="ListBullet"/>
      </w:pPr>
      <w:r>
        <w:t>Premise check: Vingroup's board approved using assets as security for some corporate bonds in 2025, so 'Vingroup is unsecured' needs confirming against the Korean deal terms.</w:t>
      </w:r>
    </w:p>
    <w:p>
      <w:pPr>
        <w:pStyle w:val="Heading2"/>
      </w:pPr>
      <w:r>
        <w:t>5. Recommended approach (preliminary)</w:t>
      </w:r>
    </w:p>
    <w:p>
      <w:pPr>
        <w:pStyle w:val="ListBullet"/>
      </w:pPr>
      <w:r>
        <w:t>Structure as a secured bond with a security agent, a first-ranking pledge over clearly identified Ciputra plots, and an independent valuation.</w:t>
      </w:r>
    </w:p>
    <w:p>
      <w:pPr>
        <w:pStyle w:val="ListBullet"/>
      </w:pPr>
      <w:r>
        <w:t>Size and test the deal with the Excel LTV calculator: with illustrative inputs (KRW 300bn ~ VND 5.4tn, 30% haircut, 60% target LTV) the land would need an appraised value of about VND 12.9tn. Replace with the real valuation.</w:t>
      </w:r>
    </w:p>
    <w:p>
      <w:pPr>
        <w:pStyle w:val="ListBullet"/>
      </w:pPr>
      <w:r>
        <w:t>Offer covenants addressing the weak points: net debt/EBITDA cap, receivables collection reporting, limits on related-party lending, restrictions on further pledging the collateral, consolidated reporting each half-year.</w:t>
      </w:r>
    </w:p>
    <w:p>
      <w:pPr>
        <w:pStyle w:val="ListBullet"/>
      </w:pPr>
      <w:r>
        <w:t>Consider a smaller first tranche and 2-3 year tenor to build a track record; consider subsidiary guarantees.</w:t>
      </w:r>
    </w:p>
    <w:p>
      <w:pPr>
        <w:pStyle w:val="Heading2"/>
      </w:pPr>
      <w:r>
        <w:t>6. Next steps</w:t>
      </w:r>
    </w:p>
    <w:p>
      <w:pPr>
        <w:pStyle w:val="ListNumber"/>
      </w:pPr>
      <w:r>
        <w:t>Obtain land-use certificates, mortgage registry extract and bank consent/release plan for the Ciputra land; commission valuation.</w:t>
      </w:r>
    </w:p>
    <w:p>
      <w:pPr>
        <w:pStyle w:val="ListNumber"/>
      </w:pPr>
      <w:r>
        <w:t>Read Notes 10, 11, 13, 19, 27, 28 and the acquisition notes of Sunshine's statements in full; reconcile the 2025 consolidation.</w:t>
      </w:r>
    </w:p>
    <w:p>
      <w:pPr>
        <w:pStyle w:val="ListNumber"/>
      </w:pPr>
      <w:r>
        <w:t>Get the KED article / Arirang prospectus for Vingroup's coupon, tenor, ratings, security and arranger terms, and benchmark pricing.</w:t>
      </w:r>
    </w:p>
    <w:p>
      <w:pPr>
        <w:pStyle w:val="ListNumber"/>
      </w:pPr>
      <w:r>
        <w:t>Add peers (other Vietnamese issuers in Korea) and rating-agency views.</w:t>
      </w:r>
    </w:p>
    <w:p>
      <w:pPr>
        <w:pStyle w:val="Heading2"/>
      </w:pPr>
      <w:r>
        <w:t>Limits</w:t>
      </w:r>
    </w:p>
    <w:p>
      <w:r>
        <w:t>Sunshine's statements were read visually from low-resolution scanned pages; Vingroup figures come from the annual report MD&amp;A and notes. Spot-check key lines against the originals. The KED article was not accessible; no market pricing is included. Collateral inputs are placeholders. This is analysis support, not a rating or investment advice.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