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Times New Roman" w:cs="Times New Roman" w:eastAsia="Times New Roman" w:hAnsi="Times New Roman"/>
          <w:sz w:val="24"/>
          <w:szCs w:val="24"/>
        </w:rPr>
        <w:t xml:space="preserve">A Project on</w:t>
      </w:r>
    </w:p>
    <w:p>
      <w:pPr>
        <w:spacing w:after="240"/>
        <w:jc w:val="center"/>
      </w:pPr>
      <w:r>
        <w:rPr>
          <w:rFonts w:ascii="Times New Roman" w:cs="Times New Roman" w:eastAsia="Times New Roman" w:hAnsi="Times New Roman"/>
          <w:b/>
          <w:bCs/>
          <w:color w:val="FF0000"/>
          <w:sz w:val="28"/>
          <w:szCs w:val="28"/>
        </w:rPr>
        <w:t xml:space="preserve">SELF-SUPERVISED CONTRASTIVE LEARNING FOR DOPPLER REGIME CLASSIFICATION IN OTFS SYSTEMS</w:t>
      </w:r>
    </w:p>
    <w:p>
      <w:pPr>
        <w:spacing w:after="200"/>
        <w:jc w:val="center"/>
      </w:pPr>
      <w:r>
        <w:rPr>
          <w:rFonts w:ascii="Times New Roman" w:cs="Times New Roman" w:eastAsia="Times New Roman" w:hAnsi="Times New Roman"/>
          <w:sz w:val="24"/>
          <w:szCs w:val="24"/>
        </w:rPr>
        <w:t xml:space="preserve">Submitted in partial fulfillment of the requirements for the course</w:t>
      </w:r>
    </w:p>
    <w:p>
      <w:pPr>
        <w:spacing w:after="0"/>
        <w:jc w:val="center"/>
      </w:pPr>
      <w:r>
        <w:rPr>
          <w:rFonts w:ascii="Times New Roman" w:cs="Times New Roman" w:eastAsia="Times New Roman" w:hAnsi="Times New Roman"/>
          <w:b/>
          <w:bCs/>
          <w:color w:val="0070C0"/>
          <w:sz w:val="30"/>
          <w:szCs w:val="30"/>
        </w:rPr>
        <w:t xml:space="preserve">MACHINE LEARNING</w:t>
      </w:r>
    </w:p>
    <w:p>
      <w:pPr>
        <w:spacing w:after="160"/>
        <w:jc w:val="center"/>
      </w:pPr>
      <w:r>
        <w:rPr>
          <w:rFonts w:ascii="Times New Roman" w:cs="Times New Roman" w:eastAsia="Times New Roman" w:hAnsi="Times New Roman"/>
          <w:b/>
          <w:bCs/>
          <w:color w:val="0070C0"/>
          <w:sz w:val="30"/>
          <w:szCs w:val="30"/>
        </w:rPr>
        <w:t xml:space="preserve">25SC2107E</w:t>
      </w:r>
    </w:p>
    <w:p>
      <w:pPr>
        <w:spacing w:after="160"/>
        <w:jc w:val="center"/>
      </w:pPr>
      <w:r>
        <w:rPr>
          <w:rFonts w:ascii="Times New Roman" w:cs="Times New Roman" w:eastAsia="Times New Roman" w:hAnsi="Times New Roman"/>
          <w:sz w:val="24"/>
          <w:szCs w:val="24"/>
        </w:rPr>
        <w:t xml:space="preserve">in</w:t>
      </w:r>
    </w:p>
    <w:p>
      <w:pPr>
        <w:spacing w:after="160"/>
        <w:jc w:val="center"/>
      </w:pPr>
      <w:r>
        <w:rPr>
          <w:rFonts w:ascii="Times New Roman" w:cs="Times New Roman" w:eastAsia="Times New Roman" w:hAnsi="Times New Roman"/>
          <w:sz w:val="24"/>
          <w:szCs w:val="24"/>
        </w:rPr>
        <w:t xml:space="preserve">A.Y.: 2026-27</w:t>
      </w:r>
    </w:p>
    <w:p>
      <w:pPr>
        <w:spacing w:after="200"/>
        <w:jc w:val="center"/>
      </w:pPr>
      <w:r>
        <w:rPr>
          <w:rFonts w:ascii="Times New Roman" w:cs="Times New Roman" w:eastAsia="Times New Roman" w:hAnsi="Times New Roman"/>
          <w:sz w:val="24"/>
          <w:szCs w:val="24"/>
        </w:rPr>
        <w:t xml:space="preserve">by</w:t>
      </w:r>
    </w:p>
    <w:p>
      <w:pPr>
        <w:tabs>
          <w:tab w:val="left" w:pos="5600"/>
        </w:tabs>
        <w:spacing w:after="160"/>
        <w:ind w:left="700"/>
      </w:pPr>
      <w:r>
        <w:rPr>
          <w:rFonts w:ascii="Times New Roman" w:cs="Times New Roman" w:eastAsia="Times New Roman" w:hAnsi="Times New Roman"/>
          <w:b/>
          <w:bCs/>
          <w:color w:val="984806"/>
          <w:sz w:val="22"/>
          <w:szCs w:val="22"/>
          <w:u w:val="single"/>
        </w:rPr>
        <w:t xml:space="preserve">Name :</w:t>
      </w:r>
      <w:r>
        <w:rPr>
          <w:rFonts w:ascii="Times New Roman" w:cs="Times New Roman" w:eastAsia="Times New Roman" w:hAnsi="Times New Roman"/>
          <w:b/>
          <w:bCs/>
          <w:color w:val="984806"/>
          <w:sz w:val="22"/>
          <w:szCs w:val="22"/>
        </w:rPr>
        <w:t xml:space="preserve"> LOKESH VOBILISHETTY</w:t>
      </w:r>
      <w:r>
        <w:rPr>
          <w:rFonts w:ascii="Times New Roman" w:cs="Times New Roman" w:eastAsia="Times New Roman" w:hAnsi="Times New Roman"/>
          <w:b/>
          <w:bCs/>
          <w:color w:val="984806"/>
          <w:sz w:val="22"/>
          <w:szCs w:val="22"/>
        </w:rPr>
        <w:t xml:space="preserve">	roll no: 2520040040</w:t>
      </w:r>
    </w:p>
    <w:p>
      <w:pPr>
        <w:tabs>
          <w:tab w:val="left" w:pos="5600"/>
        </w:tabs>
        <w:spacing w:after="160"/>
        <w:ind w:left="700"/>
      </w:pPr>
      <w:r>
        <w:rPr>
          <w:rFonts w:ascii="Times New Roman" w:cs="Times New Roman" w:eastAsia="Times New Roman" w:hAnsi="Times New Roman"/>
          <w:b/>
          <w:bCs/>
          <w:color w:val="984806"/>
          <w:sz w:val="22"/>
          <w:szCs w:val="22"/>
          <w:u w:val="single"/>
        </w:rPr>
        <w:t xml:space="preserve">Name :</w:t>
      </w:r>
      <w:r>
        <w:rPr>
          <w:rFonts w:ascii="Times New Roman" w:cs="Times New Roman" w:eastAsia="Times New Roman" w:hAnsi="Times New Roman"/>
          <w:b/>
          <w:bCs/>
          <w:color w:val="984806"/>
          <w:sz w:val="22"/>
          <w:szCs w:val="22"/>
        </w:rPr>
        <w:t xml:space="preserve"> KNSV MADHUSUDHAN</w:t>
      </w:r>
      <w:r>
        <w:rPr>
          <w:rFonts w:ascii="Times New Roman" w:cs="Times New Roman" w:eastAsia="Times New Roman" w:hAnsi="Times New Roman"/>
          <w:b/>
          <w:bCs/>
          <w:color w:val="984806"/>
          <w:sz w:val="22"/>
          <w:szCs w:val="22"/>
        </w:rPr>
        <w:t xml:space="preserve">	roll no: 2520040089</w:t>
      </w:r>
    </w:p>
    <w:p>
      <w:pPr>
        <w:tabs>
          <w:tab w:val="left" w:pos="5600"/>
        </w:tabs>
        <w:spacing w:after="160"/>
        <w:ind w:left="700"/>
      </w:pPr>
      <w:r>
        <w:rPr>
          <w:rFonts w:ascii="Times New Roman" w:cs="Times New Roman" w:eastAsia="Times New Roman" w:hAnsi="Times New Roman"/>
          <w:b/>
          <w:bCs/>
          <w:color w:val="984806"/>
          <w:sz w:val="22"/>
          <w:szCs w:val="22"/>
          <w:u w:val="single"/>
        </w:rPr>
        <w:t xml:space="preserve">Name :</w:t>
      </w:r>
      <w:r>
        <w:rPr>
          <w:rFonts w:ascii="Times New Roman" w:cs="Times New Roman" w:eastAsia="Times New Roman" w:hAnsi="Times New Roman"/>
          <w:b/>
          <w:bCs/>
          <w:color w:val="984806"/>
          <w:sz w:val="22"/>
          <w:szCs w:val="22"/>
        </w:rPr>
        <w:t xml:space="preserve"> VARANASI SREEKAR</w:t>
      </w:r>
      <w:r>
        <w:rPr>
          <w:rFonts w:ascii="Times New Roman" w:cs="Times New Roman" w:eastAsia="Times New Roman" w:hAnsi="Times New Roman"/>
          <w:b/>
          <w:bCs/>
          <w:color w:val="984806"/>
          <w:sz w:val="22"/>
          <w:szCs w:val="22"/>
        </w:rPr>
        <w:t xml:space="preserve">	roll no: 2520040019</w:t>
      </w:r>
    </w:p>
    <w:p>
      <w:pPr>
        <w:spacing w:after="0"/>
      </w:pPr>
    </w:p>
    <w:p>
      <w:pPr>
        <w:spacing w:after="100"/>
        <w:jc w:val="center"/>
      </w:pPr>
      <w:r>
        <w:rPr>
          <w:rFonts w:ascii="Times New Roman" w:cs="Times New Roman" w:eastAsia="Times New Roman" w:hAnsi="Times New Roman"/>
          <w:sz w:val="22"/>
          <w:szCs w:val="22"/>
        </w:rPr>
        <w:t xml:space="preserve">Under the Esteemed guidance of</w:t>
      </w:r>
    </w:p>
    <w:p>
      <w:pPr>
        <w:spacing w:after="60"/>
        <w:jc w:val="center"/>
      </w:pPr>
      <w:r>
        <w:rPr>
          <w:rFonts w:ascii="Times New Roman" w:cs="Times New Roman" w:eastAsia="Times New Roman" w:hAnsi="Times New Roman"/>
          <w:b/>
          <w:bCs/>
          <w:color w:val="0070C0"/>
          <w:sz w:val="28"/>
          <w:szCs w:val="28"/>
        </w:rPr>
        <w:t xml:space="preserve">Mr. N Lava Prasad</w:t>
      </w:r>
    </w:p>
    <w:p>
      <w:pPr>
        <w:spacing w:after="60"/>
        <w:jc w:val="center"/>
      </w:pPr>
      <w:r>
        <w:rPr>
          <w:rFonts w:ascii="Times New Roman" w:cs="Times New Roman" w:eastAsia="Times New Roman" w:hAnsi="Times New Roman"/>
          <w:color w:val="0070C0"/>
          <w:sz w:val="24"/>
          <w:szCs w:val="24"/>
        </w:rPr>
        <w:t xml:space="preserve">Assistant Professor,</w:t>
      </w:r>
    </w:p>
    <w:p>
      <w:pPr>
        <w:spacing w:after="160"/>
        <w:jc w:val="center"/>
      </w:pPr>
      <w:r>
        <w:rPr>
          <w:rFonts w:ascii="Times New Roman" w:cs="Times New Roman" w:eastAsia="Times New Roman" w:hAnsi="Times New Roman"/>
          <w:b/>
          <w:bCs/>
          <w:color w:val="0070C0"/>
          <w:sz w:val="26"/>
          <w:szCs w:val="26"/>
        </w:rPr>
        <w:t xml:space="preserve">Department of ECE</w:t>
      </w:r>
    </w:p>
    <w:p>
      <w:pPr>
        <w:spacing w:after="160" w:before="1200"/>
        <w:jc w:val="center"/>
      </w:pPr>
      <w:r>
        <w:drawing>
          <wp:inline distT="0" distB="0" distL="0" distR="0">
            <wp:extent cx="1333500" cy="1333500"/>
            <wp:effectExtent t="0" r="0" b="0" l="0"/>
            <wp:docPr id="1" name="logo" descr="KL University emblem" title="KL University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33500"/>
                    </a:xfrm>
                    <a:prstGeom prst="rect">
                      <a:avLst/>
                    </a:prstGeom>
                  </pic:spPr>
                </pic:pic>
              </a:graphicData>
            </a:graphic>
          </wp:inline>
        </w:drawing>
      </w:r>
    </w:p>
    <w:p>
      <w:pPr>
        <w:spacing w:after="0" w:before="1800"/>
        <w:jc w:val="center"/>
      </w:pPr>
      <w:r>
        <w:drawing>
          <wp:inline distT="0" distB="0" distL="0" distR="0">
            <wp:extent cx="5734050" cy="647700"/>
            <wp:effectExtent t="0" r="0" b="0" l="0"/>
            <wp:docPr id="1" name="banner" descr="Koneru Lakshmaiah Education Foundation banner" title="KLEF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647700"/>
                    </a:xfrm>
                    <a:prstGeom prst="rect">
                      <a:avLst/>
                    </a:prstGeom>
                  </pic:spPr>
                </pic:pic>
              </a:graphicData>
            </a:graphic>
          </wp:inline>
        </w:drawing>
      </w:r>
    </w:p>
    <w:p>
      <w:r>
        <w:br w:type="page"/>
      </w:r>
    </w:p>
    <w:p>
      <w:pPr>
        <w:pStyle w:val="Heading1"/>
        <w:spacing w:after="160" w:before="320"/>
      </w:pPr>
      <w:r>
        <w:rPr>
          <w:rFonts w:ascii="Times New Roman" w:cs="Times New Roman" w:eastAsia="Times New Roman" w:hAnsi="Times New Roman"/>
          <w:b/>
          <w:bCs/>
          <w:sz w:val="28"/>
          <w:szCs w:val="28"/>
        </w:rPr>
        <w:t xml:space="preserve">Abstract</w:t>
      </w:r>
    </w:p>
    <w:p>
      <w:pPr>
        <w:spacing w:after="160" w:line="340"/>
        <w:jc w:val="both"/>
      </w:pPr>
      <w:r>
        <w:rPr>
          <w:rFonts w:ascii="Times New Roman" w:cs="Times New Roman" w:eastAsia="Times New Roman" w:hAnsi="Times New Roman"/>
          <w:sz w:val="24"/>
          <w:szCs w:val="24"/>
        </w:rPr>
        <w:t xml:space="preserve">Orthogonal Time Frequency Space (OTFS) modulation represents information in the delay-Doppler domain, where a doubly-selective channel becomes sparse and nearly time-invariant, making it attractive for high-mobility links [1]. Receiver design for OTFS, however, depends strongly on whether the Doppler shifts of the channel are integer-valued, fractional, or rapidly varying [2]. Identifying the prevailing Doppler regime is therefore useful for adaptive receivers, but supervised classifiers need large labelled channel datasets that are costly to produce.</w:t>
      </w:r>
    </w:p>
    <w:p>
      <w:pPr>
        <w:spacing w:after="160" w:line="340"/>
        <w:jc w:val="both"/>
      </w:pPr>
      <w:r>
        <w:rPr>
          <w:rFonts w:ascii="Times New Roman" w:cs="Times New Roman" w:eastAsia="Times New Roman" w:hAnsi="Times New Roman"/>
          <w:sz w:val="24"/>
          <w:szCs w:val="24"/>
        </w:rPr>
        <w:t xml:space="preserve">This survey reviews eight works that together underpin a self-supervised approach to this problem. It covers the foundations of OTFS modulation and detection [1], [2]; contrastive representation learning, including SimCLR [3], MoCo [4], contrastive predictive coding [5] and supervised contrastive learning [6]; and the optimisation and software tools used for training [7], [8]. The survey compares the contributions, highlights the gap between contrastive learning and physical-layer wireless data, and positions the proposed Doppler regime classifier within that gap.</w:t>
      </w:r>
    </w:p>
    <w:p>
      <w:pPr>
        <w:spacing w:after="160" w:line="340"/>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OTFS, delay-Doppler domain, Doppler regime classification, self-supervised learning, contrastive learning, NT-Xent, representation learning.</w:t>
      </w:r>
    </w:p>
    <w:p>
      <w:pPr>
        <w:pStyle w:val="Heading1"/>
        <w:spacing w:after="160" w:before="320"/>
      </w:pPr>
      <w:r>
        <w:rPr>
          <w:rFonts w:ascii="Times New Roman" w:cs="Times New Roman" w:eastAsia="Times New Roman" w:hAnsi="Times New Roman"/>
          <w:b/>
          <w:bCs/>
          <w:sz w:val="28"/>
          <w:szCs w:val="28"/>
        </w:rPr>
        <w:t xml:space="preserve">1. Introduction</w:t>
      </w:r>
    </w:p>
    <w:p>
      <w:pPr>
        <w:spacing w:after="160" w:line="340"/>
        <w:jc w:val="both"/>
      </w:pPr>
      <w:r>
        <w:rPr>
          <w:rFonts w:ascii="Times New Roman" w:cs="Times New Roman" w:eastAsia="Times New Roman" w:hAnsi="Times New Roman"/>
          <w:sz w:val="24"/>
          <w:szCs w:val="24"/>
        </w:rPr>
        <w:t xml:space="preserve">Wireless links are increasingly required to work when the transmitter, the receiver, or both are moving at high speed, as in high-speed rail, vehicular networks, unmanned aerial vehicles and satellite communication. In such conditions the channel is doubly selective: multipath spreads the signal in delay while relative motion spreads it in frequency through the Doppler effect. Conventional multicarrier schemes such as OFDM lose subcarrier orthogonality when the Doppler spread becomes a sizeable fraction of the subcarrier spacing, and inter-carrier interference limits throughput.</w:t>
      </w:r>
    </w:p>
    <w:p>
      <w:pPr>
        <w:spacing w:after="160" w:line="340"/>
        <w:jc w:val="both"/>
      </w:pPr>
      <w:r>
        <w:rPr>
          <w:rFonts w:ascii="Times New Roman" w:cs="Times New Roman" w:eastAsia="Times New Roman" w:hAnsi="Times New Roman"/>
          <w:sz w:val="24"/>
          <w:szCs w:val="24"/>
        </w:rPr>
        <w:t xml:space="preserve">OTFS modulation was proposed to address this limitation by working in the delay-Doppler domain [1]. The performance of an OTFS receiver then depends on how well the Doppler behaviour of the channel is understood [2]. At the same time, advances in self-supervised learning [3]–[6] have shown that useful features can be learned from unlabelled data, which is attractive for wireless problems where labels are expensive. This survey brings these two lines of research together and reviews the literature needed to build a self-supervised Doppler regime classifier for OTFS systems.</w:t>
      </w:r>
    </w:p>
    <w:p>
      <w:pPr>
        <w:spacing w:after="160" w:line="340"/>
        <w:jc w:val="both"/>
      </w:pPr>
      <w:r>
        <w:rPr>
          <w:rFonts w:ascii="Times New Roman" w:cs="Times New Roman" w:eastAsia="Times New Roman" w:hAnsi="Times New Roman"/>
          <w:sz w:val="24"/>
          <w:szCs w:val="24"/>
        </w:rPr>
        <w:t xml:space="preserve">The survey is organised as follows. Section 2 states its scope and approach. Section 3 reviews OTFS modulation and detection. Section 4 reviews contrastive self-supervised learning. Section 5 reviews the optimisation and software tools. Section 6 gives a comparative summary, Section 7 identifies the research gap, and Section 8 concludes.</w:t>
      </w:r>
    </w:p>
    <w:p>
      <w:pPr>
        <w:pStyle w:val="Heading1"/>
        <w:spacing w:after="160" w:before="320"/>
      </w:pPr>
      <w:r>
        <w:rPr>
          <w:rFonts w:ascii="Times New Roman" w:cs="Times New Roman" w:eastAsia="Times New Roman" w:hAnsi="Times New Roman"/>
          <w:b/>
          <w:bCs/>
          <w:sz w:val="28"/>
          <w:szCs w:val="28"/>
        </w:rPr>
        <w:t xml:space="preserve">2. Scope and Approach of the Survey</w:t>
      </w:r>
    </w:p>
    <w:p>
      <w:pPr>
        <w:spacing w:after="160" w:line="340"/>
        <w:jc w:val="both"/>
      </w:pPr>
      <w:r>
        <w:rPr>
          <w:rFonts w:ascii="Times New Roman" w:cs="Times New Roman" w:eastAsia="Times New Roman" w:hAnsi="Times New Roman"/>
          <w:sz w:val="24"/>
          <w:szCs w:val="24"/>
        </w:rPr>
        <w:t xml:space="preserve">The survey covers eight references selected for their direct bearing on the project. They fall into three groups, as listed below.</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Wireless foundations: </w:t>
      </w:r>
      <w:r>
        <w:rPr>
          <w:rFonts w:ascii="Times New Roman" w:cs="Times New Roman" w:eastAsia="Times New Roman" w:hAnsi="Times New Roman"/>
          <w:sz w:val="24"/>
          <w:szCs w:val="24"/>
        </w:rPr>
        <w:t xml:space="preserve">the OTFS waveform and its detection algorithms [1], [2].</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Representation learning: </w:t>
      </w:r>
      <w:r>
        <w:rPr>
          <w:rFonts w:ascii="Times New Roman" w:cs="Times New Roman" w:eastAsia="Times New Roman" w:hAnsi="Times New Roman"/>
          <w:sz w:val="24"/>
          <w:szCs w:val="24"/>
        </w:rPr>
        <w:t xml:space="preserve">contrastive and self-supervised methods that provide the pretraining recipe [3]–[6].</w:t>
      </w:r>
    </w:p>
    <w:p>
      <w:pPr>
        <w:pStyle w:val="ListParagraph"/>
        <w:numPr>
          <w:ilvl w:val="0"/>
          <w:numId w:val="2"/>
        </w:numPr>
        <w:spacing w:after="100" w:line="340"/>
        <w:jc w:val="both"/>
      </w:pPr>
      <w:r>
        <w:rPr>
          <w:rFonts w:ascii="Times New Roman" w:cs="Times New Roman" w:eastAsia="Times New Roman" w:hAnsi="Times New Roman"/>
          <w:b/>
          <w:bCs/>
          <w:sz w:val="24"/>
          <w:szCs w:val="24"/>
        </w:rPr>
        <w:t xml:space="preserve">Training tools: </w:t>
      </w:r>
      <w:r>
        <w:rPr>
          <w:rFonts w:ascii="Times New Roman" w:cs="Times New Roman" w:eastAsia="Times New Roman" w:hAnsi="Times New Roman"/>
          <w:sz w:val="24"/>
          <w:szCs w:val="24"/>
        </w:rPr>
        <w:t xml:space="preserve">the optimiser and the deep-learning framework used for implementation [7], [8].</w:t>
      </w:r>
    </w:p>
    <w:p>
      <w:pPr>
        <w:spacing w:after="160" w:line="340"/>
        <w:jc w:val="both"/>
      </w:pPr>
      <w:r>
        <w:rPr>
          <w:rFonts w:ascii="Times New Roman" w:cs="Times New Roman" w:eastAsia="Times New Roman" w:hAnsi="Times New Roman"/>
          <w:sz w:val="24"/>
          <w:szCs w:val="24"/>
        </w:rPr>
        <w:t xml:space="preserve">Each work is summarised in terms of its central idea, its technical mechanism, and its relevance to Doppler regime classification. Section 6 consolidates these points in a single table.</w:t>
      </w:r>
    </w:p>
    <w:p>
      <w:pPr>
        <w:pStyle w:val="Heading1"/>
        <w:spacing w:after="160" w:before="320"/>
      </w:pPr>
      <w:r>
        <w:rPr>
          <w:rFonts w:ascii="Times New Roman" w:cs="Times New Roman" w:eastAsia="Times New Roman" w:hAnsi="Times New Roman"/>
          <w:b/>
          <w:bCs/>
          <w:sz w:val="28"/>
          <w:szCs w:val="28"/>
        </w:rPr>
        <w:t xml:space="preserve">3. Orthogonal Time Frequency Space Modulation</w:t>
      </w:r>
    </w:p>
    <w:p>
      <w:pPr>
        <w:pStyle w:val="Heading2"/>
        <w:spacing w:after="120" w:before="220"/>
      </w:pPr>
      <w:r>
        <w:rPr>
          <w:rFonts w:ascii="Times New Roman" w:cs="Times New Roman" w:eastAsia="Times New Roman" w:hAnsi="Times New Roman"/>
          <w:b/>
          <w:bCs/>
          <w:sz w:val="24"/>
          <w:szCs w:val="24"/>
        </w:rPr>
        <w:t xml:space="preserve">3.1 Introduction of OTFS</w:t>
      </w:r>
    </w:p>
    <w:p>
      <w:pPr>
        <w:spacing w:after="160" w:line="340"/>
        <w:jc w:val="both"/>
      </w:pPr>
      <w:r>
        <w:rPr>
          <w:rFonts w:ascii="Times New Roman" w:cs="Times New Roman" w:eastAsia="Times New Roman" w:hAnsi="Times New Roman"/>
          <w:sz w:val="24"/>
          <w:szCs w:val="24"/>
        </w:rPr>
        <w:t xml:space="preserve">Hadani et al. introduced OTFS as a modulation scheme designed for time-varying multipath channels [1]. Instead of placing information symbols on the time-frequency grid as OFDM does, OTFS places them on a two-dimensional delay-Doppler grid. A pair of two-dimensional transforms, the inverse symplectic finite Fourier transform at the transmitter and the symplectic finite Fourier transform at the receiver, connects this grid to the time-frequency plane, and a Heisenberg transform converts the time-frequency samples to a waveform.</w:t>
      </w:r>
    </w:p>
    <w:p>
      <w:pPr>
        <w:spacing w:after="160" w:line="340"/>
        <w:jc w:val="both"/>
      </w:pPr>
      <w:r>
        <w:rPr>
          <w:rFonts w:ascii="Times New Roman" w:cs="Times New Roman" w:eastAsia="Times New Roman" w:hAnsi="Times New Roman"/>
          <w:sz w:val="24"/>
          <w:szCs w:val="24"/>
        </w:rPr>
        <w:t xml:space="preserve">The central result of [1] is that, in the delay-Doppler domain, the rapidly time-varying channel is represented by a compact set of paths, each characterised by a gain, a delay and a Doppler shift. Because the reflectors that shape the channel change slowly compared with the carrier phase, this representation is sparse and nearly time-invariant. Each information symbol is spread over the whole time-frequency plane and therefore experiences the full diversity of the channel. These properties are the reason OTFS is considered a strong waveform candidate for 5G-Advanced and 6G high-mobility scenarios.</w:t>
      </w:r>
    </w:p>
    <w:p>
      <w:pPr>
        <w:pStyle w:val="Heading2"/>
        <w:spacing w:after="120" w:before="220"/>
      </w:pPr>
      <w:r>
        <w:rPr>
          <w:rFonts w:ascii="Times New Roman" w:cs="Times New Roman" w:eastAsia="Times New Roman" w:hAnsi="Times New Roman"/>
          <w:b/>
          <w:bCs/>
          <w:sz w:val="24"/>
          <w:szCs w:val="24"/>
        </w:rPr>
        <w:t xml:space="preserve">3.2 Interference Cancellation and Iterative Detection</w:t>
      </w:r>
    </w:p>
    <w:p>
      <w:pPr>
        <w:spacing w:after="160" w:line="340"/>
        <w:jc w:val="both"/>
      </w:pPr>
      <w:r>
        <w:rPr>
          <w:rFonts w:ascii="Times New Roman" w:cs="Times New Roman" w:eastAsia="Times New Roman" w:hAnsi="Times New Roman"/>
          <w:sz w:val="24"/>
          <w:szCs w:val="24"/>
        </w:rPr>
        <w:t xml:space="preserve">Raviteja et al. studied how to detect OTFS symbols efficiently [2]. They derived the exact input-output relation of OTFS when the delay and Doppler of the paths are not integer multiples of the grid resolution, and showed that fractional Doppler spreads the energy of each path over neighbouring Doppler bins, so that the effective channel matrix is less sparse than in the integer case.</w:t>
      </w:r>
    </w:p>
    <w:p>
      <w:pPr>
        <w:spacing w:after="160" w:line="340"/>
        <w:jc w:val="both"/>
      </w:pPr>
      <w:r>
        <w:rPr>
          <w:rFonts w:ascii="Times New Roman" w:cs="Times New Roman" w:eastAsia="Times New Roman" w:hAnsi="Times New Roman"/>
          <w:sz w:val="24"/>
          <w:szCs w:val="24"/>
        </w:rPr>
        <w:t xml:space="preserve">Building on this relation, the authors proposed a message-passing detector that exploits the sparsity of the effective channel matrix. The detector performs iterative interference cancellation with a Gaussian approximation of the residual interference, and it was shown to approach the performance of optimal detection at a much lower complexity. The detector uses only the dominant non-zero entries of the channel matrix, so its complexity is governed by the number of paths rather than by the full frame size.</w:t>
      </w:r>
    </w:p>
    <w:p>
      <w:pPr>
        <w:pStyle w:val="Heading2"/>
        <w:spacing w:after="120" w:before="220"/>
      </w:pPr>
      <w:r>
        <w:rPr>
          <w:rFonts w:ascii="Times New Roman" w:cs="Times New Roman" w:eastAsia="Times New Roman" w:hAnsi="Times New Roman"/>
          <w:b/>
          <w:bCs/>
          <w:sz w:val="24"/>
          <w:szCs w:val="24"/>
        </w:rPr>
        <w:t xml:space="preserve">3.3 Implication for Doppler Regime Recognition</w:t>
      </w:r>
    </w:p>
    <w:p>
      <w:pPr>
        <w:spacing w:after="160" w:line="340"/>
        <w:jc w:val="both"/>
      </w:pPr>
      <w:r>
        <w:rPr>
          <w:rFonts w:ascii="Times New Roman" w:cs="Times New Roman" w:eastAsia="Times New Roman" w:hAnsi="Times New Roman"/>
          <w:sz w:val="24"/>
          <w:szCs w:val="24"/>
        </w:rPr>
        <w:t xml:space="preserve">Taken together, [1] and [2] show that the Doppler behaviour of the channel directly affects receiver design. When all Doppler shifts lie on grid points, the delay-Doppler response consists of clean isolated peaks and low-complexity detection works well. When shifts are fractional, leakage along the Doppler axis must be handled by the estimator and detector. When the channel changes quickly within a frame, the sparse model itself becomes a poor description. These three situations motivate the low, medium and high Doppler regimes used in this project, and they make automatic regime recognition a useful building block for adaptive receivers that select a matching processing chain instead of always running the most expensive one.</w:t>
      </w:r>
    </w:p>
    <w:p>
      <w:pPr>
        <w:pStyle w:val="Heading1"/>
        <w:spacing w:after="160" w:before="320"/>
      </w:pPr>
      <w:r>
        <w:rPr>
          <w:rFonts w:ascii="Times New Roman" w:cs="Times New Roman" w:eastAsia="Times New Roman" w:hAnsi="Times New Roman"/>
          <w:b/>
          <w:bCs/>
          <w:sz w:val="28"/>
          <w:szCs w:val="28"/>
        </w:rPr>
        <w:t xml:space="preserve">4. Contrastive Self-Supervised Learning</w:t>
      </w:r>
    </w:p>
    <w:p>
      <w:pPr>
        <w:spacing w:after="160" w:line="340"/>
        <w:jc w:val="both"/>
      </w:pPr>
      <w:r>
        <w:rPr>
          <w:rFonts w:ascii="Times New Roman" w:cs="Times New Roman" w:eastAsia="Times New Roman" w:hAnsi="Times New Roman"/>
          <w:sz w:val="24"/>
          <w:szCs w:val="24"/>
        </w:rPr>
        <w:t xml:space="preserve">Self-supervised learning builds representations from unlabelled data by defining a pretext task whose solution requires the network to capture meaningful structure. Contrastive methods are a prominent family: they pull together representations of positive pairs and push apart representations of negatives. The following subsections review four influential works.</w:t>
      </w:r>
    </w:p>
    <w:p>
      <w:pPr>
        <w:pStyle w:val="Heading2"/>
        <w:spacing w:after="120" w:before="220"/>
      </w:pPr>
      <w:r>
        <w:rPr>
          <w:rFonts w:ascii="Times New Roman" w:cs="Times New Roman" w:eastAsia="Times New Roman" w:hAnsi="Times New Roman"/>
          <w:b/>
          <w:bCs/>
          <w:sz w:val="24"/>
          <w:szCs w:val="24"/>
        </w:rPr>
        <w:t xml:space="preserve">4.1 Contrastive Predictive Coding</w:t>
      </w:r>
    </w:p>
    <w:p>
      <w:pPr>
        <w:spacing w:after="160" w:line="340"/>
        <w:jc w:val="both"/>
      </w:pPr>
      <w:r>
        <w:rPr>
          <w:rFonts w:ascii="Times New Roman" w:cs="Times New Roman" w:eastAsia="Times New Roman" w:hAnsi="Times New Roman"/>
          <w:sz w:val="24"/>
          <w:szCs w:val="24"/>
        </w:rPr>
        <w:t xml:space="preserve">Van den Oord et al. proposed contrastive predictive coding (CPC), which learns representations by predicting future observations in a latent space [5]. An encoder maps each element of a sequence to a latent vector, an autoregressive model summarises the past into a context vector, and the model is trained with a probabilistic contrastive loss called InfoNCE. This loss maximises a lower bound on the mutual information between the context and the future samples by distinguishing the true future from negative samples. CPC was shown to work across speech, images, text and reinforcement learning, which demonstrated that the contrastive idea is not restricted to a single data type. This generality supports applying contrastive learning to non-image signals such as delay-Doppler maps.</w:t>
      </w:r>
    </w:p>
    <w:p>
      <w:pPr>
        <w:pStyle w:val="Heading2"/>
        <w:spacing w:after="120" w:before="220"/>
      </w:pPr>
      <w:r>
        <w:rPr>
          <w:rFonts w:ascii="Times New Roman" w:cs="Times New Roman" w:eastAsia="Times New Roman" w:hAnsi="Times New Roman"/>
          <w:b/>
          <w:bCs/>
          <w:sz w:val="24"/>
          <w:szCs w:val="24"/>
        </w:rPr>
        <w:t xml:space="preserve">4.2 SimCLR</w:t>
      </w:r>
    </w:p>
    <w:p>
      <w:pPr>
        <w:spacing w:after="160" w:line="340"/>
        <w:jc w:val="both"/>
      </w:pPr>
      <w:r>
        <w:rPr>
          <w:rFonts w:ascii="Times New Roman" w:cs="Times New Roman" w:eastAsia="Times New Roman" w:hAnsi="Times New Roman"/>
          <w:sz w:val="24"/>
          <w:szCs w:val="24"/>
        </w:rPr>
        <w:t xml:space="preserve">Chen et al. presented SimCLR, a simple framework for contrastive learning of visual representations [3]. Two random augmentations of each sample produce a positive pair, a convolutional encoder maps each view to a representation, and a small non-linear projection head maps the representation to the space where the contrastive loss is applied. The loss is the normalised temperature-scaled cross-entropy (NT-Xent), in which the other samples in the mini-batch act as negatives. The study identified several factors that matter: the composition of several augmentations is crucial, a non-linear projection head improves the quality of the representation preceding it, and larger batch sizes and longer training benefit contrastive learning more than supervised learning. SimCLR needs no specialised architecture or memory bank, which makes it easy to adapt. The pipeline of encoder, projection head and NT-Xent loss is the template for the pretraining stage of the present project.</w:t>
      </w:r>
    </w:p>
    <w:p>
      <w:pPr>
        <w:pStyle w:val="Heading2"/>
        <w:spacing w:after="120" w:before="220"/>
      </w:pPr>
      <w:r>
        <w:rPr>
          <w:rFonts w:ascii="Times New Roman" w:cs="Times New Roman" w:eastAsia="Times New Roman" w:hAnsi="Times New Roman"/>
          <w:b/>
          <w:bCs/>
          <w:sz w:val="24"/>
          <w:szCs w:val="24"/>
        </w:rPr>
        <w:t xml:space="preserve">4.3 Momentum Contrast</w:t>
      </w:r>
    </w:p>
    <w:p>
      <w:pPr>
        <w:spacing w:after="160" w:line="340"/>
        <w:jc w:val="both"/>
      </w:pPr>
      <w:r>
        <w:rPr>
          <w:rFonts w:ascii="Times New Roman" w:cs="Times New Roman" w:eastAsia="Times New Roman" w:hAnsi="Times New Roman"/>
          <w:sz w:val="24"/>
          <w:szCs w:val="24"/>
        </w:rPr>
        <w:t xml:space="preserve">He et al. introduced Momentum Contrast (MoCo), which views contrastive learning as dictionary look-up [4]. A queue holds encoded representations of recent mini-batches and serves as a large and consistent dictionary of negatives, and a key encoder is updated as a slowly moving average of the query encoder so that the dictionary stays consistent as training proceeds. This design decouples the number of negatives from the batch size, so strong representations can be learned without very large batches. MoCo achieved competitive results on downstream tasks, and in several cases outperformed supervised pretraining. It is a natural alternative to SimCLR when memory is limited.</w:t>
      </w:r>
    </w:p>
    <w:p>
      <w:pPr>
        <w:pStyle w:val="Heading2"/>
        <w:spacing w:after="120" w:before="220"/>
      </w:pPr>
      <w:r>
        <w:rPr>
          <w:rFonts w:ascii="Times New Roman" w:cs="Times New Roman" w:eastAsia="Times New Roman" w:hAnsi="Times New Roman"/>
          <w:b/>
          <w:bCs/>
          <w:sz w:val="24"/>
          <w:szCs w:val="24"/>
        </w:rPr>
        <w:t xml:space="preserve">4.4 Supervised Contrastive Learning</w:t>
      </w:r>
    </w:p>
    <w:p>
      <w:pPr>
        <w:spacing w:after="160" w:line="340"/>
        <w:jc w:val="both"/>
      </w:pPr>
      <w:r>
        <w:rPr>
          <w:rFonts w:ascii="Times New Roman" w:cs="Times New Roman" w:eastAsia="Times New Roman" w:hAnsi="Times New Roman"/>
          <w:sz w:val="24"/>
          <w:szCs w:val="24"/>
        </w:rPr>
        <w:t xml:space="preserve">Khosla et al. extended the contrastive objective to the supervised setting [6]. When labels are available, all samples of the same class in a batch are treated as positives for an anchor, rather than only a single augmented view, and samples of other classes are negatives. This supervised contrastive (SupCon) loss uses multiple positives per anchor and was reported to outperform cross-entropy training on image classification benchmarks, with improved robustness to corruptions and stability across hyperparameters. For the present work it suggests a way to use a small labelled set more effectively than ordinary cross-entropy fine-tuning.</w:t>
      </w:r>
    </w:p>
    <w:p>
      <w:pPr>
        <w:pStyle w:val="Heading2"/>
        <w:spacing w:after="120" w:before="220"/>
      </w:pPr>
      <w:r>
        <w:rPr>
          <w:rFonts w:ascii="Times New Roman" w:cs="Times New Roman" w:eastAsia="Times New Roman" w:hAnsi="Times New Roman"/>
          <w:b/>
          <w:bCs/>
          <w:sz w:val="24"/>
          <w:szCs w:val="24"/>
        </w:rPr>
        <w:t xml:space="preserve">4.5 Discussion</w:t>
      </w:r>
    </w:p>
    <w:p>
      <w:pPr>
        <w:spacing w:after="160" w:line="340"/>
        <w:jc w:val="both"/>
      </w:pPr>
      <w:r>
        <w:rPr>
          <w:rFonts w:ascii="Times New Roman" w:cs="Times New Roman" w:eastAsia="Times New Roman" w:hAnsi="Times New Roman"/>
          <w:sz w:val="24"/>
          <w:szCs w:val="24"/>
        </w:rPr>
        <w:t xml:space="preserve">The four works share the principle that a good representation makes related samples similar and unrelated samples distinct, but they differ in how positives and negatives are formed. CPC defines positives through temporal prediction [5], SimCLR through augmented views within a batch [3], MoCo through augmented views against a momentum-maintained queue [4], and SupCon through class labels [6]. For a wireless dataset where unlabelled channel realisations are cheap and labels are costly, the augmentation-based approaches [3], [4] are the most suitable for pretraining, while the label-based approach [6] is relevant to the later fine-tuning stage.</w:t>
      </w:r>
    </w:p>
    <w:p>
      <w:pPr>
        <w:pStyle w:val="Heading1"/>
        <w:spacing w:after="160" w:before="320"/>
      </w:pPr>
      <w:r>
        <w:rPr>
          <w:rFonts w:ascii="Times New Roman" w:cs="Times New Roman" w:eastAsia="Times New Roman" w:hAnsi="Times New Roman"/>
          <w:b/>
          <w:bCs/>
          <w:sz w:val="28"/>
          <w:szCs w:val="28"/>
        </w:rPr>
        <w:t xml:space="preserve">5. Optimisation and Software Tools</w:t>
      </w:r>
    </w:p>
    <w:p>
      <w:pPr>
        <w:pStyle w:val="Heading2"/>
        <w:spacing w:after="120" w:before="220"/>
      </w:pPr>
      <w:r>
        <w:rPr>
          <w:rFonts w:ascii="Times New Roman" w:cs="Times New Roman" w:eastAsia="Times New Roman" w:hAnsi="Times New Roman"/>
          <w:b/>
          <w:bCs/>
          <w:sz w:val="24"/>
          <w:szCs w:val="24"/>
        </w:rPr>
        <w:t xml:space="preserve">5.1 Adam Optimiser</w:t>
      </w:r>
    </w:p>
    <w:p>
      <w:pPr>
        <w:spacing w:after="160" w:line="340"/>
        <w:jc w:val="both"/>
      </w:pPr>
      <w:r>
        <w:rPr>
          <w:rFonts w:ascii="Times New Roman" w:cs="Times New Roman" w:eastAsia="Times New Roman" w:hAnsi="Times New Roman"/>
          <w:sz w:val="24"/>
          <w:szCs w:val="24"/>
        </w:rPr>
        <w:t xml:space="preserve">Kingma and Ba proposed Adam, a first-order optimisation method that computes individual adaptive learning rates for each parameter from estimates of the first and second moments of the gradients, with bias correction for the initial steps [7]. It is computationally efficient, requires little memory, is largely invariant to diagonal rescaling of the gradients, and performs well for problems with noisy or sparse gradients. These characteristics make it a common default for training deep networks, including the contrastive pretraining and fine-tuning stages considered here.</w:t>
      </w:r>
    </w:p>
    <w:p>
      <w:pPr>
        <w:pStyle w:val="Heading2"/>
        <w:spacing w:after="120" w:before="220"/>
      </w:pPr>
      <w:r>
        <w:rPr>
          <w:rFonts w:ascii="Times New Roman" w:cs="Times New Roman" w:eastAsia="Times New Roman" w:hAnsi="Times New Roman"/>
          <w:b/>
          <w:bCs/>
          <w:sz w:val="24"/>
          <w:szCs w:val="24"/>
        </w:rPr>
        <w:t xml:space="preserve">5.2 PyTorch</w:t>
      </w:r>
    </w:p>
    <w:p>
      <w:pPr>
        <w:spacing w:after="160" w:line="340"/>
        <w:jc w:val="both"/>
      </w:pPr>
      <w:r>
        <w:rPr>
          <w:rFonts w:ascii="Times New Roman" w:cs="Times New Roman" w:eastAsia="Times New Roman" w:hAnsi="Times New Roman"/>
          <w:sz w:val="24"/>
          <w:szCs w:val="24"/>
        </w:rPr>
        <w:t xml:space="preserve">Paszke et al. described PyTorch, a deep-learning library that combines an imperative, Pythonic programming model with automatic differentiation and GPU acceleration [8]. Its define-by-run execution makes models easy to debug and modify, while its performance is comparable to that of static-graph frameworks. The library supports the construction of convolutional encoders, custom loss functions such as NT-Xent, and flexible data pipelines for augmentation, all of which are needed for the proposed framework.</w:t>
      </w:r>
    </w:p>
    <w:p>
      <w:pPr>
        <w:pStyle w:val="Heading1"/>
        <w:spacing w:after="160" w:before="320"/>
      </w:pPr>
      <w:r>
        <w:rPr>
          <w:rFonts w:ascii="Times New Roman" w:cs="Times New Roman" w:eastAsia="Times New Roman" w:hAnsi="Times New Roman"/>
          <w:b/>
          <w:bCs/>
          <w:sz w:val="28"/>
          <w:szCs w:val="28"/>
        </w:rPr>
        <w:t xml:space="preserve">6. Comparative Summary of the Reviewed Literature</w:t>
      </w:r>
    </w:p>
    <w:p>
      <w:pPr>
        <w:spacing w:after="160" w:line="340"/>
        <w:jc w:val="both"/>
      </w:pPr>
      <w:r>
        <w:rPr>
          <w:rFonts w:ascii="Times New Roman" w:cs="Times New Roman" w:eastAsia="Times New Roman" w:hAnsi="Times New Roman"/>
          <w:sz w:val="24"/>
          <w:szCs w:val="24"/>
        </w:rPr>
        <w:t xml:space="preserve">Table 1 summarises the eight reviewed works, their main contribution, and their relevance to the proposed Doppler regime classification framework.</w:t>
      </w:r>
    </w:p>
    <w:p>
      <w:pPr>
        <w:spacing w:after="100"/>
        <w:jc w:val="center"/>
      </w:pPr>
      <w:r>
        <w:rPr>
          <w:rFonts w:ascii="Times New Roman" w:cs="Times New Roman" w:eastAsia="Times New Roman" w:hAnsi="Times New Roman"/>
          <w:i/>
          <w:iCs/>
          <w:sz w:val="22"/>
          <w:szCs w:val="22"/>
        </w:rPr>
        <w:t xml:space="preserve">Table 1: Summary of the reviewed literature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300"/>
        <w:gridCol w:w="4526"/>
      </w:tblGrid>
      <w:tr>
        <w:trPr>
          <w:cantSplit/>
          <w:tblHeader/>
        </w:trPr>
        <w:tc>
          <w:tcPr>
            <w:tcW w:type="dxa" w:w="7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Times New Roman" w:cs="Times New Roman" w:eastAsia="Times New Roman" w:hAnsi="Times New Roman"/>
                <w:b/>
                <w:bCs/>
                <w:sz w:val="20"/>
                <w:szCs w:val="20"/>
              </w:rPr>
              <w:t xml:space="preserve">Ref.</w:t>
            </w:r>
          </w:p>
        </w:tc>
        <w:tc>
          <w:tcPr>
            <w:tcW w:type="dxa" w:w="15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Times New Roman" w:cs="Times New Roman" w:eastAsia="Times New Roman" w:hAnsi="Times New Roman"/>
                <w:b/>
                <w:bCs/>
                <w:sz w:val="20"/>
                <w:szCs w:val="20"/>
              </w:rPr>
              <w:t xml:space="preserve">Authors / Year</w:t>
            </w:r>
          </w:p>
        </w:tc>
        <w:tc>
          <w:tcPr>
            <w:tcW w:type="dxa" w:w="23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Times New Roman" w:cs="Times New Roman" w:eastAsia="Times New Roman" w:hAnsi="Times New Roman"/>
                <w:b/>
                <w:bCs/>
                <w:sz w:val="20"/>
                <w:szCs w:val="20"/>
              </w:rPr>
              <w:t xml:space="preserve">Contribution</w:t>
            </w:r>
          </w:p>
        </w:tc>
        <w:tc>
          <w:tcPr>
            <w:tcW w:type="dxa" w:w="4526"/>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jc w:val="center"/>
            </w:pPr>
            <w:r>
              <w:rPr>
                <w:rFonts w:ascii="Times New Roman" w:cs="Times New Roman" w:eastAsia="Times New Roman" w:hAnsi="Times New Roman"/>
                <w:b/>
                <w:bCs/>
                <w:sz w:val="20"/>
                <w:szCs w:val="20"/>
              </w:rPr>
              <w:t xml:space="preserve">Relevance to the present project</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Hadani et al., 2017</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Introduces OTFS; places symbols on the delay-Doppler grid, giving a sparse, nearly time-invariant channel.</w:t>
            </w:r>
          </w:p>
        </w:tc>
        <w:tc>
          <w:tcPr>
            <w:tcW w:type="dxa" w:w="45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Defines the signal domain and the transmit-receive chain used to generate the data.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Raviteja et al., 2018</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Exact input-output relation with fractional delay/Doppler; message-passing detection with interference cancellation.</w:t>
            </w:r>
          </w:p>
        </w:tc>
        <w:tc>
          <w:tcPr>
            <w:tcW w:type="dxa" w:w="45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Explains why integer, fractional and fast-varying Doppler need different receiver treatment, motivating the three regimes.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Chen et al., 2020 (SimCLR)</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Augmentation-driven contrastive learning with a projection head and the NT-Xent loss.</w:t>
            </w:r>
          </w:p>
        </w:tc>
        <w:tc>
          <w:tcPr>
            <w:tcW w:type="dxa" w:w="45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Template for the pretraining pipeline and loss function.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He et al., 2020 (MoCo)</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Queue-based dictionary and momentum encoder that decouple the number of negatives from batch size.</w:t>
            </w:r>
          </w:p>
        </w:tc>
        <w:tc>
          <w:tcPr>
            <w:tcW w:type="dxa" w:w="45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Alternative when large batches are not affordable; a future extension.</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[5]</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van den Oord et al., 2018 (CPC)</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InfoNCE objective; predicts future latent representations of sequential data.</w:t>
            </w:r>
          </w:p>
        </w:tc>
        <w:tc>
          <w:tcPr>
            <w:tcW w:type="dxa" w:w="45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Theoretical grounding of the contrastive objective on non-image data.</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[6]</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Khosla et al., 2020 (SupCon)</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Extends contrastive learning to use labels, with several positives per anchor.</w:t>
            </w:r>
          </w:p>
        </w:tc>
        <w:tc>
          <w:tcPr>
            <w:tcW w:type="dxa" w:w="45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Candidate for the fine-tuning stage when a small labelled set exists.</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[7]</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Kingma &amp; Ba, 2015 (Adam)</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Adaptive first- and second-moment estimates with bias correction for stochastic optimisation.</w:t>
            </w:r>
          </w:p>
        </w:tc>
        <w:tc>
          <w:tcPr>
            <w:tcW w:type="dxa" w:w="45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Optimiser for pretraining and fine-tuning.</w:t>
            </w:r>
          </w:p>
        </w:tc>
      </w:tr>
      <w:tr>
        <w:trPr>
          <w:cantSplit/>
          <w:tblHeader w:val="false"/>
        </w:trPr>
        <w:tc>
          <w:tcPr>
            <w:tcW w:type="dxa" w:w="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[8]</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Paszke et al., 2019 (PyTorch)</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Imperative, GPU-accelerated deep-learning library with automatic differentiation.</w:t>
            </w:r>
          </w:p>
        </w:tc>
        <w:tc>
          <w:tcPr>
            <w:tcW w:type="dxa" w:w="4526"/>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Times New Roman" w:cs="Times New Roman" w:eastAsia="Times New Roman" w:hAnsi="Times New Roman"/>
                <w:b w:val="false"/>
                <w:bCs w:val="false"/>
                <w:sz w:val="20"/>
                <w:szCs w:val="20"/>
              </w:rPr>
              <w:t xml:space="preserve">Software framework for the implementation.</w:t>
            </w:r>
          </w:p>
        </w:tc>
      </w:tr>
    </w:tbl>
    <w:p>
      <w:pPr>
        <w:spacing w:after="200"/>
      </w:pPr>
    </w:p>
    <w:p>
      <w:pPr>
        <w:pStyle w:val="Heading1"/>
        <w:spacing w:after="160" w:before="320"/>
      </w:pPr>
      <w:r>
        <w:rPr>
          <w:rFonts w:ascii="Times New Roman" w:cs="Times New Roman" w:eastAsia="Times New Roman" w:hAnsi="Times New Roman"/>
          <w:b/>
          <w:bCs/>
          <w:sz w:val="28"/>
          <w:szCs w:val="28"/>
        </w:rPr>
        <w:t xml:space="preserve">7. Research Gap and Positioning of the Present Work</w:t>
      </w:r>
    </w:p>
    <w:p>
      <w:pPr>
        <w:spacing w:after="160" w:line="340"/>
        <w:jc w:val="both"/>
      </w:pPr>
      <w:r>
        <w:rPr>
          <w:rFonts w:ascii="Times New Roman" w:cs="Times New Roman" w:eastAsia="Times New Roman" w:hAnsi="Times New Roman"/>
          <w:sz w:val="24"/>
          <w:szCs w:val="24"/>
        </w:rPr>
        <w:t xml:space="preserve">The OTFS literature [1], [2] establishes that the Doppler behaviour of the channel determines the appropriate estimation and detection strategy, but it concentrates on designing algorithms for a given channel structure rather than on recognising which structure is present. The contrastive learning literature [3]–[6] provides powerful label-free methods, but its evaluation is mainly on computer-vision benchmarks, with comparatively few studies on physical-layer wireless data. The following gaps follow from this review.</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There is no widely adopted treatment of Doppler regime recognition as a representation-learning problem on delay-Doppler observations.</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The augmentations used in [3] and [4] are designed for natural images, and they must be redesigned for delay-Doppler maps so that they alter nuisance factors such as noise, amplitude and delay alignment without changing the Doppler structure that defines the class.</w:t>
      </w:r>
    </w:p>
    <w:p>
      <w:pPr>
        <w:pStyle w:val="ListParagraph"/>
        <w:numPr>
          <w:ilvl w:val="0"/>
          <w:numId w:val="2"/>
        </w:numPr>
        <w:spacing w:after="100" w:line="340"/>
        <w:jc w:val="both"/>
      </w:pPr>
      <w:r>
        <w:rPr>
          <w:rFonts w:ascii="Times New Roman" w:cs="Times New Roman" w:eastAsia="Times New Roman" w:hAnsi="Times New Roman"/>
          <w:sz w:val="24"/>
          <w:szCs w:val="24"/>
        </w:rPr>
        <w:t xml:space="preserve">Supervised classifiers for channel characterisation depend on labelled datasets that are expensive to obtain, whereas a self-supervised pipeline could greatly reduce this need.</w:t>
      </w:r>
    </w:p>
    <w:p>
      <w:pPr>
        <w:spacing w:after="160" w:line="340"/>
        <w:jc w:val="both"/>
      </w:pPr>
      <w:r>
        <w:rPr>
          <w:rFonts w:ascii="Times New Roman" w:cs="Times New Roman" w:eastAsia="Times New Roman" w:hAnsi="Times New Roman"/>
          <w:sz w:val="24"/>
          <w:szCs w:val="24"/>
        </w:rPr>
        <w:t xml:space="preserve">The present project addresses these gaps by adapting the SimCLR-style pipeline [3] to delay-Doppler magnitude maps generated with an OTFS simulator based on [1] and [2], pretraining a convolutional encoder with the NT-Xent loss, and fine-tuning a lightweight CNN classifier on a small labelled subset. Training uses the Adam optimiser [7] and is implemented in PyTorch [8]. In the project, the pretrained classifier reached an overall test accuracy of 95.0 percent on 180 held-out samples, with all errors occurring between neighbouring regimes, which supports the view that label-free pretraining captures useful Doppler structure.</w:t>
      </w:r>
    </w:p>
    <w:p>
      <w:pPr>
        <w:pStyle w:val="Heading1"/>
        <w:spacing w:after="160" w:before="320"/>
      </w:pPr>
      <w:r>
        <w:rPr>
          <w:rFonts w:ascii="Times New Roman" w:cs="Times New Roman" w:eastAsia="Times New Roman" w:hAnsi="Times New Roman"/>
          <w:b/>
          <w:bCs/>
          <w:sz w:val="28"/>
          <w:szCs w:val="28"/>
        </w:rPr>
        <w:t xml:space="preserve">8. Conclusion</w:t>
      </w:r>
    </w:p>
    <w:p>
      <w:pPr>
        <w:spacing w:after="160" w:line="340"/>
        <w:jc w:val="both"/>
      </w:pPr>
      <w:r>
        <w:rPr>
          <w:rFonts w:ascii="Times New Roman" w:cs="Times New Roman" w:eastAsia="Times New Roman" w:hAnsi="Times New Roman"/>
          <w:sz w:val="24"/>
          <w:szCs w:val="24"/>
        </w:rPr>
        <w:t xml:space="preserve">This survey reviewed eight works spanning OTFS modulation, contrastive self-supervised learning, and training tools. The OTFS papers [1], [2] explain why the Doppler regime matters for receiver design. The contrastive learning papers [3]–[6] provide the methods for learning from unlabelled data, and the optimisation and software references [7], [8] supply the means of implementation. Together they justify a self-supervised approach to Doppler regime classification and show where the existing literature leaves room for new work.</w:t>
      </w:r>
    </w:p>
    <w:p>
      <w:pPr>
        <w:spacing w:after="160" w:line="340"/>
        <w:jc w:val="both"/>
      </w:pPr>
      <w:r>
        <w:rPr>
          <w:rFonts w:ascii="Times New Roman" w:cs="Times New Roman" w:eastAsia="Times New Roman" w:hAnsi="Times New Roman"/>
          <w:sz w:val="24"/>
          <w:szCs w:val="24"/>
        </w:rPr>
        <w:t xml:space="preserve">Several directions remain open: replacing the in-batch negatives of SimCLR with the queue-based scheme of MoCo [4], using the supervised contrastive loss [6] during fine-tuning, extending the regime definitions to finer classes, and validating the approach on measured rather than simulated channels.</w:t>
      </w:r>
    </w:p>
    <w:p>
      <w:r>
        <w:br w:type="page"/>
      </w:r>
    </w:p>
    <w:p>
      <w:pPr>
        <w:pStyle w:val="Heading1"/>
        <w:spacing w:after="160" w:before="320"/>
      </w:pPr>
      <w:r>
        <w:rPr>
          <w:rFonts w:ascii="Times New Roman" w:cs="Times New Roman" w:eastAsia="Times New Roman" w:hAnsi="Times New Roman"/>
          <w:b/>
          <w:bCs/>
          <w:sz w:val="28"/>
          <w:szCs w:val="28"/>
        </w:rPr>
        <w:t xml:space="preserve">References</w:t>
      </w:r>
    </w:p>
    <w:p>
      <w:pPr>
        <w:tabs>
          <w:tab w:val="left" w:pos="567"/>
        </w:tabs>
        <w:spacing w:after="140" w:line="300"/>
        <w:ind w:left="567" w:hanging="567"/>
        <w:jc w:val="both"/>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R. Hadani, S. Rakib, M. Tsatsanis, A. Monk, A. J. Goldsmith, A. F. Molisch and R. Calderbank, “Orthogonal time frequency space modulation,” in Proc. IEEE Wireless Communications and Networking Conference (WCNC), San Francisco, CA, USA, 2017, pp. 1–6.</w:t>
      </w:r>
    </w:p>
    <w:p>
      <w:pPr>
        <w:tabs>
          <w:tab w:val="left" w:pos="567"/>
        </w:tabs>
        <w:spacing w:after="140" w:line="300"/>
        <w:ind w:left="567" w:hanging="567"/>
        <w:jc w:val="both"/>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P. Raviteja, K. T. Phan, Y. Hong and E. Viterbo, “Interference cancellation and iterative detection for orthogonal time frequency space modulation,” IEEE Transactions on Wireless Communications, vol. 17, no. 10, pp. 6501–6515, Oct. 2018.</w:t>
      </w:r>
    </w:p>
    <w:p>
      <w:pPr>
        <w:tabs>
          <w:tab w:val="left" w:pos="567"/>
        </w:tabs>
        <w:spacing w:after="140" w:line="300"/>
        <w:ind w:left="567" w:hanging="567"/>
        <w:jc w:val="both"/>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T. Chen, S. Kornblith, M. Norouzi and G. Hinton, “A simple framework for contrastive learning of visual representations,” in Proc. International Conference on Machine Learning (ICML), 2020, pp. 1597–1607.</w:t>
      </w:r>
    </w:p>
    <w:p>
      <w:pPr>
        <w:tabs>
          <w:tab w:val="left" w:pos="567"/>
        </w:tabs>
        <w:spacing w:after="140" w:line="300"/>
        <w:ind w:left="567" w:hanging="567"/>
        <w:jc w:val="both"/>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K. He, H. Fan, Y. Wu, S. Xie and R. Girshick, “Momentum contrast for unsupervised visual representation learning,” in Proc. IEEE/CVF Conference on Computer Vision and Pattern Recognition (CVPR), 2020, pp. 9729–9738.</w:t>
      </w:r>
    </w:p>
    <w:p>
      <w:pPr>
        <w:tabs>
          <w:tab w:val="left" w:pos="567"/>
        </w:tabs>
        <w:spacing w:after="140" w:line="300"/>
        <w:ind w:left="567" w:hanging="567"/>
        <w:jc w:val="both"/>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A. van den Oord, Y. Li and O. Vinyals, “Representation learning with contrastive predictive coding,” arXiv preprint arXiv:1807.03748, 2018.</w:t>
      </w:r>
    </w:p>
    <w:p>
      <w:pPr>
        <w:tabs>
          <w:tab w:val="left" w:pos="567"/>
        </w:tabs>
        <w:spacing w:after="140" w:line="300"/>
        <w:ind w:left="567" w:hanging="567"/>
        <w:jc w:val="both"/>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P. Khosla, P. Teterwak, C. Wang, A. Sarna, Y. Tian, P. Isola, A. Maschinot, C. Liu and D. Krishnan, “Supervised contrastive learning,” in Advances in Neural Information Processing Systems (NeurIPS), vol. 33, 2020.</w:t>
      </w:r>
    </w:p>
    <w:p>
      <w:pPr>
        <w:tabs>
          <w:tab w:val="left" w:pos="567"/>
        </w:tabs>
        <w:spacing w:after="140" w:line="300"/>
        <w:ind w:left="567" w:hanging="567"/>
        <w:jc w:val="both"/>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D. P. Kingma and J. Ba, “Adam: A method for stochastic optimization,” in Proc. International Conference on Learning Representations (ICLR), 2015.</w:t>
      </w:r>
    </w:p>
    <w:p>
      <w:pPr>
        <w:tabs>
          <w:tab w:val="left" w:pos="567"/>
        </w:tabs>
        <w:spacing w:after="140" w:line="300"/>
        <w:ind w:left="567" w:hanging="567"/>
        <w:jc w:val="both"/>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A. Paszke et al., “PyTorch: An imperative style, high-performance deep learning library,” in Advances in Neural Information Processing Systems (NeurIPS), vol. 32, 2019.</w:t>
      </w:r>
    </w:p>
    <w:sectPr>
      <w:footerReference w:type="default" r:id="rId7"/>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a4e1b1b0cf525759e16431c49f241a237ce605.jpg"/><Relationship Id="rId9" Type="http://schemas.openxmlformats.org/officeDocument/2006/relationships/image" Target="media/ea8550cff53c98835ff98dca5efa7944836e5d8e.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2026-10-15T03:51:13.871Z</dcterms:created>
  <dcterms:modified xsi:type="dcterms:W3CDTF">2026-10-15T03:51:13.871Z</dcterms:modified>
</cp:coreProperties>
</file>

<file path=docProps/custom.xml><?xml version="1.0" encoding="utf-8"?>
<Properties xmlns="http://schemas.openxmlformats.org/officeDocument/2006/custom-properties" xmlns:vt="http://schemas.openxmlformats.org/officeDocument/2006/docPropsVTypes"/>
</file>