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50293D"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ЮЖНО-УРАЛЬСКИЙ ГОСУДАРСТВЕННЫЙ УНИВЕРСИТЕТ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Центр подготовки топ-специалистов в сфере информационных технологий «Цифровой Урал»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28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теме «Сравнение систем синтеза речи (TTS)»</w:t>
      </w:r>
      <w:r/>
    </w:p>
    <w:p>
      <w:pPr>
        <w:pBdr/>
        <w:spacing w:after="0" w:before="2800" w:line="360" w:lineRule="auto"/>
        <w:ind w:left="450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студенты группы 201: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33D9F86">
      <w:pPr>
        <w:pBdr/>
        <w:spacing w:after="0" w:before="0" w:line="360" w:lineRule="auto"/>
        <w:ind w:left="450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Соломахин Егор Игоревич,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2D801E3">
      <w:pPr>
        <w:pBdr/>
        <w:spacing w:after="0" w:before="0" w:line="360" w:lineRule="auto"/>
        <w:ind w:left="450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Мажаров Артём Васильевич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BAABDDB">
      <w:pPr>
        <w:pBdr/>
        <w:spacing w:after="0" w:before="0" w:line="360" w:lineRule="auto"/>
        <w:ind w:left="450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Ишутов Матвей Сергеевич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</w:p>
    <w:p>
      <w:pPr>
        <w:pBdr/>
        <w:spacing w:after="0" w:before="240" w:line="360" w:lineRule="auto"/>
        <w:ind w:left="450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Плотникова Наталья Валерьевна</w:t>
      </w:r>
      <w:r/>
    </w:p>
    <w:p>
      <w:pPr>
        <w:pBdr/>
        <w:spacing w:after="0" w:before="18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Челябинск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2026</w:t>
      </w:r>
      <w:r/>
    </w:p>
    <w:p>
      <w:pPr>
        <w:pStyle w:val="914"/>
        <w:pageBreakBefore w:val="true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ВВЕДЕНИЕ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Синтез речи (TTS, text-to-speech) — это технология преобразования текста в звук. Она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применяется там, где информацию удобнее воспринимать на слух, чем визуально: в голосовых помощниках, системах оповещения, обучающих материалах. Современные нейросетевые системы по субъективной оценке естественности почти неотличимы от речи человека [1, 3].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Актуальность работы обусловлена тем, что на про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мышленном предприятии озвучивание текстов требуется часто и в разных форматах: от инструктажей по охране труда до аварийных объявлений. Запись диктора на каждое изменение текста обходится дорого, поэтому возникает потребность в автоматическом синтезе речи.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работы — рассмотреть архитектуры систем синтеза речи, определить области их применения на предприятии и сравнить несколько доступных систем: ElevenLabs, Yandex SpeechKit и openbmb/VoxCPM2.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цели необходимо решить следующие задачи: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общую структуру систем синтеза речи и эволюцию подходов;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рассмотреть ключевые архитектуры, от Tacotron до современных гибридных моделей;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описать метрики качества и нерешённые проблемы области;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определить сценарии применения синтеза речи на предприятии;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сравнить системы синтеза речи по преимуществам, недостаткам и стоимости.</w:t>
      </w:r>
      <w:r/>
    </w:p>
    <w:p>
      <w:pPr>
        <w:pStyle w:val="914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АРХИТЕКТУРА СИСТЕМ СИНТЕЗА РЕЧИ</w:t>
      </w:r>
      <w:r/>
    </w:p>
    <w:p>
      <w:pPr>
        <w:pStyle w:val="915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Структура системы синтеза речи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Синтез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речи превращает текст в звук. Системы почти всегда делят на две части: обработку текста и генерацию речи [3]. Типичный конвейер включает последовательные этапы: текст, NLP frontend, акустическая модель, вокодер, звуковая волна. Назначение этапов следующее: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NLP frontend выполняет разбиение на предложения и слова, нормализацию текста (например, «5 %» преобразуется в «пять процентов»), морфологическую разметку, перевод графем в фонемы (G2P), расстановку ударений и пауз;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акустическая модель предсказывает акустическое представление: чаще всего мел-спектрограмму, а также длительности фонем и фундаментальную частоту;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вокодер переводит акустические признаки в звуковую волну.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Вокодер необходим из-за фазы сигнала. Спектрограмма хранит амплитуды, но не фазу, поэтому акустические модели предсказывают только амплитуду, а вокодер оценивает недостающую фазу [2, 3].</w:t>
      </w:r>
      <w:r/>
    </w:p>
    <w:p>
      <w:pPr>
        <w:pStyle w:val="915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Эволюция подходов</w:t>
      </w:r>
      <w:r/>
    </w:p>
    <w:p>
      <w:pPr>
        <w:pStyle w:val="916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1.2.1 Конкатенативный синтез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конкатенативном синтезе (unit selection) запись диктора разрезается на юниты (полуфоны, дифоны), а нужная последовательность склеивается из базы. При выборе юнитов минимизируется суммарный штраф: target cost показывает, насколько юнит подхо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дит под фонему и контекст, а concatenation cost — насколько хорошо стыкуются соседние юниты. Оптимальная цепочка ищется алгоритмом Витерби. Для метода требуется 10–20 часов чистой речи, а оценка MOS для английского языка составляет примерно 3,7–4,1 [1, 3].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 достоинствам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подхода относятся естественное звучание, высокая скорость, малый размер и возможность работы на мобильном устройстве. Недостатки: монотонность, артефакты на стыках, требовательность к объёму базы и невозможность сгенерировать звук, которого нет в записях.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Частными случаями являются дифонный синтез и предметно-ограниченный синтез. Дифонный синтез хранит по одному образцу каждого дифона (около 800 для немецкого и около 2500 для испанского языка), его качество заметно ниже, и популя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рности он не получил. Предметно-ограниченный синтез подходит для узких областей, таких как прогноз погоды или говорящие часы: естественность там высокая, но сфера применения ограничена. В качестве примеров unit selection в индустрии названы Siri и «Алиса».</w:t>
      </w:r>
      <w:r/>
    </w:p>
    <w:p>
      <w:pPr>
        <w:pStyle w:val="916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1.2.2 Статистический параметрический синтез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статистическом параметрическом синтезе строится вероятностная модель, которая по лингвистическим признакам предсказывает параметры сигнала.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 можно обучать на скрытых марковских моделях или на нейронных сетях. Согласно описанию Т-Банка [1], система включает NLP frontend, модель длительностей фонем, акустическую модель и вокодер, причём классический вокодер основан на source-filter модели.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Классические параметрические методы звучали заметно хуже unit selection из-за большого числа независимых допущений о процессе генерации звука. Вместе с тем им нужно меньше данных (верхняя оценка около 25 часов), а интонации получаются разнообразнее.</w:t>
      </w:r>
      <w:r/>
    </w:p>
    <w:p>
      <w:pPr>
        <w:pStyle w:val="916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1.2.3 Нейросетевой синтез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Глубокое обучение дало два результата. Во-первых, появились end-to-end акустические модели: Tacotron и Tacotron 2 принимают на вход буквы и выдают спектрограмму через seq2seq, так что одна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сеть заменяет первые три этапа классического подхода. Во-вторых, нейросетевые вокодеры существенно повысили качество по сравнению с алгоритмами цифровой обработки сигналов. MOS нейросетевых систем составляет около 4,4–4,5, что почти неотличимо от человека.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Сводные данные об эволюции подходов приведены в таблице 1.</w:t>
      </w:r>
      <w:r/>
    </w:p>
    <w:p>
      <w:pPr>
        <w:keepNext w:val="true"/>
        <w:pBdr/>
        <w:spacing w:after="0" w:before="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— Эволюция подходов к синтезу речи</w:t>
      </w:r>
      <w:r/>
    </w:p>
    <w:tbl>
      <w:tblPr>
        <w:tblW w:w="99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50"/>
        <w:gridCol w:w="1350"/>
        <w:gridCol w:w="1800"/>
        <w:gridCol w:w="2100"/>
        <w:gridCol w:w="2122"/>
      </w:tblGrid>
      <w:tr>
        <w:trPr>
          <w:cantSplit/>
          <w:tblHeader/>
        </w:trPr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50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Поколение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350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Примеры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800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Идея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00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Сильные стороны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22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Слабые стороны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Unit selection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3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Siri, «Алиса»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8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Склейка записанных юнитов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Естественность, скорость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22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Монотонность, артефакты, много данных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Параметрический (HMM/DNN)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3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HTS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8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Предсказание параметров и вокодер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Мало данных, гибкость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22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Низкое качество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Нейросетевой: seq2seq и нейровокодер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3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Tacotron 2 и WaveNet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8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Текст — мел-спектрограмма — волна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MOS около 4,5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22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Медленная работа, сбои внимания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Неавторегрессионные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3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FastSpeech, Glow-TTS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8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Параллельная генерация, длительности или MAS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Скорость, робастность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22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Зависимость от выравнивания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Диффузионные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3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Grad-TTS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8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Шум преобразуется в мел-спектрограмму через ODE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Регулируемый компромисс качество/скорость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22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Итеративность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Токенные гибриды (LM и FM)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35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Voxtral TTS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8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Дискретные токены, авторегрессия и flow matching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Zero-shot клонирование, стриминг, мультиязычность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122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Большая модель, лицензия NC</w:t>
            </w:r>
            <w:r/>
          </w:p>
        </w:tc>
      </w:tr>
    </w:tbl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915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Ключевые архитектуры</w:t>
      </w:r>
      <w:r/>
    </w:p>
    <w:p>
      <w:pPr>
        <w:pStyle w:val="916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1.3.1 Tacotron и Tacotron 2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Tacotron (Google, 2017) состоит из кодера, декодера с вниманием и сети постобработки.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Кодер и постобработка построены на блоке CBHG: банке одномерных свёрток, highway-сетях и двунаправленном GRU. Спектрограмма переводится в звук алгоритмом Гриффина — Лима. Tacotron 2 переработан и подключён к WaveNet-вокодеру, на вход подаётся только текст.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MOS у Tacotron составляет 3,82 (для параметрического подхода — 3,69, для конкатенативного — 4,09). У Tacotron 2 этот показатель равен 4,52 против 4,58 у записанной речи.</w:t>
      </w:r>
      <w:r/>
    </w:p>
    <w:p>
      <w:pPr>
        <w:pStyle w:val="916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1.3.2 WaveNet и современные вокодеры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WaveNet — авторегрессионная модель сырого аудио, в которой вероятность каждого отсчёта зависит от всех предыдущих. Модель использует расширенные причинные свёртки (dilated causal convolutions): они дают большое рецептивное поле при небольшо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 числе слоёв и не нарушают порядок сигнала. Применяются также блоки с residual-связями и gated-активацией, а условие, например текст, подмешивается в активацию. Сигнал квантуется по μ-law (μ = 255) в 256 уровней, и сеть предсказывает распределение по ним.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Главный недостаток WaveNet — последовательное сэмплирование, из-за которого модель работает медленно. Решений два: инженерная оптимизация под железо (Т-Банк) или смена схемы сэмплирования (Parallel WaveNet, 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oogle). Следующие семейства вокодеров — нормализующие потоки (WaveGlow), GAN-вокодеры (MelGAN, Parallel WaveGAN, HiFi-GAN) и диффузионные (WaveGrad, DiffWave). GAN-вокодеры заметно ускорили генерацию на CPU, а HiFi-GAN даёт качество не ниже WaveNet [3, 5].</w:t>
      </w:r>
      <w:r/>
    </w:p>
    <w:p>
      <w:pPr>
        <w:pStyle w:val="916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1.3.3 Трансформерный seq2seq на примере SpeechT5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курсе Hugging Face аудиомодели рассматриваются как стандартный трансформер, у которого заменены слои на входе и выходе [2]. Работа модели включает следующие этапы: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входной текст токенизируется и преобразуется в эмбеддинги;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кодер строит скрытые представления текста;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декодер через cross-attention авторегрессионно предсказывает спектрограмму по одному временному срезу, а стартовым «токеном» служит нулевая спектрограмма длины 1;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остановки декодер предсказывает вторую последовательность — вероятность того, что текущий шаг последний; если она превышает порог (например, 0,5), генерация заканчивается;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post-net из свёрточных слоёв уточняет спектрограмму;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вокодер обучается отдельно и в seq2seq-архитектуру не входит.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обучении используется функция потерь L1 или MSE на спектрограммах. Для сравнения, CTC применяется в распознавании речи с encoder-only моделями (Wav2Vec2, HuBERT) и решает проблему неизвестного выравнивания звука и текста: модел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 предсказывает символ на каждые 20 мс, а специальный blank-токен позволяет схлопнуть дубликаты, не испортив написание. Seq2seq-модели (Whisper для распознавания, SpeechT5 для синтеза) решают ту же проблему через декодер с cross-attention и в целом мощнее.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Недостатки seq2seq: декодирование идёт шаг за шагом, и чем длиннее последовательность, тем оно медленнее. Кроме того, авторегрессионные модели могут зацикливаться на повторах или пропускать слова.</w:t>
      </w:r>
      <w:r/>
    </w:p>
    <w:p>
      <w:pPr>
        <w:pStyle w:val="916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1.3.4 Grad-TTS: диффузионная акустическая модель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Grad-TTS (Huawei Noah's Ark Lab, ICML 2021) назван в статье первым акустическим генератором на диффузионном моделировании [5]. Модель состоит из трёх модулей: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энкодер (pre-net из трёх свёрток и полносвязного слоя, затем шесть transformer-блоков) преобразует текст в признаки;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duration predictor (две свёртки и проекция) предсказывает логарифм длительности, даёт жёсткое монотонное выравнивание, а умножение длительностей на коэффициент меняет темп речи;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декодер на основе U-Net превращает гауссов шум в мел-спектрограмму; это диффузионная модель, заданная через стохастическое дифференциальное уравнение и решаемая обратным ODE по схеме Эйлера.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Ключевая идея состоит в том, что шум берётся не из стандартного нормального распределения N(0, I), а из N(μ, I), где μ — выровненный выход энкодера. Декодеру проще стартоват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 от шума, уже близкого к цели; эксперименты показали, что модель, стартующая от N(0, I), требует больше шагов. Выравнивание при обучении ищется алгоритмом Monotonic Alignment Search (MAS), заимствованным из Glow-TTS, который не требует внешнего аллайнера.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Число шагов решателя выбирается уже после обучения, что позволяет регулировать баланс между качеством и скоростью. Сравнение с другими моделями приведено в таблице 2.</w:t>
      </w:r>
      <w:r/>
    </w:p>
    <w:p>
      <w:pPr>
        <w:keepNext w:val="true"/>
        <w:pBdr/>
        <w:spacing w:after="0" w:before="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2 — Сравнение Grad-TTS с другими акустическими моделями</w:t>
      </w:r>
      <w:r/>
    </w:p>
    <w:tbl>
      <w:tblPr>
        <w:tblW w:w="99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200"/>
        <w:gridCol w:w="2861"/>
        <w:gridCol w:w="2861"/>
      </w:tblGrid>
      <w:tr>
        <w:trPr>
          <w:cantSplit/>
          <w:tblHeader/>
        </w:trPr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200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Модель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MOS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RTF (GPU)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2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Grad-TTS-1000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4,44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3,663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2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Grad-TTS-10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4,38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0,033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2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Grad-TTS-4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3,96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0,012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2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Tacotron 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4,32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0,075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2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Glow-TTS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4,11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0,008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2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FastSpeech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3,68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0,004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2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Ground truth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4,53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61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—</w:t>
            </w:r>
            <w:r/>
          </w:p>
        </w:tc>
      </w:tr>
    </w:tbl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10 шагами модель примерно вдвое быстрее Tacotron 2 при сопоставимом качестве. Параметров у неё около 15 млн, что меньше, чем у сравниваемых генераторов. Обучение проводилось на наборе LJSpeech (около 24 часов), в качестве вокодера использовался HiFi-GAN.</w:t>
      </w:r>
      <w:r/>
    </w:p>
    <w:p>
      <w:pPr>
        <w:pStyle w:val="916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1.3.5 Voxtral TTS: современная гибридная архитектура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Mistral (arXiv 2603.25551, 2026) описывает мультиязычную zero-shot модель: голос клонируется по трём секундам референса, поддер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живается девять языков [4]. Основой служит Voxtral Codec — свёрточно-трансформерный автоэнкодер, который сжимает моно-звук 24 кГц в кадры 12,5 Гц по 37 дискретных токенов на кадр: один семантический токен (VQ, словарь 8192) и 36 акустических (FSQ, по 21 ур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овню). Битрейт составляет около 2,14 кбит/с, размер кодека — около 300 млн параметров. Семантические токены обучаются через дистилляцию из Whisper, что избавляет от внешнего aligner. По объективным метрикам кодек превосходит Mimi при сопоставимом битрейте.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Генерация токенов выполняется в два этапа. Decoder backbone на базе Ministral 3B авторегрессионно предсказывает семантические токены, получая на вход токены голосового референса и текст; остановка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происходит по специальному токену. Затем двунаправленный flow-matching transformer из трёх слоёв предсказывает акустические токены по скрытому состоянию backbone: используются 8 шагов решателя Эйлера и classifier-free guidance. Авторы сравнили flow matchi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ng с MaskGIT и Depth Transformer и пришли к выводу, что он лучше по качеству, вычислениям и задержке. Идея архитектуры заключается в том, что авторегрессия отвечает за длинные зависимости и согласованность, а flow matching — за богатые акустические детали.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этапе постобучения применяется DPO (Direct Preference Optimization) с адаптацией под гибридный режим. Он снижает WER (особенно дл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немецкого и французского языков), уменьшает пропуски слов и галлюцинации, но для хинди WER, наоборот, вырос. В человеческой оценке модель получила 68,4 % предпочтений против ElevenLabs Flash v2.5 в клонировании голоса и 58,3 % на flagship-голосах. Для 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омышленной эксплуатации предложен сервинг на vLLM-Omni: на одной H200 при 32 одновременных запросах пропускная способность составляет 1431 символ/с при задержке 552 мс. Веса модели выложены под лицензией CC BY-NC, то есть для некоммерческого использования.</w:t>
      </w:r>
      <w:r/>
    </w:p>
    <w:p>
      <w:pPr>
        <w:pStyle w:val="915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Метрики качества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Основной метрикой остаётся MOS (mean opinion score) — оценка естественности асессорами по шкале от 1 до 5. Записи люд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ей получают около 4,5, а значения выше 4 считаются высокими. Недостатками MOS являются субъективность и смещения оценщиков: это не абсолютная шкала, и сравнивать эксперименты между собой можно только при специальной постановке и статистическом анализе [3].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Функция потерь плохо отражает качество синтеза, поскольку для TTS отображение «один текст — много возможных звучаний». Поэтому L1 и MSE на спектрограммах малоинформативны, и модели оценивают люди. Среди автоматических метрик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работе по Voxtral используются WER через систему распознавания (разборчивость), UTMOS (предсказанный MOS) и косинусная близость эмбеддингов спикера (сходство голоса). Они считаются лишь приблизительным ориентиром и должны дополняться оценкой людьми [4].</w:t>
      </w:r>
      <w:r/>
    </w:p>
    <w:p>
      <w:pPr>
        <w:pStyle w:val="915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1.5 Нерешённые проблемы и ограничения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 основным нерешённым проблемам относятся следующие: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обработка текста: аббревиатуры, числа, гетеронимы и омографы, где произношение зависит от контекста, а G2P по словарю или правилам имеет существенные недостатки;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мультиязычность, множественные голоса и стили: сложна генерация заданного голоса на другом языке, сети могут «перепрыгивать» между голосами, а стиль часто задаётся через референсный пример;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выразительность: непонятно, что именно речь должна выражать интонацией; Voxtral управляет эмоцией выбором референсного голоса и не поддерживает текстовые инструкции или теги;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скорость и надёжность авторегрессии: медленное декодирование, повторы и пропуски слов, из-за чего появились неавторегрессионные модели (FastSpeech, Glow-TTS);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отсутствие единых критериев оценки синтезаторов.</w:t>
      </w:r>
      <w:r/>
    </w:p>
    <w:p>
      <w:pPr>
        <w:pStyle w:val="914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ПРИМЕНЕНИЕ СИНТЕЗА РЕЧИ НА ПРЕДПРИЯТИИ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Синтез речи оказывается полезным в ряде производственных задач. Рассмотрим основные сценарии.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Охрана труда и инструктажи. Вводные и повторные инструктажи, обновление инструкций. Запись диктора на каждое изменение дорога, а текст на стенде никто не читает.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Оповещение в цехах. Аварийные и технологические объявления, смена режима работы пресса, эвакуация. В шуме взгляд на экран не работает, нужен голос, причём быстро и на разных языках.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Голосовые подсказки операторам. Руки заняты заготовкой или штампом, читать техкарту нельзя, поэтому нужно озвучивание шагов и предупреждений.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Обучение и адаптация новичков. Курсы, регламенты, ГОСТы: озвучка текста делает их доступнее, особенно при частых обновлениях.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Диспетчеризация и логистика. Объявления на складах, в отгрузке, на проходной.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Внутренние новости и приказы. Тексты длинные, их игнорируют, а аудиоформат читают лучше.</w:t>
      </w:r>
      <w:r/>
    </w:p>
    <w:p>
      <w:pPr>
        <w:pStyle w:val="906"/>
        <w:widowControl w:val="true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Доступность. Озвучивание помогает сотрудникам с нарушением зрения, низкой грамотностью, а также иностранным рабочим.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 перечисленных сценариев вытекают требования к системе: быстрая генерация для оповещений, возможность частого обновления текстов без участия диктора и поддержка нескольких языков.</w:t>
      </w:r>
      <w:r/>
    </w:p>
    <w:p>
      <w:pPr>
        <w:pStyle w:val="914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 СРАВНЕНИЕ СИСТЕМ СИНТЕЗА РЕЧИ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сравнения рассмотренных систем синтеза речи (TTS) приведены в таблице 3.</w:t>
      </w:r>
      <w:r/>
    </w:p>
    <w:p>
      <w:pPr>
        <w:keepNext w:val="true"/>
        <w:pBdr/>
        <w:spacing w:after="0" w:before="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3 — Сравнение систем синтеза речи (TTS)</w:t>
      </w:r>
      <w:r/>
    </w:p>
    <w:tbl>
      <w:tblPr>
        <w:tblW w:w="99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2900"/>
        <w:gridCol w:w="2500"/>
        <w:gridCol w:w="2822"/>
      </w:tblGrid>
      <w:tr>
        <w:trPr>
          <w:cantSplit/>
          <w:tblHeader/>
        </w:trPr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700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Сервис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900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Преимущество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00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Недостаток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22" w:type="dxa"/>
            <w:vAlign w:val="top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Стоимость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7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ElevenLabs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9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Высокое качество синтеза; большой выбор голосов; поддержка SSML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Невозможность оплаты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22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5 копеек за символ входного текста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7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Yandex SpeechKit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9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Низкая стоимость; генерация в режиме реального времени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Заметные металлические шумы в звучании; отсутствие поддержки SSML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22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0,1 копейки за символ входного текста; клонирование голоса — 9000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7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openbmb/VoxCPM2 (Hugging Face)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9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Открытая модель; высокое качество синтеза; поддержка SSML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500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Высокие требования к аппаратному обеспечению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22" w:type="dxa"/>
            <w:vAlign w:val="top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Бесплатно; самостоятельное развертывание на CPU или GPU, необходимо не менее 8 ГБ памяти устройства</w:t>
            </w:r>
            <w:r/>
          </w:p>
        </w:tc>
      </w:tr>
    </w:tbl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ElevenLabs отличается высоким качеством синтеза, большим выбором голосов и поддержкой SSML, однако его использование затруднено невозможностью оплаты, что на практике делает сервис недоступным.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Yandex SpeechKit привлекает низк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ой стоимостью (0,1 копейки за символ) и генерацией в режиме реального времени, что соответствует требованиям к оповещениям в цехах. Вместе с тем в звучании заметны металлические шумы, а поддержка SSML отсутствует, что ограничивает управление произношением.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 openbmb/VoxCPM2 является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открытой, обеспечивает высокое качество синтеза и поддерживает SSML, а использование бесплатно. Платой за это служат высокие требования к аппаратному обеспечению: для самостоятельного развёртывания на CPU или GPU необходимо не менее 8 ГБ памяти устройства.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выбор между Yandex SpeechKit и VoxCPM2 определяется приоритетами предприятия. Если важны минимальные затраты на запуск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работа в реальном времени, подходит Yandex SpeechKit при условии приемлемого качества звучания. Если важны качество и управление произношением через SSML, а предприятие готово обеспечить собственную вычислительную инфраструктуру, предпочтительнее VoxCPM2.</w:t>
      </w:r>
      <w:r/>
    </w:p>
    <w:p>
      <w:pPr>
        <w:pStyle w:val="914"/>
        <w:pageBreakBefore w:val="true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работы рассмотрены архитектуры систем синтеза речи, области их применения на предприятии и три доступные системы синтеза.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TTS развивалась от склейки записей через статистические модел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к нейросетевым системам, которые по MOS близки к человеку. Классическая схема «frontend — акустическая модель — вокодер» остаётся основой, но границы размываются: появляются end-to-end модели и системы на дискретных аудиотокенах. Центральная техническая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 — выравнивание текста и звука — решается вниманием, предсказателем длительностей и MAS либо языковой моделью над токенами. Оценка качества остаётся слабым местом, так как без участия людей надёжно проверить естественность и выразительность нельзя.</w:t>
      </w:r>
      <w:r/>
    </w:p>
    <w:p>
      <w:pPr>
        <w:widowControl w:val="true"/>
        <w:pBdr/>
        <w:spacing w:after="0" w:before="0" w:line="360" w:lineRule="auto"/>
        <w:ind w:firstLine="85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предприятия синтез речи применим в инструктажах, опов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ещениях, голосовых подсказках операторам, обучении, диспетчеризации, внутренних новостях и обеспечении доступности. Из сравнения систем следует, что ElevenLabs недоступен из-за невозможности оплаты, Yandex SpeechKit выигрывает в цене и скорости, но уступае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в качестве звучания и поддержке SSML, а VoxCPM2 обеспечивает качество и SSML при условии наличия вычислительных ресурсов. Среди современных моделей отдельно стоит отметить Voxtral TTS, однако лицензия CC BY-NC ограничивает его коммерческое использование.</w:t>
      </w:r>
      <w:r/>
    </w:p>
    <w:p>
      <w:pPr>
        <w:pStyle w:val="914"/>
        <w:pageBreakBefore w:val="true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БИБЛИОГРАФИЧЕСКИЙ СПИСОК</w:t>
      </w:r>
      <w:r/>
    </w:p>
    <w:p>
      <w:pPr>
        <w:pStyle w:val="906"/>
        <w:widowControl w:val="true"/>
        <w:numPr>
          <w:ilvl w:val="0"/>
          <w:numId w:val="3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Обзор технологий синтеза речи // Хабр, Т-Банк. 2019.</w:t>
      </w:r>
      <w:r/>
    </w:p>
    <w:p>
      <w:pPr>
        <w:pStyle w:val="906"/>
        <w:widowControl w:val="true"/>
        <w:numPr>
          <w:ilvl w:val="0"/>
          <w:numId w:val="3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Hugging Face Audio Course. Unit 3: Refresher on transformer models, CTC architectures, Seq2Seq architectures.</w:t>
      </w:r>
      <w:r/>
    </w:p>
    <w:p>
      <w:pPr>
        <w:pStyle w:val="906"/>
        <w:widowControl w:val="true"/>
        <w:numPr>
          <w:ilvl w:val="0"/>
          <w:numId w:val="3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Синтез речи // ИТМО, Викиконспекты.</w:t>
      </w:r>
      <w:r/>
    </w:p>
    <w:p>
      <w:pPr>
        <w:pStyle w:val="906"/>
        <w:widowControl w:val="true"/>
        <w:numPr>
          <w:ilvl w:val="0"/>
          <w:numId w:val="3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Liu A. H. et al. Voxtral TTS // arXiv:2603.25551. 2026.</w:t>
      </w:r>
      <w:r/>
    </w:p>
    <w:p>
      <w:pPr>
        <w:pStyle w:val="906"/>
        <w:widowControl w:val="true"/>
        <w:numPr>
          <w:ilvl w:val="0"/>
          <w:numId w:val="3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Popov V. et al. Grad-TTS: A Diffusion Probabilistic Model for Text-to-Speech // ICML 2021.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567" w:bottom="1474" w:left="1417" w:header="567" w:footer="1134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284" w:left="1134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425" w:left="1275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 Light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 w:default="1">
    <w:name w:val="Normal"/>
    <w:qFormat/>
    <w:pPr>
      <w:pBdr/>
      <w:spacing/>
      <w:ind/>
    </w:pPr>
  </w:style>
  <w:style w:type="paragraph" w:styleId="855">
    <w:name w:val="Heading 7"/>
    <w:basedOn w:val="854"/>
    <w:next w:val="854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854"/>
    <w:next w:val="854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854"/>
    <w:next w:val="854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numbering" w:styleId="859" w:default="1">
    <w:name w:val="No List"/>
    <w:uiPriority w:val="99"/>
    <w:semiHidden/>
    <w:unhideWhenUsed/>
    <w:pPr>
      <w:pBdr/>
      <w:spacing/>
      <w:ind/>
    </w:pPr>
  </w:style>
  <w:style w:type="character" w:styleId="860">
    <w:name w:val="Heading 1 Char"/>
    <w:basedOn w:val="858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basedOn w:val="858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2">
    <w:name w:val="Heading 3 Char"/>
    <w:basedOn w:val="858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858"/>
    <w:link w:val="9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8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58"/>
    <w:link w:val="9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Title Char"/>
    <w:basedOn w:val="858"/>
    <w:link w:val="9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854"/>
    <w:next w:val="854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854"/>
    <w:next w:val="854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54"/>
    <w:next w:val="854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54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1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854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854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854"/>
    <w:next w:val="8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8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854"/>
    <w:next w:val="854"/>
    <w:uiPriority w:val="39"/>
    <w:unhideWhenUsed/>
    <w:pPr>
      <w:pBdr/>
      <w:spacing w:after="100"/>
      <w:ind/>
    </w:pPr>
  </w:style>
  <w:style w:type="paragraph" w:styleId="890">
    <w:name w:val="toc 2"/>
    <w:basedOn w:val="854"/>
    <w:next w:val="854"/>
    <w:uiPriority w:val="39"/>
    <w:unhideWhenUsed/>
    <w:pPr>
      <w:pBdr/>
      <w:spacing w:after="100"/>
      <w:ind w:left="220"/>
    </w:pPr>
  </w:style>
  <w:style w:type="paragraph" w:styleId="891">
    <w:name w:val="toc 3"/>
    <w:basedOn w:val="854"/>
    <w:next w:val="854"/>
    <w:uiPriority w:val="39"/>
    <w:unhideWhenUsed/>
    <w:pPr>
      <w:pBdr/>
      <w:spacing w:after="100"/>
      <w:ind w:left="440"/>
    </w:pPr>
  </w:style>
  <w:style w:type="paragraph" w:styleId="892">
    <w:name w:val="toc 4"/>
    <w:basedOn w:val="854"/>
    <w:next w:val="854"/>
    <w:uiPriority w:val="39"/>
    <w:unhideWhenUsed/>
    <w:pPr>
      <w:pBdr/>
      <w:spacing w:after="100"/>
      <w:ind w:left="660"/>
    </w:pPr>
  </w:style>
  <w:style w:type="paragraph" w:styleId="893">
    <w:name w:val="toc 5"/>
    <w:basedOn w:val="854"/>
    <w:next w:val="854"/>
    <w:uiPriority w:val="39"/>
    <w:unhideWhenUsed/>
    <w:pPr>
      <w:pBdr/>
      <w:spacing w:after="100"/>
      <w:ind w:left="880"/>
    </w:pPr>
  </w:style>
  <w:style w:type="paragraph" w:styleId="894">
    <w:name w:val="toc 6"/>
    <w:basedOn w:val="854"/>
    <w:next w:val="854"/>
    <w:uiPriority w:val="39"/>
    <w:unhideWhenUsed/>
    <w:pPr>
      <w:pBdr/>
      <w:spacing w:after="100"/>
      <w:ind w:left="1100"/>
    </w:pPr>
  </w:style>
  <w:style w:type="paragraph" w:styleId="895">
    <w:name w:val="toc 7"/>
    <w:basedOn w:val="854"/>
    <w:next w:val="854"/>
    <w:uiPriority w:val="39"/>
    <w:unhideWhenUsed/>
    <w:pPr>
      <w:pBdr/>
      <w:spacing w:after="100"/>
      <w:ind w:left="1320"/>
    </w:pPr>
  </w:style>
  <w:style w:type="paragraph" w:styleId="896">
    <w:name w:val="toc 8"/>
    <w:basedOn w:val="854"/>
    <w:next w:val="854"/>
    <w:uiPriority w:val="39"/>
    <w:unhideWhenUsed/>
    <w:pPr>
      <w:pBdr/>
      <w:spacing w:after="100"/>
      <w:ind w:left="1540"/>
    </w:pPr>
  </w:style>
  <w:style w:type="paragraph" w:styleId="897">
    <w:name w:val="toc 9"/>
    <w:basedOn w:val="854"/>
    <w:next w:val="854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854"/>
    <w:next w:val="854"/>
    <w:uiPriority w:val="99"/>
    <w:unhideWhenUsed/>
    <w:pPr>
      <w:pBdr/>
      <w:spacing w:after="0" w:afterAutospacing="0"/>
      <w:ind/>
    </w:pPr>
  </w:style>
  <w:style w:type="paragraph" w:styleId="901">
    <w:name w:val="Title"/>
    <w:qFormat/>
    <w:pPr>
      <w:pBdr/>
      <w:spacing/>
      <w:ind/>
    </w:pPr>
    <w:rPr>
      <w:sz w:val="56"/>
      <w:szCs w:val="56"/>
    </w:rPr>
  </w:style>
  <w:style w:type="paragraph" w:styleId="902">
    <w:name w:val="Heading 4"/>
    <w:qFormat/>
    <w:pPr>
      <w:pBdr/>
      <w:spacing/>
      <w:ind/>
    </w:pPr>
    <w:rPr>
      <w:i/>
      <w:iCs/>
      <w:color w:val="2e74b5"/>
    </w:rPr>
  </w:style>
  <w:style w:type="paragraph" w:styleId="903">
    <w:name w:val="Heading 5"/>
    <w:qFormat/>
    <w:pPr>
      <w:pBdr/>
      <w:spacing/>
      <w:ind/>
    </w:pPr>
    <w:rPr>
      <w:color w:val="2e74b5"/>
    </w:rPr>
  </w:style>
  <w:style w:type="paragraph" w:styleId="904">
    <w:name w:val="Heading 6"/>
    <w:qFormat/>
    <w:pPr>
      <w:pBdr/>
      <w:spacing/>
      <w:ind/>
    </w:pPr>
    <w:rPr>
      <w:color w:val="1f4d78"/>
    </w:rPr>
  </w:style>
  <w:style w:type="paragraph" w:styleId="905">
    <w:name w:val="Strong"/>
    <w:qFormat/>
    <w:pPr>
      <w:pBdr/>
      <w:spacing/>
      <w:ind/>
    </w:pPr>
    <w:rPr>
      <w:b/>
      <w:bCs/>
    </w:rPr>
  </w:style>
  <w:style w:type="paragraph" w:styleId="906">
    <w:name w:val="List Paragraph"/>
    <w:qFormat/>
    <w:pPr>
      <w:pBdr/>
      <w:spacing/>
      <w:ind/>
    </w:pPr>
  </w:style>
  <w:style w:type="character" w:styleId="90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footnote text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link w:val="90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link w:val="91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4">
    <w:name w:val="Heading 1"/>
    <w:qFormat/>
    <w:pPr>
      <w:keepNext w:val="true"/>
      <w:keepLines w:val="true"/>
      <w:pBdr/>
      <w:spacing w:after="360" w:before="360" w:line="360" w:lineRule="auto"/>
      <w:ind w:firstLine="85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915">
    <w:name w:val="Heading 2"/>
    <w:qFormat/>
    <w:pPr>
      <w:keepNext w:val="true"/>
      <w:keepLines w:val="true"/>
      <w:pBdr/>
      <w:spacing w:after="240" w:before="240" w:line="360" w:lineRule="auto"/>
      <w:ind w:firstLine="85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916">
    <w:name w:val="Heading 3"/>
    <w:qFormat/>
    <w:pPr>
      <w:keepNext w:val="true"/>
      <w:keepLines w:val="true"/>
      <w:pBdr/>
      <w:spacing w:after="120" w:before="120" w:line="360" w:lineRule="auto"/>
      <w:ind w:firstLine="85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2026-10-08T04:11:57Z</dcterms:created>
  <dcterms:modified xsi:type="dcterms:W3CDTF">2026-10-08T04:59:23Z</dcterms:modified>
</cp:coreProperties>
</file>