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20"/>
        </w:tabs>
        <w:spacing w:after="0" w:before="60" w:line="324"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w:t>
      </w:r>
      <w:r w:rsidDel="00000000" w:rsidR="00000000" w:rsidRPr="00000000">
        <w:rPr>
          <w:rtl w:val="0"/>
        </w:rPr>
        <w:t xml:space="preserve">${code}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/CT-SBA</w:t>
        <w:tab/>
        <w:t xml:space="preserve">   </w:t>
        <w:tab/>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Hà Nội, </w:t>
      </w:r>
      <w:r w:rsidDel="00000000" w:rsidR="00000000" w:rsidRPr="00000000">
        <w:rPr>
          <w:i w:val="1"/>
          <w:rtl w:val="0"/>
        </w:rPr>
        <w:t xml:space="preserve">${today}</w:t>
      </w:r>
      <w:r w:rsidDel="00000000" w:rsidR="00000000" w:rsidRPr="00000000">
        <w:rPr>
          <w:rtl w:val="0"/>
        </w:rPr>
      </w:r>
    </w:p>
    <w:p w:rsidR="00000000" w:rsidDel="00000000" w:rsidP="00000000" w:rsidRDefault="00000000" w:rsidRPr="00000000" w14:paraId="00000002">
      <w:pPr>
        <w:spacing w:after="240" w:line="324" w:lineRule="auto"/>
        <w:jc w:val="center"/>
        <w:rPr>
          <w:rFonts w:ascii="Cambria" w:cs="Cambria" w:eastAsia="Cambria" w:hAnsi="Cambria"/>
          <w:b w:val="1"/>
          <w:color w:val="1f497d"/>
          <w:sz w:val="10"/>
          <w:szCs w:val="10"/>
        </w:rPr>
      </w:pPr>
      <w:r w:rsidDel="00000000" w:rsidR="00000000" w:rsidRPr="00000000">
        <w:rPr>
          <w:rtl w:val="0"/>
        </w:rPr>
      </w:r>
    </w:p>
    <w:p w:rsidR="00000000" w:rsidDel="00000000" w:rsidP="00000000" w:rsidRDefault="00000000" w:rsidRPr="00000000" w14:paraId="00000003">
      <w:pPr>
        <w:spacing w:after="240" w:line="324" w:lineRule="auto"/>
        <w:jc w:val="center"/>
        <w:rPr>
          <w:rFonts w:ascii="Cambria" w:cs="Cambria" w:eastAsia="Cambria" w:hAnsi="Cambria"/>
          <w:b w:val="1"/>
          <w:color w:val="1f497d"/>
          <w:sz w:val="36"/>
          <w:szCs w:val="36"/>
        </w:rPr>
      </w:pPr>
      <w:r w:rsidDel="00000000" w:rsidR="00000000" w:rsidRPr="00000000">
        <w:rPr>
          <w:rFonts w:ascii="Cambria" w:cs="Cambria" w:eastAsia="Cambria" w:hAnsi="Cambria"/>
          <w:b w:val="1"/>
          <w:color w:val="1f497d"/>
          <w:sz w:val="36"/>
          <w:szCs w:val="36"/>
          <w:rtl w:val="0"/>
        </w:rPr>
        <w:t xml:space="preserve">CHỨNG THƯ THẨM ĐỊNH GIÁ</w:t>
      </w:r>
    </w:p>
    <w:p w:rsidR="00000000" w:rsidDel="00000000" w:rsidP="00000000" w:rsidRDefault="00000000" w:rsidRPr="00000000" w14:paraId="00000004">
      <w:pPr>
        <w:spacing w:line="324" w:lineRule="auto"/>
        <w:jc w:val="center"/>
        <w:rPr>
          <w:rFonts w:ascii="Cambria" w:cs="Cambria" w:eastAsia="Cambria" w:hAnsi="Cambria"/>
          <w:b w:val="1"/>
          <w:color w:val="000000"/>
        </w:rPr>
      </w:pPr>
      <w:r w:rsidDel="00000000" w:rsidR="00000000" w:rsidRPr="00000000">
        <w:rPr>
          <w:rFonts w:ascii="Cambria" w:cs="Cambria" w:eastAsia="Cambria" w:hAnsi="Cambria"/>
          <w:b w:val="1"/>
          <w:rtl w:val="0"/>
        </w:rPr>
        <w:t xml:space="preserve">Kính gửi: Ông/Bà</w:t>
      </w:r>
      <w:r w:rsidDel="00000000" w:rsidR="00000000" w:rsidRPr="00000000">
        <w:rPr>
          <w:b w:val="1"/>
          <w:rtl w:val="0"/>
        </w:rPr>
        <w:t xml:space="preserve"> </w:t>
      </w:r>
      <w:r w:rsidDel="00000000" w:rsidR="00000000" w:rsidRPr="00000000">
        <w:rPr>
          <w:rtl w:val="0"/>
        </w:rPr>
        <w:t xml:space="preserve">${</w:t>
      </w:r>
      <w:r w:rsidDel="00000000" w:rsidR="00000000" w:rsidRPr="00000000">
        <w:rPr>
          <w:rFonts w:ascii="Cambria" w:cs="Cambria" w:eastAsia="Cambria" w:hAnsi="Cambria"/>
          <w:rtl w:val="0"/>
        </w:rPr>
        <w:t xml:space="preserve">customer_name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24"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Căn cứ Hợp đồng thẩm định giá số </w:t>
      </w:r>
      <w:r w:rsidDel="00000000" w:rsidR="00000000" w:rsidRPr="00000000">
        <w:rPr>
          <w:rtl w:val="0"/>
        </w:rPr>
        <w:t xml:space="preserve">${code}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/TĐG/SBA ngày </w:t>
      </w:r>
      <w:r w:rsidDel="00000000" w:rsidR="00000000" w:rsidRPr="00000000">
        <w:rPr>
          <w:rtl w:val="0"/>
        </w:rPr>
        <w:t xml:space="preserve">${appraisal_date}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ký kết giữa Công ty Cổ phần Tư vấn quy hoạch và Thẩm định giá SBA và</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Ông</w:t>
      </w:r>
      <w:r w:rsidDel="00000000" w:rsidR="00000000" w:rsidRPr="00000000">
        <w:rPr>
          <w:rFonts w:ascii="Cambria" w:cs="Cambria" w:eastAsia="Cambria" w:hAnsi="Cambria"/>
          <w:rtl w:val="0"/>
        </w:rPr>
        <w:t xml:space="preserve">/Bà </w:t>
      </w:r>
      <w:r w:rsidDel="00000000" w:rsidR="00000000" w:rsidRPr="00000000">
        <w:rPr>
          <w:rtl w:val="0"/>
        </w:rPr>
        <w:t xml:space="preserve">${</w:t>
      </w:r>
      <w:r w:rsidDel="00000000" w:rsidR="00000000" w:rsidRPr="00000000">
        <w:rPr>
          <w:rFonts w:ascii="Cambria" w:cs="Cambria" w:eastAsia="Cambria" w:hAnsi="Cambria"/>
          <w:rtl w:val="0"/>
        </w:rPr>
        <w:t xml:space="preserve">customer_name</w:t>
      </w:r>
      <w:r w:rsidDel="00000000" w:rsidR="00000000" w:rsidRPr="00000000">
        <w:rPr>
          <w:rtl w:val="0"/>
        </w:rPr>
        <w:t xml:space="preserve">}</w:t>
      </w:r>
      <w:r w:rsidDel="00000000" w:rsidR="00000000" w:rsidRPr="00000000">
        <w:rPr>
          <w:rFonts w:ascii="Cambria" w:cs="Cambria" w:eastAsia="Cambria" w:hAnsi="Cambria"/>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24"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Căn cứ Báo cáo kết quả thẩm định giá số </w:t>
      </w:r>
      <w:r w:rsidDel="00000000" w:rsidR="00000000" w:rsidRPr="00000000">
        <w:rPr>
          <w:rtl w:val="0"/>
        </w:rPr>
        <w:t xml:space="preserve">${code}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/BC-SBA </w:t>
      </w:r>
      <w:r w:rsidDel="00000000" w:rsidR="00000000" w:rsidRPr="00000000">
        <w:rPr>
          <w:i w:val="1"/>
          <w:rtl w:val="0"/>
        </w:rPr>
        <w:t xml:space="preserve">${today}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của Công ty Cổ phần Tư vấn quy hoạch và Thẩm định giá SBA.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24" w:lineRule="auto"/>
        <w:ind w:left="0" w:right="0" w:firstLine="288"/>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Công ty Cổ phần Tư vấn quy hoạch và Thẩm định giá SBA cung cấp Chứng thư thẩm định giá số </w:t>
      </w:r>
      <w:r w:rsidDel="00000000" w:rsidR="00000000" w:rsidRPr="00000000">
        <w:rPr>
          <w:rtl w:val="0"/>
        </w:rPr>
        <w:t xml:space="preserve">${code}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/CT-SBA </w:t>
      </w:r>
      <w:r w:rsidDel="00000000" w:rsidR="00000000" w:rsidRPr="00000000">
        <w:rPr>
          <w:i w:val="1"/>
          <w:rtl w:val="0"/>
        </w:rPr>
        <w:t xml:space="preserve">${today}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với các nội dung sau đây:</w:t>
      </w:r>
      <w:r w:rsidDel="00000000" w:rsidR="00000000" w:rsidRPr="00000000">
        <w:rPr>
          <w:rtl w:val="0"/>
        </w:rPr>
      </w:r>
    </w:p>
    <w:p w:rsidR="00000000" w:rsidDel="00000000" w:rsidP="00000000" w:rsidRDefault="00000000" w:rsidRPr="00000000" w14:paraId="00000008">
      <w:pPr>
        <w:pStyle w:val="Heading1"/>
        <w:keepLines w:val="0"/>
        <w:numPr>
          <w:ilvl w:val="0"/>
          <w:numId w:val="2"/>
        </w:numPr>
        <w:spacing w:after="120" w:before="0" w:line="324" w:lineRule="auto"/>
        <w:ind w:left="446" w:hanging="446"/>
        <w:jc w:val="both"/>
        <w:rPr>
          <w:sz w:val="24"/>
          <w:szCs w:val="24"/>
        </w:rPr>
      </w:pPr>
      <w:r w:rsidDel="00000000" w:rsidR="00000000" w:rsidRPr="00000000">
        <w:rPr>
          <w:b w:val="1"/>
          <w:color w:val="000000"/>
          <w:sz w:val="24"/>
          <w:szCs w:val="24"/>
          <w:rtl w:val="0"/>
        </w:rPr>
        <w:t xml:space="preserve">Khách hàng thẩm định giá</w:t>
      </w:r>
      <w:r w:rsidDel="00000000" w:rsidR="00000000" w:rsidRPr="00000000">
        <w:rPr>
          <w:rtl w:val="0"/>
        </w:rPr>
      </w:r>
    </w:p>
    <w:tbl>
      <w:tblPr>
        <w:tblStyle w:val="Table1"/>
        <w:tblW w:w="9475.0" w:type="dxa"/>
        <w:jc w:val="left"/>
        <w:tblLayout w:type="fixed"/>
        <w:tblLook w:val="0400"/>
      </w:tblPr>
      <w:tblGrid>
        <w:gridCol w:w="2446"/>
        <w:gridCol w:w="288"/>
        <w:gridCol w:w="6741"/>
        <w:tblGridChange w:id="0">
          <w:tblGrid>
            <w:gridCol w:w="2446"/>
            <w:gridCol w:w="288"/>
            <w:gridCol w:w="6741"/>
          </w:tblGrid>
        </w:tblGridChange>
      </w:tblGrid>
      <w:tr>
        <w:trPr>
          <w:cantSplit w:val="0"/>
          <w:tblHeader w:val="0"/>
        </w:trPr>
        <w:tc>
          <w:tcPr/>
          <w:p w:rsidR="00000000" w:rsidDel="00000000" w:rsidP="00000000" w:rsidRDefault="00000000" w:rsidRPr="00000000" w14:paraId="00000009">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Khách hàng yêu cầu</w:t>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32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324" w:lineRule="auto"/>
              <w:ind w:left="0" w:right="0"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Ông</w:t>
            </w:r>
            <w:r w:rsidDel="00000000" w:rsidR="00000000" w:rsidRPr="00000000">
              <w:rPr>
                <w:rFonts w:ascii="Cambria" w:cs="Cambria" w:eastAsia="Cambria" w:hAnsi="Cambria"/>
                <w:b w:val="1"/>
                <w:rtl w:val="0"/>
              </w:rPr>
              <w:t xml:space="preserve">/Bà </w:t>
            </w:r>
            <w:r w:rsidDel="00000000" w:rsidR="00000000" w:rsidRPr="00000000">
              <w:rPr>
                <w:rFonts w:ascii="Cambria" w:cs="Cambria" w:eastAsia="Cambria" w:hAnsi="Cambria"/>
                <w:rtl w:val="0"/>
              </w:rPr>
              <w:t xml:space="preserve">${customer_name}</w:t>
            </w:r>
            <w:r w:rsidDel="00000000" w:rsidR="00000000" w:rsidRPr="00000000">
              <w:rPr>
                <w:rtl w:val="0"/>
              </w:rPr>
            </w:r>
          </w:p>
        </w:tc>
      </w:tr>
      <w:tr>
        <w:trPr>
          <w:cantSplit w:val="0"/>
          <w:tblHeader w:val="0"/>
        </w:trPr>
        <w:tc>
          <w:tcPr/>
          <w:p w:rsidR="00000000" w:rsidDel="00000000" w:rsidP="00000000" w:rsidRDefault="00000000" w:rsidRPr="00000000" w14:paraId="0000000C">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Ngày sinh</w:t>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32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324"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0F">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rtl w:val="0"/>
              </w:rPr>
              <w:t xml:space="preserve">Địa chỉ</w:t>
            </w:r>
            <w:r w:rsidDel="00000000" w:rsidR="00000000" w:rsidRPr="00000000">
              <w:rPr>
                <w:rtl w:val="0"/>
              </w:rPr>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32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1">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rtl w:val="0"/>
              </w:rPr>
              <w:t xml:space="preserve">${address}</w:t>
            </w:r>
            <w:r w:rsidDel="00000000" w:rsidR="00000000" w:rsidRPr="00000000">
              <w:rPr>
                <w:rtl w:val="0"/>
              </w:rPr>
            </w:r>
          </w:p>
        </w:tc>
      </w:tr>
      <w:tr>
        <w:trPr>
          <w:cantSplit w:val="0"/>
          <w:tblHeader w:val="0"/>
        </w:trPr>
        <w:tc>
          <w:tcPr/>
          <w:p w:rsidR="00000000" w:rsidDel="00000000" w:rsidP="00000000" w:rsidRDefault="00000000" w:rsidRPr="00000000" w14:paraId="00000012">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rtl w:val="0"/>
              </w:rPr>
              <w:t xml:space="preserve">Số CCCD</w:t>
            </w:r>
            <w:r w:rsidDel="00000000" w:rsidR="00000000" w:rsidRPr="00000000">
              <w:rPr>
                <w:rtl w:val="0"/>
              </w:rPr>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32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4">
            <w:pPr>
              <w:spacing w:after="120" w:line="324" w:lineRule="auto"/>
              <w:jc w:val="both"/>
              <w:rPr/>
            </w:pPr>
            <w:r w:rsidDel="00000000" w:rsidR="00000000" w:rsidRPr="00000000">
              <w:rPr>
                <w:rFonts w:ascii="Cambria" w:cs="Cambria" w:eastAsia="Cambria" w:hAnsi="Cambria"/>
                <w:rtl w:val="0"/>
              </w:rPr>
              <w:t xml:space="preserve">${id_number} </w:t>
            </w:r>
            <w:r w:rsidDel="00000000" w:rsidR="00000000" w:rsidRPr="00000000">
              <w:rPr>
                <w:rtl w:val="0"/>
              </w:rPr>
              <w:t xml:space="preserve"> do ${issue_place} cấp ngày ${issue_date}</w:t>
            </w:r>
          </w:p>
        </w:tc>
      </w:tr>
    </w:tbl>
    <w:p w:rsidR="00000000" w:rsidDel="00000000" w:rsidP="00000000" w:rsidRDefault="00000000" w:rsidRPr="00000000" w14:paraId="00000015">
      <w:pPr>
        <w:pStyle w:val="Heading1"/>
        <w:keepLines w:val="0"/>
        <w:numPr>
          <w:ilvl w:val="0"/>
          <w:numId w:val="2"/>
        </w:numPr>
        <w:spacing w:after="120" w:before="0" w:line="324" w:lineRule="auto"/>
        <w:ind w:left="446" w:hanging="446"/>
        <w:jc w:val="both"/>
        <w:rPr>
          <w:sz w:val="24"/>
          <w:szCs w:val="24"/>
        </w:rPr>
      </w:pPr>
      <w:r w:rsidDel="00000000" w:rsidR="00000000" w:rsidRPr="00000000">
        <w:rPr>
          <w:b w:val="1"/>
          <w:color w:val="000000"/>
          <w:sz w:val="24"/>
          <w:szCs w:val="24"/>
          <w:rtl w:val="0"/>
        </w:rPr>
        <w:t xml:space="preserve">Thông tin về tài sản thẩm định giá</w:t>
      </w:r>
      <w:r w:rsidDel="00000000" w:rsidR="00000000" w:rsidRPr="00000000">
        <w:rPr>
          <w:rtl w:val="0"/>
        </w:rPr>
      </w:r>
    </w:p>
    <w:p w:rsidR="00000000" w:rsidDel="00000000" w:rsidP="00000000" w:rsidRDefault="00000000" w:rsidRPr="00000000" w14:paraId="00000016">
      <w:pPr>
        <w:numPr>
          <w:ilvl w:val="0"/>
          <w:numId w:val="1"/>
        </w:numPr>
        <w:spacing w:after="120" w:line="324" w:lineRule="auto"/>
        <w:ind w:left="360" w:hanging="360"/>
        <w:jc w:val="both"/>
        <w:rPr/>
      </w:pPr>
      <w:r w:rsidDel="00000000" w:rsidR="00000000" w:rsidRPr="00000000">
        <w:rPr>
          <w:rFonts w:ascii="Cambria" w:cs="Cambria" w:eastAsia="Cambria" w:hAnsi="Cambria"/>
          <w:rtl w:val="0"/>
        </w:rPr>
        <w:t xml:space="preserve">Tài sản thẩm định giá: ${property}</w:t>
      </w:r>
      <w:r w:rsidDel="00000000" w:rsidR="00000000" w:rsidRPr="00000000">
        <w:rPr>
          <w:rtl w:val="0"/>
        </w:rPr>
      </w:r>
    </w:p>
    <w:p w:rsidR="00000000" w:rsidDel="00000000" w:rsidP="00000000" w:rsidRDefault="00000000" w:rsidRPr="00000000" w14:paraId="00000017">
      <w:pPr>
        <w:numPr>
          <w:ilvl w:val="0"/>
          <w:numId w:val="1"/>
        </w:numPr>
        <w:spacing w:after="120" w:line="324" w:lineRule="auto"/>
        <w:ind w:left="360" w:hanging="360"/>
        <w:jc w:val="both"/>
        <w:rPr/>
      </w:pPr>
      <w:r w:rsidDel="00000000" w:rsidR="00000000" w:rsidRPr="00000000">
        <w:rPr>
          <w:rFonts w:ascii="Cambria" w:cs="Cambria" w:eastAsia="Cambria" w:hAnsi="Cambria"/>
          <w:rtl w:val="0"/>
        </w:rPr>
        <w:t xml:space="preserve">Đặc điểm pháp lý và kinh tế kỹ thuật của tài sản: </w:t>
      </w:r>
      <w:r w:rsidDel="00000000" w:rsidR="00000000" w:rsidRPr="00000000">
        <w:rPr>
          <w:rFonts w:ascii="Cambria" w:cs="Cambria" w:eastAsia="Cambria" w:hAnsi="Cambria"/>
          <w:i w:val="1"/>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18">
      <w:pPr>
        <w:numPr>
          <w:ilvl w:val="0"/>
          <w:numId w:val="2"/>
        </w:numPr>
        <w:spacing w:after="120" w:line="324" w:lineRule="auto"/>
        <w:ind w:left="396" w:hanging="360"/>
        <w:jc w:val="both"/>
        <w:rPr/>
      </w:pPr>
      <w:r w:rsidDel="00000000" w:rsidR="00000000" w:rsidRPr="00000000">
        <w:rPr>
          <w:b w:val="1"/>
          <w:rtl w:val="0"/>
        </w:rPr>
        <w:t xml:space="preserve">Thời điểm thẩm định giá: </w:t>
      </w:r>
      <w:r w:rsidDel="00000000" w:rsidR="00000000" w:rsidRPr="00000000">
        <w:rPr>
          <w:rtl w:val="0"/>
        </w:rPr>
        <w:t xml:space="preserve">${appraisal_date}</w:t>
      </w:r>
    </w:p>
    <w:p w:rsidR="00000000" w:rsidDel="00000000" w:rsidP="00000000" w:rsidRDefault="00000000" w:rsidRPr="00000000" w14:paraId="00000019">
      <w:pPr>
        <w:numPr>
          <w:ilvl w:val="0"/>
          <w:numId w:val="2"/>
        </w:numPr>
        <w:spacing w:after="120" w:line="324" w:lineRule="auto"/>
        <w:ind w:left="446" w:hanging="446"/>
        <w:jc w:val="both"/>
        <w:rPr/>
      </w:pPr>
      <w:r w:rsidDel="00000000" w:rsidR="00000000" w:rsidRPr="00000000">
        <w:rPr>
          <w:b w:val="1"/>
          <w:rtl w:val="0"/>
        </w:rPr>
        <w:t xml:space="preserve">Mục đích thẩm định giá: </w:t>
      </w:r>
      <w:r w:rsidDel="00000000" w:rsidR="00000000" w:rsidRPr="00000000">
        <w:rPr>
          <w:rtl w:val="0"/>
        </w:rPr>
        <w:t xml:space="preserve">${purpose}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A">
      <w:pPr>
        <w:numPr>
          <w:ilvl w:val="0"/>
          <w:numId w:val="2"/>
        </w:numPr>
        <w:spacing w:after="120" w:line="324" w:lineRule="auto"/>
        <w:ind w:left="446" w:hanging="446"/>
        <w:jc w:val="both"/>
        <w:rPr/>
      </w:pPr>
      <w:r w:rsidDel="00000000" w:rsidR="00000000" w:rsidRPr="00000000">
        <w:rPr>
          <w:b w:val="1"/>
          <w:rtl w:val="0"/>
        </w:rPr>
        <w:t xml:space="preserve">Căn cứ pháp lý: </w:t>
      </w:r>
      <w:r w:rsidDel="00000000" w:rsidR="00000000" w:rsidRPr="00000000">
        <w:rPr>
          <w:i w:val="1"/>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1B">
      <w:pPr>
        <w:numPr>
          <w:ilvl w:val="0"/>
          <w:numId w:val="2"/>
        </w:numPr>
        <w:spacing w:after="120" w:line="324" w:lineRule="auto"/>
        <w:ind w:left="446" w:hanging="446"/>
        <w:jc w:val="both"/>
        <w:rPr/>
      </w:pPr>
      <w:r w:rsidDel="00000000" w:rsidR="00000000" w:rsidRPr="00000000">
        <w:rPr>
          <w:b w:val="1"/>
          <w:rtl w:val="0"/>
        </w:rPr>
        <w:t xml:space="preserve">Cơ sở giá trị của tài sản thẩm định giá: </w:t>
      </w:r>
      <w:r w:rsidDel="00000000" w:rsidR="00000000" w:rsidRPr="00000000">
        <w:rPr>
          <w:rtl w:val="0"/>
        </w:rPr>
        <w:t xml:space="preserve">Cơ sở g</w:t>
      </w:r>
      <w:r w:rsidDel="00000000" w:rsidR="00000000" w:rsidRPr="00000000">
        <w:rPr>
          <w:rFonts w:ascii="Cambria" w:cs="Cambria" w:eastAsia="Cambria" w:hAnsi="Cambria"/>
          <w:rtl w:val="0"/>
        </w:rPr>
        <w:t xml:space="preserve">iá trị thị trường.</w:t>
      </w:r>
      <w:r w:rsidDel="00000000" w:rsidR="00000000" w:rsidRPr="00000000">
        <w:rPr>
          <w:rtl w:val="0"/>
        </w:rPr>
      </w:r>
    </w:p>
    <w:p w:rsidR="00000000" w:rsidDel="00000000" w:rsidP="00000000" w:rsidRDefault="00000000" w:rsidRPr="00000000" w14:paraId="0000001C">
      <w:pPr>
        <w:numPr>
          <w:ilvl w:val="0"/>
          <w:numId w:val="2"/>
        </w:numPr>
        <w:spacing w:after="120" w:line="324" w:lineRule="auto"/>
        <w:ind w:left="446" w:hanging="446"/>
        <w:jc w:val="both"/>
        <w:rPr/>
      </w:pPr>
      <w:r w:rsidDel="00000000" w:rsidR="00000000" w:rsidRPr="00000000">
        <w:rPr>
          <w:b w:val="1"/>
          <w:rtl w:val="0"/>
        </w:rPr>
        <w:t xml:space="preserve">Giả thiết và giả thiết đặc biệt: </w:t>
      </w:r>
      <w:r w:rsidDel="00000000" w:rsidR="00000000" w:rsidRPr="00000000">
        <w:rPr>
          <w:i w:val="1"/>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1D">
      <w:pPr>
        <w:numPr>
          <w:ilvl w:val="0"/>
          <w:numId w:val="2"/>
        </w:numPr>
        <w:spacing w:after="120" w:line="324" w:lineRule="auto"/>
        <w:ind w:left="446" w:hanging="446"/>
        <w:jc w:val="both"/>
        <w:rPr/>
      </w:pPr>
      <w:r w:rsidDel="00000000" w:rsidR="00000000" w:rsidRPr="00000000">
        <w:rPr>
          <w:b w:val="1"/>
          <w:rtl w:val="0"/>
        </w:rPr>
        <w:t xml:space="preserve">Cách tiếp cận và phương pháp thẩm định giá: </w:t>
      </w:r>
      <w:r w:rsidDel="00000000" w:rsidR="00000000" w:rsidRPr="00000000">
        <w:rPr>
          <w:i w:val="1"/>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1E">
      <w:pPr>
        <w:numPr>
          <w:ilvl w:val="0"/>
          <w:numId w:val="2"/>
        </w:numPr>
        <w:spacing w:after="120" w:line="324" w:lineRule="auto"/>
        <w:ind w:left="446" w:hanging="446"/>
        <w:jc w:val="both"/>
        <w:rPr/>
      </w:pPr>
      <w:r w:rsidDel="00000000" w:rsidR="00000000" w:rsidRPr="00000000">
        <w:rPr>
          <w:b w:val="1"/>
          <w:rtl w:val="0"/>
        </w:rPr>
        <w:t xml:space="preserve">Kết quả thẩm định giá:</w:t>
      </w:r>
      <w:r w:rsidDel="00000000" w:rsidR="00000000" w:rsidRPr="00000000">
        <w:rPr>
          <w:rtl w:val="0"/>
        </w:rPr>
      </w:r>
    </w:p>
    <w:p w:rsidR="00000000" w:rsidDel="00000000" w:rsidP="00000000" w:rsidRDefault="00000000" w:rsidRPr="00000000" w14:paraId="0000001F">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Trên cơ sở kết hợp các thông tin hồ sơ của tài sản do khách hàng cung cấp, khảo sát, xem xét tình hình giao dịch trên thị trường mua bán các tài sản tương tự để ứng dụng các phương pháp trong tính toán, Công ty Cổ phần Tư vấn quy hoạch và Thẩm định giá SBA thông báo kết quả thẩm định giá tài sản tại thời điểm thẩm định giá như sau:</w:t>
      </w:r>
      <w:r w:rsidDel="00000000" w:rsidR="00000000" w:rsidRPr="00000000">
        <w:rPr>
          <w:rtl w:val="0"/>
        </w:rPr>
      </w:r>
    </w:p>
    <w:tbl>
      <w:tblPr>
        <w:tblStyle w:val="Table2"/>
        <w:tblW w:w="9469.0" w:type="dxa"/>
        <w:jc w:val="left"/>
        <w:tblLayout w:type="fixed"/>
        <w:tblLook w:val="0400"/>
      </w:tblPr>
      <w:tblGrid>
        <w:gridCol w:w="670"/>
        <w:gridCol w:w="3345"/>
        <w:gridCol w:w="1581"/>
        <w:gridCol w:w="1533"/>
        <w:gridCol w:w="2340"/>
        <w:tblGridChange w:id="0">
          <w:tblGrid>
            <w:gridCol w:w="670"/>
            <w:gridCol w:w="3345"/>
            <w:gridCol w:w="1581"/>
            <w:gridCol w:w="1533"/>
            <w:gridCol w:w="2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jc w:val="center"/>
              <w:rPr>
                <w:b w:val="1"/>
                <w:color w:val="000000"/>
              </w:rPr>
            </w:pPr>
            <w:r w:rsidDel="00000000" w:rsidR="00000000" w:rsidRPr="00000000">
              <w:rPr>
                <w:b w:val="1"/>
                <w:color w:val="000000"/>
                <w:rtl w:val="0"/>
              </w:rPr>
              <w:t xml:space="preserve">STT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jc w:val="center"/>
              <w:rPr>
                <w:b w:val="1"/>
                <w:color w:val="000000"/>
              </w:rPr>
            </w:pPr>
            <w:r w:rsidDel="00000000" w:rsidR="00000000" w:rsidRPr="00000000">
              <w:rPr>
                <w:b w:val="1"/>
                <w:color w:val="000000"/>
                <w:rtl w:val="0"/>
              </w:rPr>
              <w:t xml:space="preserve">Tài sản thẩm định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jc w:val="center"/>
              <w:rPr>
                <w:b w:val="1"/>
                <w:color w:val="000000"/>
              </w:rPr>
            </w:pPr>
            <w:r w:rsidDel="00000000" w:rsidR="00000000" w:rsidRPr="00000000">
              <w:rPr>
                <w:b w:val="1"/>
                <w:color w:val="000000"/>
                <w:rtl w:val="0"/>
              </w:rPr>
              <w:t xml:space="preserve">Diện tích</w:t>
              <w:br w:type="textWrapping"/>
              <w:t xml:space="preserve">(m2)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jc w:val="center"/>
              <w:rPr>
                <w:b w:val="1"/>
                <w:color w:val="000000"/>
              </w:rPr>
            </w:pPr>
            <w:r w:rsidDel="00000000" w:rsidR="00000000" w:rsidRPr="00000000">
              <w:rPr>
                <w:b w:val="1"/>
                <w:color w:val="000000"/>
                <w:rtl w:val="0"/>
              </w:rPr>
              <w:t xml:space="preserve">Đơn giá</w:t>
              <w:br w:type="textWrapping"/>
              <w:t xml:space="preserve">(Đồng)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4">
            <w:pPr>
              <w:jc w:val="center"/>
              <w:rPr>
                <w:b w:val="1"/>
                <w:color w:val="000000"/>
              </w:rPr>
            </w:pPr>
            <w:r w:rsidDel="00000000" w:rsidR="00000000" w:rsidRPr="00000000">
              <w:rPr>
                <w:b w:val="1"/>
                <w:color w:val="000000"/>
                <w:rtl w:val="0"/>
              </w:rPr>
              <w:t xml:space="preserve">Giá trị thẩm định</w:t>
              <w:br w:type="textWrapping"/>
              <w:t xml:space="preserve">(Đồng)</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jc w:val="center"/>
              <w:rPr>
                <w:b w:val="1"/>
                <w:color w:val="000000"/>
              </w:rPr>
            </w:pPr>
            <w:r w:rsidDel="00000000" w:rsidR="00000000" w:rsidRPr="00000000">
              <w:rPr>
                <w:b w:val="1"/>
                <w:color w:val="000000"/>
                <w:rtl w:val="0"/>
              </w:rPr>
              <w:t xml:space="preserve">I</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jc w:val="both"/>
              <w:rPr>
                <w:b w:val="1"/>
                <w:color w:val="000000"/>
              </w:rPr>
            </w:pPr>
            <w:r w:rsidDel="00000000" w:rsidR="00000000" w:rsidRPr="00000000">
              <w:rPr>
                <w:b w:val="1"/>
                <w:color w:val="000000"/>
                <w:rtl w:val="0"/>
              </w:rPr>
              <w:t xml:space="preserve">Căn hộ chung cư …….., thành phố Hà Nội</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rPr>
                <w:color w:val="000000"/>
              </w:rPr>
            </w:pPr>
            <w:r w:rsidDel="00000000" w:rsidR="00000000" w:rsidRPr="00000000">
              <w:rPr>
                <w:color w:val="000000"/>
                <w:rtl w:val="0"/>
              </w:rPr>
              <w:t xml:space="preserve">Giá trị quyền sở hữu căn hộ</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jc w:val="center"/>
              <w:rPr>
                <w:color w:val="000000"/>
              </w:rPr>
            </w:pPr>
            <w:r w:rsidDel="00000000" w:rsidR="00000000" w:rsidRPr="00000000">
              <w:rPr>
                <w:color w:val="000000"/>
                <w:rtl w:val="0"/>
              </w:rPr>
              <w:t xml:space="preserve">77,40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jc w:val="right"/>
              <w:rPr>
                <w:color w:val="000000"/>
              </w:rPr>
            </w:pPr>
            <w:r w:rsidDel="00000000" w:rsidR="00000000" w:rsidRPr="00000000">
              <w:rPr>
                <w:color w:val="000000"/>
                <w:rtl w:val="0"/>
              </w:rPr>
              <w:t xml:space="preserve">….</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jc w:val="center"/>
              <w:rPr>
                <w:b w:val="1"/>
                <w:color w:val="000000"/>
              </w:rPr>
            </w:pPr>
            <w:r w:rsidDel="00000000" w:rsidR="00000000" w:rsidRPr="00000000">
              <w:rPr>
                <w:b w:val="1"/>
                <w:color w:val="000000"/>
                <w:rtl w:val="0"/>
              </w:rPr>
              <w:t xml:space="preserve">Tổng cộng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jc w:val="right"/>
              <w:rPr>
                <w:b w:val="1"/>
                <w:color w:val="000000"/>
              </w:rPr>
            </w:pPr>
            <w:r w:rsidDel="00000000" w:rsidR="00000000" w:rsidRPr="00000000">
              <w:rPr>
                <w:b w:val="1"/>
                <w:color w:val="000000"/>
                <w:rtl w:val="0"/>
              </w:rPr>
              <w:t xml:space="preserve">….</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jc w:val="center"/>
              <w:rPr>
                <w:b w:val="1"/>
                <w:i w:val="1"/>
                <w:color w:val="000000"/>
              </w:rPr>
            </w:pPr>
            <w:bookmarkStart w:colFirst="0" w:colLast="0" w:name="_30j0zll" w:id="1"/>
            <w:bookmarkEnd w:id="1"/>
            <w:r w:rsidDel="00000000" w:rsidR="00000000" w:rsidRPr="00000000">
              <w:rPr>
                <w:b w:val="1"/>
                <w:i w:val="1"/>
                <w:color w:val="000000"/>
                <w:rtl w:val="0"/>
              </w:rPr>
              <w:t xml:space="preserve">Bằng chữ: ….../.</w:t>
            </w:r>
          </w:p>
        </w:tc>
      </w:tr>
    </w:tbl>
    <w:p w:rsidR="00000000" w:rsidDel="00000000" w:rsidP="00000000" w:rsidRDefault="00000000" w:rsidRPr="00000000" w14:paraId="00000039">
      <w:pPr>
        <w:spacing w:before="240" w:line="324" w:lineRule="auto"/>
        <w:ind w:left="426" w:firstLine="0"/>
        <w:jc w:val="center"/>
        <w:rPr>
          <w:rFonts w:ascii="Cambria" w:cs="Cambria" w:eastAsia="Cambria" w:hAnsi="Cambria"/>
          <w:b w:val="1"/>
          <w:i w:val="1"/>
        </w:rPr>
      </w:pPr>
      <w:r w:rsidDel="00000000" w:rsidR="00000000" w:rsidRPr="00000000">
        <w:rPr>
          <w:rFonts w:ascii="Cambria" w:cs="Cambria" w:eastAsia="Cambria" w:hAnsi="Cambria"/>
          <w:i w:val="1"/>
          <w:rtl w:val="0"/>
        </w:rPr>
        <w:t xml:space="preserve"> (Chi tiết xem tại Báo cáo kết quả thẩm định giá kèm theo)</w:t>
      </w:r>
      <w:r w:rsidDel="00000000" w:rsidR="00000000" w:rsidRPr="00000000">
        <w:rPr>
          <w:rtl w:val="0"/>
        </w:rPr>
      </w:r>
    </w:p>
    <w:p w:rsidR="00000000" w:rsidDel="00000000" w:rsidP="00000000" w:rsidRDefault="00000000" w:rsidRPr="00000000" w14:paraId="0000003A">
      <w:pPr>
        <w:pStyle w:val="Heading1"/>
        <w:keepLines w:val="0"/>
        <w:numPr>
          <w:ilvl w:val="0"/>
          <w:numId w:val="2"/>
        </w:numPr>
        <w:spacing w:after="120" w:before="0" w:line="324" w:lineRule="auto"/>
        <w:ind w:left="446" w:hanging="446"/>
        <w:jc w:val="both"/>
        <w:rPr>
          <w:sz w:val="24"/>
          <w:szCs w:val="24"/>
        </w:rPr>
      </w:pPr>
      <w:r w:rsidDel="00000000" w:rsidR="00000000" w:rsidRPr="00000000">
        <w:rPr>
          <w:b w:val="1"/>
          <w:color w:val="000000"/>
          <w:sz w:val="24"/>
          <w:szCs w:val="24"/>
          <w:rtl w:val="0"/>
        </w:rPr>
        <w:t xml:space="preserve">Những điều khoản loại trừ và hạn chế kèm theo kết quả thẩm định giá: </w:t>
      </w:r>
      <w:r w:rsidDel="00000000" w:rsidR="00000000" w:rsidRPr="00000000">
        <w:rPr>
          <w:i w:val="1"/>
          <w:color w:val="000000"/>
          <w:sz w:val="24"/>
          <w:szCs w:val="24"/>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3B">
      <w:pPr>
        <w:pStyle w:val="Heading1"/>
        <w:keepLines w:val="0"/>
        <w:numPr>
          <w:ilvl w:val="0"/>
          <w:numId w:val="2"/>
        </w:numPr>
        <w:spacing w:after="120" w:before="0" w:line="324" w:lineRule="auto"/>
        <w:ind w:left="446" w:hanging="446"/>
        <w:jc w:val="both"/>
        <w:rPr>
          <w:sz w:val="24"/>
          <w:szCs w:val="24"/>
        </w:rPr>
      </w:pPr>
      <w:r w:rsidDel="00000000" w:rsidR="00000000" w:rsidRPr="00000000">
        <w:rPr>
          <w:b w:val="1"/>
          <w:color w:val="000000"/>
          <w:sz w:val="24"/>
          <w:szCs w:val="24"/>
          <w:rtl w:val="0"/>
        </w:rPr>
        <w:t xml:space="preserve">Thời hạn có hiệu lực của kết quả thẩm định giá: </w:t>
      </w:r>
      <w:r w:rsidDel="00000000" w:rsidR="00000000" w:rsidRPr="00000000">
        <w:rPr>
          <w:i w:val="1"/>
          <w:color w:val="000000"/>
          <w:sz w:val="24"/>
          <w:szCs w:val="24"/>
          <w:rtl w:val="0"/>
        </w:rPr>
        <w:t xml:space="preserve">Chi tiết tại Báo cáo kết quả thẩm định giá kèm theo.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pStyle w:val="Heading1"/>
        <w:keepLines w:val="0"/>
        <w:numPr>
          <w:ilvl w:val="0"/>
          <w:numId w:val="2"/>
        </w:numPr>
        <w:spacing w:after="120" w:before="0" w:line="324" w:lineRule="auto"/>
        <w:ind w:left="446" w:hanging="446"/>
        <w:jc w:val="both"/>
        <w:rPr>
          <w:sz w:val="24"/>
          <w:szCs w:val="24"/>
        </w:rPr>
      </w:pPr>
      <w:r w:rsidDel="00000000" w:rsidR="00000000" w:rsidRPr="00000000">
        <w:rPr>
          <w:b w:val="1"/>
          <w:color w:val="000000"/>
          <w:sz w:val="24"/>
          <w:szCs w:val="24"/>
          <w:rtl w:val="0"/>
        </w:rPr>
        <w:t xml:space="preserve">Các tài liệu kèm theo:</w:t>
      </w:r>
      <w:r w:rsidDel="00000000" w:rsidR="00000000" w:rsidRPr="00000000">
        <w:rPr>
          <w:rtl w:val="0"/>
        </w:rPr>
      </w:r>
    </w:p>
    <w:p w:rsidR="00000000" w:rsidDel="00000000" w:rsidP="00000000" w:rsidRDefault="00000000" w:rsidRPr="00000000" w14:paraId="0000003D">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Báo cáo kết quả thẩm định giá;</w:t>
      </w:r>
      <w:r w:rsidDel="00000000" w:rsidR="00000000" w:rsidRPr="00000000">
        <w:rPr>
          <w:rtl w:val="0"/>
        </w:rPr>
      </w:r>
    </w:p>
    <w:p w:rsidR="00000000" w:rsidDel="00000000" w:rsidP="00000000" w:rsidRDefault="00000000" w:rsidRPr="00000000" w14:paraId="0000003E">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Các phụ lục chi tiết kèm theo.</w:t>
      </w:r>
      <w:r w:rsidDel="00000000" w:rsidR="00000000" w:rsidRPr="00000000">
        <w:rPr>
          <w:rtl w:val="0"/>
        </w:rPr>
      </w:r>
    </w:p>
    <w:p w:rsidR="00000000" w:rsidDel="00000000" w:rsidP="00000000" w:rsidRDefault="00000000" w:rsidRPr="00000000" w14:paraId="0000003F">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Hồ sơ pháp lý của tài sản thẩm định giá.</w:t>
      </w:r>
      <w:r w:rsidDel="00000000" w:rsidR="00000000" w:rsidRPr="00000000">
        <w:rPr>
          <w:rtl w:val="0"/>
        </w:rPr>
      </w:r>
    </w:p>
    <w:p w:rsidR="00000000" w:rsidDel="00000000" w:rsidP="00000000" w:rsidRDefault="00000000" w:rsidRPr="00000000" w14:paraId="00000040">
      <w:pPr>
        <w:pStyle w:val="Heading1"/>
        <w:keepLines w:val="0"/>
        <w:numPr>
          <w:ilvl w:val="0"/>
          <w:numId w:val="2"/>
        </w:numPr>
        <w:spacing w:after="120" w:before="0" w:line="324" w:lineRule="auto"/>
        <w:ind w:left="446" w:hanging="446"/>
        <w:jc w:val="both"/>
        <w:rPr>
          <w:sz w:val="24"/>
          <w:szCs w:val="24"/>
        </w:rPr>
      </w:pPr>
      <w:r w:rsidDel="00000000" w:rsidR="00000000" w:rsidRPr="00000000">
        <w:rPr>
          <w:b w:val="1"/>
          <w:color w:val="000000"/>
          <w:sz w:val="24"/>
          <w:szCs w:val="24"/>
          <w:rtl w:val="0"/>
        </w:rPr>
        <w:t xml:space="preserve">Những lưu ý về Chứng thư thẩm định giá:</w:t>
      </w:r>
      <w:r w:rsidDel="00000000" w:rsidR="00000000" w:rsidRPr="00000000">
        <w:rPr>
          <w:rtl w:val="0"/>
        </w:rPr>
      </w:r>
    </w:p>
    <w:p w:rsidR="00000000" w:rsidDel="00000000" w:rsidP="00000000" w:rsidRDefault="00000000" w:rsidRPr="00000000" w14:paraId="00000041">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Khách hàng có trách nhiệm sử dụng Chứng thư thẩm định giá đúng quy định của Pháp luật.</w:t>
      </w:r>
      <w:r w:rsidDel="00000000" w:rsidR="00000000" w:rsidRPr="00000000">
        <w:rPr>
          <w:rtl w:val="0"/>
        </w:rPr>
      </w:r>
    </w:p>
    <w:p w:rsidR="00000000" w:rsidDel="00000000" w:rsidP="00000000" w:rsidRDefault="00000000" w:rsidRPr="00000000" w14:paraId="00000042">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Chứng thư thẩm định giá được phát hành 03 (ba) bản chính bằng tiếng Việt, Công ty Cổ phần Tư vấn quy hoạch và Thẩm định giá SBA giữ 01 (một) bản, Khách hàng thẩm định giá giữ 02 (hai) bản, có giá trị như nhau. </w:t>
      </w:r>
      <w:r w:rsidDel="00000000" w:rsidR="00000000" w:rsidRPr="00000000">
        <w:rPr>
          <w:rtl w:val="0"/>
        </w:rPr>
      </w:r>
    </w:p>
    <w:p w:rsidR="00000000" w:rsidDel="00000000" w:rsidP="00000000" w:rsidRDefault="00000000" w:rsidRPr="00000000" w14:paraId="00000043">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Chứng thư thẩm định giá thuộc quyền sở hữu trí tuệ của Công ty Cổ phần Tư vấn quy hoạch và Thẩm định giá SBA (SBA) và không được sao chép, bán, xuất bản hoặc phân phát dưới bất kỳ hình thức nào khi không có sự đồng ý trước bằng văn bản của SBA. SBA chỉ chịu trách nhiệm về số lượng văn bản (bản chính và bản sao) do Công ty phát hành. Mọi hình thức sao chép Chứng thư thẩm định giá không có sự đồng ý bằng văn bản của Công ty Cổ phần Tư vấn quy hoạch và Thẩm định giá SBA đều là hành vi vi phạm pháp luật và không có giá trị.</w:t>
      </w:r>
      <w:r w:rsidDel="00000000" w:rsidR="00000000" w:rsidRPr="00000000">
        <w:rPr>
          <w:rtl w:val="0"/>
        </w:rPr>
      </w:r>
    </w:p>
    <w:tbl>
      <w:tblPr>
        <w:tblStyle w:val="Table3"/>
        <w:tblW w:w="8910.0" w:type="dxa"/>
        <w:jc w:val="left"/>
        <w:tblInd w:w="37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20"/>
        <w:gridCol w:w="2340"/>
        <w:gridCol w:w="3150"/>
        <w:tblGridChange w:id="0">
          <w:tblGrid>
            <w:gridCol w:w="3420"/>
            <w:gridCol w:w="2340"/>
            <w:gridCol w:w="3150"/>
          </w:tblGrid>
        </w:tblGridChange>
      </w:tblGrid>
      <w:tr>
        <w:trPr>
          <w:cantSplit w:val="0"/>
          <w:trHeight w:val="403" w:hRule="atLeast"/>
          <w:tblHeader w:val="0"/>
        </w:trPr>
        <w:tc>
          <w:tcPr>
            <w:gridSpan w:val="3"/>
          </w:tcPr>
          <w:p w:rsidR="00000000" w:rsidDel="00000000" w:rsidP="00000000" w:rsidRDefault="00000000" w:rsidRPr="00000000" w14:paraId="00000044">
            <w:pPr>
              <w:spacing w:after="240" w:line="360" w:lineRule="auto"/>
              <w:rPr>
                <w:rFonts w:ascii="Cambria" w:cs="Cambria" w:eastAsia="Cambria" w:hAnsi="Cambria"/>
                <w:b w:val="1"/>
              </w:rPr>
            </w:pPr>
            <w:r w:rsidDel="00000000" w:rsidR="00000000" w:rsidRPr="00000000">
              <w:rPr>
                <w:rFonts w:ascii="Cambria" w:cs="Cambria" w:eastAsia="Cambria" w:hAnsi="Cambria"/>
                <w:b w:val="1"/>
                <w:rtl w:val="0"/>
              </w:rPr>
              <w:t xml:space="preserve">CÔNG TY CỔ PHẦN TƯ VẤN QUY HOẠCH VÀ THẨM ĐỊNH GIÁ SBA</w:t>
            </w:r>
          </w:p>
        </w:tc>
      </w:tr>
      <w:tr>
        <w:trPr>
          <w:cantSplit w:val="0"/>
          <w:trHeight w:val="1534" w:hRule="atLeast"/>
          <w:tblHeader w:val="0"/>
        </w:trPr>
        <w:tc>
          <w:tcPr>
            <w:vAlign w:val="bottom"/>
          </w:tcPr>
          <w:p w:rsidR="00000000" w:rsidDel="00000000" w:rsidP="00000000" w:rsidRDefault="00000000" w:rsidRPr="00000000" w14:paraId="00000047">
            <w:pPr>
              <w:spacing w:line="360" w:lineRule="auto"/>
              <w:ind w:right="108"/>
              <w:jc w:val="center"/>
              <w:rPr>
                <w:rFonts w:ascii="Cambria" w:cs="Cambria" w:eastAsia="Cambria" w:hAnsi="Cambria"/>
                <w:b w:val="1"/>
              </w:rPr>
            </w:pPr>
            <w:r w:rsidDel="00000000" w:rsidR="00000000" w:rsidRPr="00000000">
              <w:rPr>
                <w:rtl w:val="0"/>
              </w:rPr>
            </w:r>
          </w:p>
        </w:tc>
        <w:tc>
          <w:tcPr>
            <w:vAlign w:val="center"/>
          </w:tcPr>
          <w:p w:rsidR="00000000" w:rsidDel="00000000" w:rsidP="00000000" w:rsidRDefault="00000000" w:rsidRPr="00000000" w14:paraId="00000048">
            <w:pPr>
              <w:spacing w:line="360" w:lineRule="auto"/>
              <w:jc w:val="center"/>
              <w:rPr>
                <w:rFonts w:ascii="Cambria" w:cs="Cambria" w:eastAsia="Cambria" w:hAnsi="Cambria"/>
                <w:b w:val="1"/>
              </w:rPr>
            </w:pPr>
            <w:r w:rsidDel="00000000" w:rsidR="00000000" w:rsidRPr="00000000">
              <w:rPr>
                <w:rtl w:val="0"/>
              </w:rPr>
            </w:r>
          </w:p>
        </w:tc>
        <w:tc>
          <w:tcPr>
            <w:vAlign w:val="bottom"/>
          </w:tcPr>
          <w:p w:rsidR="00000000" w:rsidDel="00000000" w:rsidP="00000000" w:rsidRDefault="00000000" w:rsidRPr="00000000" w14:paraId="00000049">
            <w:pPr>
              <w:spacing w:line="360" w:lineRule="auto"/>
              <w:jc w:val="center"/>
              <w:rPr>
                <w:rFonts w:ascii="Cambria" w:cs="Cambria" w:eastAsia="Cambria" w:hAnsi="Cambria"/>
                <w:b w:val="1"/>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04A">
            <w:pPr>
              <w:spacing w:after="0" w:line="306.99999999999994" w:lineRule="auto"/>
              <w:ind w:right="-108"/>
              <w:rPr>
                <w:rFonts w:ascii="Cambria" w:cs="Cambria" w:eastAsia="Cambria" w:hAnsi="Cambria"/>
                <w:b w:val="1"/>
              </w:rPr>
            </w:pPr>
            <w:r w:rsidDel="00000000" w:rsidR="00000000" w:rsidRPr="00000000">
              <w:rPr>
                <w:rFonts w:ascii="Cambria" w:cs="Cambria" w:eastAsia="Cambria" w:hAnsi="Cambria"/>
                <w:b w:val="1"/>
                <w:rtl w:val="0"/>
              </w:rPr>
              <w:t xml:space="preserve">MAI THỊ HOÀ</w:t>
            </w:r>
          </w:p>
          <w:p w:rsidR="00000000" w:rsidDel="00000000" w:rsidP="00000000" w:rsidRDefault="00000000" w:rsidRPr="00000000" w14:paraId="0000004B">
            <w:pPr>
              <w:spacing w:after="0" w:line="306.99999999999994" w:lineRule="auto"/>
              <w:ind w:right="-108"/>
              <w:rPr/>
            </w:pPr>
            <w:r w:rsidDel="00000000" w:rsidR="00000000" w:rsidRPr="00000000">
              <w:rPr>
                <w:rFonts w:ascii="Cambria" w:cs="Cambria" w:eastAsia="Cambria" w:hAnsi="Cambria"/>
                <w:rtl w:val="0"/>
              </w:rPr>
              <w:t xml:space="preserve">Số thẻ TĐV về giá:</w:t>
            </w:r>
            <w:r w:rsidDel="00000000" w:rsidR="00000000" w:rsidRPr="00000000">
              <w:rPr>
                <w:rtl w:val="0"/>
              </w:rPr>
              <w:t xml:space="preserve"> XIV19.2176</w:t>
            </w:r>
          </w:p>
          <w:p w:rsidR="00000000" w:rsidDel="00000000" w:rsidP="00000000" w:rsidRDefault="00000000" w:rsidRPr="00000000" w14:paraId="0000004C">
            <w:pPr>
              <w:spacing w:line="360" w:lineRule="auto"/>
              <w:ind w:right="-108"/>
              <w:rPr>
                <w:rFonts w:ascii="Cambria" w:cs="Cambria" w:eastAsia="Cambria" w:hAnsi="Cambria"/>
                <w:b w:val="1"/>
              </w:rPr>
            </w:pPr>
            <w:r w:rsidDel="00000000" w:rsidR="00000000" w:rsidRPr="00000000">
              <w:rPr>
                <w:rFonts w:ascii="Cambria" w:cs="Cambria" w:eastAsia="Cambria" w:hAnsi="Cambria"/>
                <w:b w:val="1"/>
                <w:rtl w:val="0"/>
              </w:rPr>
              <w:t xml:space="preserve">Thẩm định viên về giá</w:t>
            </w:r>
          </w:p>
        </w:tc>
        <w:tc>
          <w:tcPr/>
          <w:p w:rsidR="00000000" w:rsidDel="00000000" w:rsidP="00000000" w:rsidRDefault="00000000" w:rsidRPr="00000000" w14:paraId="0000004D">
            <w:pPr>
              <w:spacing w:line="360" w:lineRule="auto"/>
              <w:jc w:val="center"/>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4E">
            <w:pPr>
              <w:spacing w:line="360" w:lineRule="auto"/>
              <w:ind w:right="-108"/>
              <w:rPr>
                <w:rFonts w:ascii="Cambria" w:cs="Cambria" w:eastAsia="Cambria" w:hAnsi="Cambria"/>
                <w:b w:val="1"/>
              </w:rPr>
            </w:pPr>
            <w:r w:rsidDel="00000000" w:rsidR="00000000" w:rsidRPr="00000000">
              <w:rPr>
                <w:rFonts w:ascii="Cambria" w:cs="Cambria" w:eastAsia="Cambria" w:hAnsi="Cambria"/>
                <w:b w:val="1"/>
                <w:rtl w:val="0"/>
              </w:rPr>
              <w:t xml:space="preserve">PHẠM VŨ MINH PHÚC</w:t>
            </w:r>
          </w:p>
          <w:p w:rsidR="00000000" w:rsidDel="00000000" w:rsidP="00000000" w:rsidRDefault="00000000" w:rsidRPr="00000000" w14:paraId="0000004F">
            <w:pPr>
              <w:spacing w:line="360" w:lineRule="auto"/>
              <w:ind w:right="-108"/>
              <w:rPr>
                <w:rFonts w:ascii="Cambria" w:cs="Cambria" w:eastAsia="Cambria" w:hAnsi="Cambria"/>
              </w:rPr>
            </w:pPr>
            <w:r w:rsidDel="00000000" w:rsidR="00000000" w:rsidRPr="00000000">
              <w:rPr>
                <w:rFonts w:ascii="Cambria" w:cs="Cambria" w:eastAsia="Cambria" w:hAnsi="Cambria"/>
                <w:rtl w:val="0"/>
              </w:rPr>
              <w:t xml:space="preserve">Số thẻ TĐV về giá: XI16.1574</w:t>
            </w:r>
          </w:p>
          <w:p w:rsidR="00000000" w:rsidDel="00000000" w:rsidP="00000000" w:rsidRDefault="00000000" w:rsidRPr="00000000" w14:paraId="00000050">
            <w:pPr>
              <w:spacing w:line="360" w:lineRule="auto"/>
              <w:ind w:right="-108"/>
              <w:rPr>
                <w:rFonts w:ascii="Cambria" w:cs="Cambria" w:eastAsia="Cambria" w:hAnsi="Cambria"/>
                <w:b w:val="1"/>
              </w:rPr>
            </w:pPr>
            <w:r w:rsidDel="00000000" w:rsidR="00000000" w:rsidRPr="00000000">
              <w:rPr>
                <w:rFonts w:ascii="Cambria" w:cs="Cambria" w:eastAsia="Cambria" w:hAnsi="Cambria"/>
                <w:b w:val="1"/>
                <w:rtl w:val="0"/>
              </w:rPr>
              <w:t xml:space="preserve">Tổng Giám đốc</w:t>
            </w:r>
          </w:p>
        </w:tc>
      </w:tr>
    </w:tbl>
    <w:p w:rsidR="00000000" w:rsidDel="00000000" w:rsidP="00000000" w:rsidRDefault="00000000" w:rsidRPr="00000000" w14:paraId="00000051">
      <w:pPr>
        <w:spacing w:after="200" w:line="360" w:lineRule="auto"/>
        <w:rPr>
          <w:rFonts w:ascii="Cambria" w:cs="Cambria" w:eastAsia="Cambria" w:hAnsi="Cambria"/>
          <w:b w:val="1"/>
          <w:sz w:val="60"/>
          <w:szCs w:val="60"/>
        </w:rPr>
      </w:pPr>
      <w:r w:rsidDel="00000000" w:rsidR="00000000" w:rsidRPr="00000000">
        <w:rPr>
          <w:rFonts w:ascii="Cambria" w:cs="Cambria" w:eastAsia="Cambria" w:hAnsi="Cambria"/>
          <w:b w:val="1"/>
          <w:sz w:val="60"/>
          <w:szCs w:val="60"/>
          <w:rtl w:val="0"/>
        </w:rPr>
        <w:t xml:space="preserve"> </w:t>
      </w:r>
    </w:p>
    <w:sectPr>
      <w:footerReference r:id="rId6" w:type="default"/>
      <w:pgSz w:h="16838" w:w="11906" w:orient="portrait"/>
      <w:pgMar w:bottom="567" w:top="2694" w:left="1440" w:right="991" w:header="426" w:footer="3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396" w:hanging="360"/>
      </w:pPr>
      <w:rPr>
        <w:rFonts w:ascii="Times New Roman" w:cs="Times New Roman" w:eastAsia="Times New Roman" w:hAnsi="Times New Roman"/>
        <w:b w:val="1"/>
        <w:i w:val="0"/>
        <w:color w:val="000000"/>
        <w:shd w:fill="auto" w:val="clear"/>
      </w:rPr>
    </w:lvl>
    <w:lvl w:ilvl="1">
      <w:start w:val="1"/>
      <w:numFmt w:val="decimal"/>
      <w:lvlText w:val="%1.%2."/>
      <w:lvlJc w:val="left"/>
      <w:pPr>
        <w:ind w:left="756" w:hanging="720"/>
      </w:pPr>
      <w:rPr/>
    </w:lvl>
    <w:lvl w:ilvl="2">
      <w:start w:val="1"/>
      <w:numFmt w:val="decimal"/>
      <w:lvlText w:val="%1.%2.%3."/>
      <w:lvlJc w:val="left"/>
      <w:pPr>
        <w:ind w:left="756" w:hanging="720"/>
      </w:pPr>
      <w:rPr/>
    </w:lvl>
    <w:lvl w:ilvl="3">
      <w:start w:val="1"/>
      <w:numFmt w:val="decimal"/>
      <w:lvlText w:val="%1.%2.%3.%4."/>
      <w:lvlJc w:val="left"/>
      <w:pPr>
        <w:ind w:left="1116" w:hanging="1080"/>
      </w:pPr>
      <w:rPr/>
    </w:lvl>
    <w:lvl w:ilvl="4">
      <w:start w:val="1"/>
      <w:numFmt w:val="decimal"/>
      <w:lvlText w:val="%1.%2.%3.%4.%5."/>
      <w:lvlJc w:val="left"/>
      <w:pPr>
        <w:ind w:left="1116" w:hanging="1080"/>
      </w:pPr>
      <w:rPr/>
    </w:lvl>
    <w:lvl w:ilvl="5">
      <w:start w:val="1"/>
      <w:numFmt w:val="decimal"/>
      <w:lvlText w:val="%1.%2.%3.%4.%5.%6."/>
      <w:lvlJc w:val="left"/>
      <w:pPr>
        <w:ind w:left="1476" w:hanging="1440"/>
      </w:pPr>
      <w:rPr/>
    </w:lvl>
    <w:lvl w:ilvl="6">
      <w:start w:val="1"/>
      <w:numFmt w:val="decimal"/>
      <w:lvlText w:val="%1.%2.%3.%4.%5.%6.%7."/>
      <w:lvlJc w:val="left"/>
      <w:pPr>
        <w:ind w:left="1476" w:hanging="1440"/>
      </w:pPr>
      <w:rPr/>
    </w:lvl>
    <w:lvl w:ilvl="7">
      <w:start w:val="1"/>
      <w:numFmt w:val="decimal"/>
      <w:lvlText w:val="%1.%2.%3.%4.%5.%6.%7.%8."/>
      <w:lvlJc w:val="left"/>
      <w:pPr>
        <w:ind w:left="1836" w:hanging="1800"/>
      </w:pPr>
      <w:rPr/>
    </w:lvl>
    <w:lvl w:ilvl="8">
      <w:start w:val="1"/>
      <w:numFmt w:val="decimal"/>
      <w:lvlText w:val="%1.%2.%3.%4.%5.%6.%7.%8.%9."/>
      <w:lvlJc w:val="left"/>
      <w:pPr>
        <w:ind w:left="1836"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200" w:lineRule="auto"/>
      <w:ind w:left="2420"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0"/>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