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00"/>
        <w:jc w:val="center"/>
      </w:pPr>
      <w:r>
        <w:rPr>
          <w:rFonts w:ascii="Times New Roman" w:hAnsi="Times New Roman"/>
          <w:b/>
          <w:i w:val="0"/>
          <w:color w:val="000000"/>
          <w:sz w:val="32"/>
        </w:rPr>
        <w:t>ESTUDO DE VIABILIDADE TÉCNICA, ECONÔMICA E DE IMPLEMENTAÇÃO</w:t>
      </w:r>
    </w:p>
    <w:p>
      <w:pPr>
        <w:spacing w:before="120" w:after="80"/>
        <w:jc w:val="center"/>
      </w:pPr>
      <w:r>
        <w:rPr>
          <w:rFonts w:ascii="Times New Roman" w:hAnsi="Times New Roman"/>
          <w:b w:val="0"/>
          <w:i w:val="0"/>
          <w:color w:val="000000"/>
          <w:sz w:val="26"/>
        </w:rPr>
        <w:t>ESTAS — Estação Setorizada de Tratamento de Águas Supercontaminadas</w:t>
      </w:r>
    </w:p>
    <w:p>
      <w:pPr>
        <w:spacing w:after="120"/>
        <w:ind w:firstLine="709"/>
      </w:pPr>
      <w:r>
        <w:rPr>
          <w:rFonts w:ascii="Times New Roman" w:hAnsi="Times New Roman"/>
          <w:b w:val="0"/>
          <w:i w:val="0"/>
          <w:color w:val="000000"/>
        </w:rPr>
        <w:t>Equipe SobraQuark — Arthur de Oliveira Pontes, Estevão Silva Tomasello, Isabella de Andrade Leôncio, Lara de Souza Soares Santos, Maria Elisa Miranda de Carvalho e Vítor Machado Neves</w:t>
      </w:r>
    </w:p>
    <w:p>
      <w:pPr>
        <w:spacing w:after="120"/>
        <w:ind w:firstLine="709"/>
      </w:pPr>
      <w:r>
        <w:rPr>
          <w:rFonts w:ascii="Times New Roman" w:hAnsi="Times New Roman"/>
          <w:b w:val="0"/>
          <w:i w:val="0"/>
          <w:color w:val="000000"/>
        </w:rPr>
        <w:t>Colégio La Salle Sobradinho — Desafio Tech La Salle 2026</w:t>
      </w:r>
    </w:p>
    <w:p>
      <w:pPr>
        <w:spacing w:after="120"/>
        <w:ind w:firstLine="709"/>
      </w:pPr>
      <w:r>
        <w:rPr>
          <w:rFonts w:ascii="Times New Roman" w:hAnsi="Times New Roman"/>
          <w:b w:val="0"/>
          <w:i w:val="0"/>
          <w:color w:val="000000"/>
        </w:rPr>
        <w:t>Sobradinho — DF, 2026</w:t>
      </w:r>
    </w:p>
    <w:p/>
    <w:p>
      <w:pPr>
        <w:spacing w:before="480" w:after="240"/>
        <w:jc w:val="center"/>
      </w:pPr>
      <w:r>
        <w:rPr>
          <w:rFonts w:ascii="Times New Roman" w:hAnsi="Times New Roman"/>
          <w:b/>
          <w:i w:val="0"/>
          <w:color w:val="000000"/>
          <w:sz w:val="26"/>
        </w:rPr>
        <w:t>RESUMO</w:t>
      </w:r>
    </w:p>
    <w:p>
      <w:pPr>
        <w:spacing w:after="120"/>
        <w:ind w:firstLine="709"/>
      </w:pPr>
      <w:r>
        <w:rPr>
          <w:rFonts w:ascii="Times New Roman" w:hAnsi="Times New Roman"/>
          <w:b w:val="0"/>
          <w:i w:val="0"/>
          <w:color w:val="000000"/>
        </w:rPr>
        <w:t>Este documento avalia a viabilidade técnica, econômica e institucional da implantação real da ESTAS (Estação Setorizada de Tratamento de Águas Supercontaminadas), unidade modular concebida para tratar água impossibilitada de ser processada por Estações de Tratamento de Água (ETA) convencionais após desastres ambientais — enchentes com contaminação por esgoto e rompimentos de barragem de rejeito de mineração. Apresenta-se o memorial de cálculo hidráulico das sete etapas de tratamento (filtração física e separação magnética, biossorção por biossurfactantes, desgaseificação em cascata, desinfecção fotônica UV-C, remineralização, monitoramento e armazenamento), com dimensionamento de volume pela relação V = Q × t para três cenários de vazão e contaminação de entrada, ancorados em registros reais de desastres brasileiros. Estima-se o investimento (CAPEX), o custo operacional (OPEX) e o custo por metro cúbico tratado, comparando-o à referência de uma ETA convencional. Por fim, discute-se o caminho institucional e legal pelo qual o poder público brasileiro poderia adotar, financiar e operar unidades como a ESTAS em resposta a calamidades, incluindo o marco legal aplicável e os órgãos competentes. Os valores de custo e eficiência apresentados são estimativas de ordem de grandeza, elaboradas para fins didáticos e de prospecção — não substituem ensaio de bancada, projeto executivo de engenharia nem licenciamento ambiental.</w:t>
      </w:r>
    </w:p>
    <w:p>
      <w:pPr>
        <w:spacing w:after="120"/>
        <w:ind w:firstLine="709"/>
      </w:pPr>
      <w:r>
        <w:rPr>
          <w:rFonts w:ascii="Times New Roman" w:hAnsi="Times New Roman"/>
          <w:b/>
          <w:i w:val="0"/>
          <w:color w:val="000000"/>
        </w:rPr>
        <w:t>Palavras-chave:</w:t>
      </w:r>
      <w:r>
        <w:rPr>
          <w:rFonts w:ascii="Times New Roman" w:hAnsi="Times New Roman"/>
          <w:b w:val="0"/>
          <w:i w:val="0"/>
          <w:color w:val="000000"/>
        </w:rPr>
        <w:t xml:space="preserve"> saneamento básico; tratamento de água; desastres ambientais; viabilidade técnico-econômica; ODS 6; política pública; defesa civil.</w:t>
      </w:r>
    </w:p>
    <w:p/>
    <w:p>
      <w:pPr>
        <w:spacing w:before="120" w:after="80"/>
        <w:jc w:val="center"/>
      </w:pPr>
      <w:r>
        <w:rPr>
          <w:rFonts w:ascii="Times New Roman" w:hAnsi="Times New Roman"/>
          <w:b w:val="0"/>
          <w:i w:val="0"/>
          <w:color w:val="000000"/>
          <w:sz w:val="26"/>
        </w:rPr>
        <w:t>1 INTRODUÇÃO</w:t>
      </w:r>
    </w:p>
    <w:p>
      <w:pPr>
        <w:spacing w:after="120"/>
        <w:ind w:firstLine="709"/>
      </w:pPr>
      <w:r>
        <w:rPr>
          <w:rFonts w:ascii="Times New Roman" w:hAnsi="Times New Roman"/>
          <w:b w:val="0"/>
          <w:i w:val="0"/>
          <w:color w:val="000000"/>
        </w:rPr>
        <w:t>O saneamento básico brasileiro convive com um déficit estrutural: em 2022, cerca de 35 milhões de pessoas não tinham acesso à água tratada e aproximadamente 100 milhões não contavam com coleta de esgoto (AGÊNCIA SENADO, 2022). Esse déficit se agrava de forma aguda quando desastres ambientais — enchentes, deslizamentos, rompimentos de barragem — destroem ou saturam a infraestrutura sanitária existente. Nesses cenários, o volume de água contaminada supera em muitas ordens de grandeza a capacidade das Estações de Tratamento de Água (ETA) convencionais, cujos processos físicos e químicos padrão (floculação, decantação, filtração, cloração) não foram dimensionados para tratar água com a carga de sedimento, patógenos e metais pesados típica de um evento de calamidade (AQUAMEC, 2019).</w:t>
      </w:r>
    </w:p>
    <w:p>
      <w:pPr>
        <w:spacing w:after="120"/>
        <w:ind w:firstLine="709"/>
      </w:pPr>
      <w:r>
        <w:rPr>
          <w:rFonts w:ascii="Times New Roman" w:hAnsi="Times New Roman"/>
          <w:b w:val="0"/>
          <w:i w:val="0"/>
          <w:color w:val="000000"/>
        </w:rPr>
        <w:t xml:space="preserve">A ESTAS foi concebida como resposta técnica a essa lacuna: uma unidade modular, setorizada em sete etapas sequenciais, capaz de ser instalada em terraços sobre uma encosta e de operar com água bruta muito mais contaminada do que uma ETA convencional tolera. O presente estudo avança sobre o projeto de pesquisa original ao tratar explicitamente da </w:t>
      </w:r>
      <w:r>
        <w:rPr>
          <w:rFonts w:ascii="Times New Roman" w:hAnsi="Times New Roman"/>
          <w:b/>
          <w:i w:val="0"/>
          <w:color w:val="000000"/>
        </w:rPr>
        <w:t>viabilidade de construção real</w:t>
      </w:r>
      <w:r>
        <w:rPr>
          <w:rFonts w:ascii="Times New Roman" w:hAnsi="Times New Roman"/>
          <w:b w:val="0"/>
          <w:i w:val="0"/>
          <w:color w:val="000000"/>
        </w:rPr>
        <w:t xml:space="preserve"> da estação: como cada etapa seria dimensionada hidraulicamente, quanto custaria implantá-la e operá-la, e por qual caminho institucional o poder público brasileiro poderia efetivamente adotá-la.</w:t>
      </w:r>
    </w:p>
    <w:p>
      <w:pPr>
        <w:spacing w:before="120" w:after="80"/>
        <w:jc w:val="center"/>
      </w:pPr>
      <w:r>
        <w:rPr>
          <w:rFonts w:ascii="Times New Roman" w:hAnsi="Times New Roman"/>
          <w:b w:val="0"/>
          <w:i w:val="0"/>
          <w:color w:val="000000"/>
          <w:sz w:val="26"/>
        </w:rPr>
        <w:t>2 OBJETIVO DO ESTUDO</w:t>
      </w:r>
    </w:p>
    <w:p>
      <w:pPr>
        <w:spacing w:after="120"/>
        <w:ind w:firstLine="709"/>
      </w:pPr>
      <w:r>
        <w:rPr>
          <w:rFonts w:ascii="Times New Roman" w:hAnsi="Times New Roman"/>
          <w:b w:val="0"/>
          <w:i w:val="0"/>
          <w:color w:val="000000"/>
        </w:rPr>
        <w:t>Avaliar a viabilidade de implantação da ESTAS como infraestrutura real de resposta a desastres, por meio de:</w:t>
      </w:r>
    </w:p>
    <w:p>
      <w:pPr>
        <w:spacing w:after="120"/>
        <w:ind w:firstLine="709"/>
      </w:pPr>
      <w:r>
        <w:rPr>
          <w:rFonts w:ascii="Times New Roman" w:hAnsi="Times New Roman"/>
          <w:b w:val="0"/>
          <w:i w:val="0"/>
          <w:color w:val="000000"/>
        </w:rPr>
        <w:t>a) memorial de cálculo hidráulico do dimensionamento de cada etapa de tratamento, para três cenários de vazão e contaminação de entrada;</w:t>
      </w:r>
    </w:p>
    <w:p>
      <w:pPr>
        <w:spacing w:after="120"/>
        <w:ind w:firstLine="709"/>
      </w:pPr>
      <w:r>
        <w:rPr>
          <w:rFonts w:ascii="Times New Roman" w:hAnsi="Times New Roman"/>
          <w:b w:val="0"/>
          <w:i w:val="0"/>
          <w:color w:val="000000"/>
        </w:rPr>
        <w:t>b) estimativa de investimento (CAPEX) e custo operacional (OPEX), com custo por metro cúbico tratado comparado à referência de uma ETA convencional;</w:t>
      </w:r>
    </w:p>
    <w:p>
      <w:pPr>
        <w:spacing w:after="120"/>
        <w:ind w:firstLine="709"/>
      </w:pPr>
      <w:r>
        <w:rPr>
          <w:rFonts w:ascii="Times New Roman" w:hAnsi="Times New Roman"/>
          <w:b w:val="0"/>
          <w:i w:val="0"/>
          <w:color w:val="000000"/>
        </w:rPr>
        <w:t>c) proposta de caminho institucional, legal e de financiamento pelo qual o poder público brasileiro poderia adotar unidades como a ESTAS.</w:t>
      </w:r>
    </w:p>
    <w:p>
      <w:pPr>
        <w:spacing w:before="120" w:after="80"/>
        <w:jc w:val="center"/>
      </w:pPr>
      <w:r>
        <w:rPr>
          <w:rFonts w:ascii="Times New Roman" w:hAnsi="Times New Roman"/>
          <w:b w:val="0"/>
          <w:i w:val="0"/>
          <w:color w:val="000000"/>
          <w:sz w:val="26"/>
        </w:rPr>
        <w:t>3 DESCRIÇÃO TÉCNICA DAS ETAPAS DE TRATAMENTO</w:t>
      </w:r>
    </w:p>
    <w:p>
      <w:pPr>
        <w:spacing w:after="120"/>
        <w:ind w:firstLine="709"/>
      </w:pPr>
      <w:r>
        <w:rPr>
          <w:rFonts w:ascii="Times New Roman" w:hAnsi="Times New Roman"/>
          <w:b w:val="0"/>
          <w:i w:val="0"/>
          <w:color w:val="000000"/>
        </w:rPr>
        <w:t>A água bruta é captada por gravidade e conduzida sequencialmente pelas sete etapas descritas a seguir. Cada etapa é modelada como um módulo independente, com equipamento, mecanismo de remoção e tempo de retenção próprios — o que permite que uma etapa seja reforçada (mais tempo de contato, mais unidades em paralelo) sem redesenhar a estação inteira.</w:t>
      </w:r>
    </w:p>
    <w:p>
      <w:pPr>
        <w:keepNext/>
        <w:spacing w:before="280" w:after="120"/>
      </w:pPr>
      <w:r>
        <w:rPr>
          <w:rFonts w:ascii="Times New Roman" w:hAnsi="Times New Roman"/>
          <w:b/>
          <w:i w:val="0"/>
          <w:color w:val="000000"/>
          <w:sz w:val="24"/>
        </w:rPr>
        <w:t>3.1 Etapa I — Filtração física e separação magnética</w:t>
      </w:r>
    </w:p>
    <w:p>
      <w:pPr>
        <w:spacing w:after="120"/>
        <w:ind w:firstLine="709"/>
      </w:pPr>
      <w:r>
        <w:rPr>
          <w:rFonts w:ascii="Times New Roman" w:hAnsi="Times New Roman"/>
          <w:b w:val="0"/>
          <w:i w:val="0"/>
          <w:color w:val="000000"/>
        </w:rPr>
        <w:t>A água atravessa grades metálicas, peneiras de granulometria decrescente e um leito filtrante de brita, areia quartzosa e antracito, seguido de um canal com eletroímãs de alta intensidade. O mecanismo é de barreira física (retenção por tamanho de partícula) e de atração magnética de partículas metálicas magnetizáveis — não remove metais dissolvidos, apenas a fração sólida e particulada. Tempo de retenção de projeto: 5 minutos.</w:t>
      </w:r>
    </w:p>
    <w:p>
      <w:pPr>
        <w:keepNext/>
        <w:spacing w:before="280" w:after="120"/>
      </w:pPr>
      <w:r>
        <w:rPr>
          <w:rFonts w:ascii="Times New Roman" w:hAnsi="Times New Roman"/>
          <w:b/>
          <w:i w:val="0"/>
          <w:color w:val="000000"/>
          <w:sz w:val="24"/>
        </w:rPr>
        <w:t>3.2 Etapa II — Reatores de biossurfactantes e biossorção</w:t>
      </w:r>
    </w:p>
    <w:p>
      <w:pPr>
        <w:spacing w:after="120"/>
        <w:ind w:firstLine="709"/>
      </w:pPr>
      <w:r>
        <w:rPr>
          <w:rFonts w:ascii="Times New Roman" w:hAnsi="Times New Roman"/>
          <w:b w:val="0"/>
          <w:i w:val="0"/>
          <w:color w:val="000000"/>
        </w:rPr>
        <w:t>Tanques de reação dosam biossurfactantes sob agitação lenta; o efluente segue para painéis de biossorção que retêm os complexos metal-biossurfactante formados. Biossurfactantes são moléculas anfipáticas que complexam íons de metais pesados dissolvidos (NITSCHKE; PASTORE, 2002); a remoção depende do tempo de contato — cerca de 30 minutos, valor de referência adotado neste memorial — e da capacidade ainda livre nos painéis de biossorção. Tempo de retenção de projeto: 30 minutos.</w:t>
      </w:r>
    </w:p>
    <w:p>
      <w:pPr>
        <w:keepNext/>
        <w:spacing w:before="280" w:after="120"/>
      </w:pPr>
      <w:r>
        <w:rPr>
          <w:rFonts w:ascii="Times New Roman" w:hAnsi="Times New Roman"/>
          <w:b/>
          <w:i w:val="0"/>
          <w:color w:val="000000"/>
          <w:sz w:val="24"/>
        </w:rPr>
        <w:t>3.3 Etapa III — Torres de desgaseificação em cascata</w:t>
      </w:r>
    </w:p>
    <w:p>
      <w:pPr>
        <w:spacing w:after="120"/>
        <w:ind w:firstLine="709"/>
      </w:pPr>
      <w:r>
        <w:rPr>
          <w:rFonts w:ascii="Times New Roman" w:hAnsi="Times New Roman"/>
          <w:b w:val="0"/>
          <w:i w:val="0"/>
          <w:color w:val="000000"/>
        </w:rPr>
        <w:t>O efluente escoa por sucessivos desníveis, ampliando a interface água-atmosfera para liberar gases dissolvidos (CO₂, H₂S), captados por um sistema de exaustão filtrado. Quanto maior a superfície de contato exposta, maior a fração de gás que escapa para a fase gasosa; o pH tende a subir levemente com a saída do CO₂ dissolvido. Tempo de retenção de projeto: 3 minutos.</w:t>
      </w:r>
    </w:p>
    <w:p>
      <w:pPr>
        <w:keepNext/>
        <w:spacing w:before="280" w:after="120"/>
      </w:pPr>
      <w:r>
        <w:rPr>
          <w:rFonts w:ascii="Times New Roman" w:hAnsi="Times New Roman"/>
          <w:b/>
          <w:i w:val="0"/>
          <w:color w:val="000000"/>
          <w:sz w:val="24"/>
        </w:rPr>
        <w:t>3.4 Etapa IV — Desinfecção fotônica e polimento</w:t>
      </w:r>
    </w:p>
    <w:p>
      <w:pPr>
        <w:spacing w:after="120"/>
        <w:ind w:firstLine="709"/>
      </w:pPr>
      <w:r>
        <w:rPr>
          <w:rFonts w:ascii="Times New Roman" w:hAnsi="Times New Roman"/>
          <w:b w:val="0"/>
          <w:i w:val="0"/>
          <w:color w:val="000000"/>
        </w:rPr>
        <w:t xml:space="preserve">Câmaras fechadas com lâmpadas UV-C (200–280 nm) são seguidas de membranas cerâmicas revestidas de quitosana. A eficácia da desinfecção segue a relação </w:t>
      </w:r>
      <w:r>
        <w:rPr>
          <w:rFonts w:ascii="Times New Roman" w:hAnsi="Times New Roman"/>
          <w:b/>
          <w:i w:val="0"/>
          <w:color w:val="000000"/>
        </w:rPr>
        <w:t>Dose = Intensidade × Tempo de exposição</w:t>
      </w:r>
      <w:r>
        <w:rPr>
          <w:rFonts w:ascii="Times New Roman" w:hAnsi="Times New Roman"/>
          <w:b w:val="0"/>
          <w:i w:val="0"/>
          <w:color w:val="000000"/>
        </w:rPr>
        <w:t>, com dose mínima de 1,5 mJ/cm² exigida pela Portaria GM/MS nº 888/2021. Turbidez residual acima do VMP (5 uT) reduz a eficácia por obstruir a passagem da luz — por isso esta etapa depende da clarificação prévia nas Etapas I e II.</w:t>
      </w:r>
    </w:p>
    <w:p>
      <w:pPr>
        <w:keepNext/>
        <w:spacing w:before="280" w:after="120"/>
      </w:pPr>
      <w:r>
        <w:rPr>
          <w:rFonts w:ascii="Times New Roman" w:hAnsi="Times New Roman"/>
          <w:b/>
          <w:i w:val="0"/>
          <w:color w:val="000000"/>
          <w:sz w:val="24"/>
        </w:rPr>
        <w:t>3.5 Etapa V — Remineralização e estabilização físico-química</w:t>
      </w:r>
    </w:p>
    <w:p>
      <w:pPr>
        <w:spacing w:after="120"/>
        <w:ind w:firstLine="709"/>
      </w:pPr>
      <w:r>
        <w:rPr>
          <w:rFonts w:ascii="Times New Roman" w:hAnsi="Times New Roman"/>
          <w:b w:val="0"/>
          <w:i w:val="0"/>
          <w:color w:val="000000"/>
        </w:rPr>
        <w:t>Cartuchos de calcita e dolomita repõem cálcio, magnésio e outros sais essenciais, com referência de concentração de cálcio (10–150 mg/L), sódio (&lt; 30–50 mg/L) e magnésio (0–50 mg/L) conforme a Portaria GM/MS nº 888/2021. A água segue para um reservatório de estabilização. Tempo de retenção de projeto: 10 minutos.</w:t>
      </w:r>
    </w:p>
    <w:p>
      <w:pPr>
        <w:keepNext/>
        <w:spacing w:before="280" w:after="120"/>
      </w:pPr>
      <w:r>
        <w:rPr>
          <w:rFonts w:ascii="Times New Roman" w:hAnsi="Times New Roman"/>
          <w:b/>
          <w:i w:val="0"/>
          <w:color w:val="000000"/>
          <w:sz w:val="24"/>
        </w:rPr>
        <w:t>3.6 Etapa VI — Monitoramento e controle operacional</w:t>
      </w:r>
    </w:p>
    <w:p>
      <w:pPr>
        <w:spacing w:after="120"/>
        <w:ind w:firstLine="709"/>
      </w:pPr>
      <w:r>
        <w:rPr>
          <w:rFonts w:ascii="Times New Roman" w:hAnsi="Times New Roman"/>
          <w:b w:val="0"/>
          <w:i w:val="0"/>
          <w:color w:val="000000"/>
        </w:rPr>
        <w:t>Sensores de pH, turbidez, temperatura, condutividade, sólidos dissolvidos totais, vazão e nível, integrados a um controlador eletrônico, validam a conformidade da água com a Portaria GM/MS nº 888/2021 antes da liberação para o reservatório final. Não é uma etapa de remoção, e sim o ponto de checagem que autoriza (ou barra) a distribuição.</w:t>
      </w:r>
    </w:p>
    <w:p>
      <w:pPr>
        <w:keepNext/>
        <w:spacing w:before="280" w:after="120"/>
      </w:pPr>
      <w:r>
        <w:rPr>
          <w:rFonts w:ascii="Times New Roman" w:hAnsi="Times New Roman"/>
          <w:b/>
          <w:i w:val="0"/>
          <w:color w:val="000000"/>
          <w:sz w:val="24"/>
        </w:rPr>
        <w:t>3.7 Etapa VII — Armazenamento e distribuição</w:t>
      </w:r>
    </w:p>
    <w:p>
      <w:pPr>
        <w:spacing w:after="120"/>
        <w:ind w:firstLine="709"/>
      </w:pPr>
      <w:r>
        <w:rPr>
          <w:rFonts w:ascii="Times New Roman" w:hAnsi="Times New Roman"/>
          <w:b w:val="0"/>
          <w:i w:val="0"/>
          <w:color w:val="000000"/>
        </w:rPr>
        <w:t>Reservatório final de água potável, protegido contra contaminação externa, com tubulações, válvulas e saída para abastecimento comunitário. Dimensionado, neste memorial, para 2 horas de autonomia de abastecimento — premissa de projeto adotada para absorver picos de demanda sem interromper o fornecimento.</w:t>
      </w:r>
    </w:p>
    <w:p>
      <w:pPr>
        <w:spacing w:before="120" w:after="80"/>
        <w:jc w:val="center"/>
      </w:pPr>
      <w:r>
        <w:rPr>
          <w:rFonts w:ascii="Times New Roman" w:hAnsi="Times New Roman"/>
          <w:b w:val="0"/>
          <w:i w:val="0"/>
          <w:color w:val="000000"/>
          <w:sz w:val="26"/>
        </w:rPr>
        <w:t>4 MEMORIAL DE CÁLCULO HIDRÁULICO</w:t>
      </w:r>
    </w:p>
    <w:p>
      <w:pPr>
        <w:spacing w:after="120"/>
        <w:ind w:firstLine="709"/>
      </w:pPr>
      <w:r>
        <w:rPr>
          <w:rFonts w:ascii="Times New Roman" w:hAnsi="Times New Roman"/>
          <w:b w:val="0"/>
          <w:i w:val="0"/>
          <w:color w:val="000000"/>
        </w:rPr>
        <w:t>O dimensionamento de cada etapa segue a relação fundamental de projeto de tanques e câmaras de contato:</w:t>
      </w:r>
    </w:p>
    <w:p>
      <w:pPr>
        <w:spacing w:after="120"/>
        <w:ind w:firstLine="709"/>
      </w:pPr>
      <w:r>
        <w:rPr>
          <w:rFonts w:ascii="Times New Roman" w:hAnsi="Times New Roman"/>
          <w:b/>
          <w:i w:val="0"/>
          <w:color w:val="000000"/>
        </w:rPr>
        <w:t>V = Q × t</w:t>
      </w:r>
    </w:p>
    <w:p>
      <w:pPr>
        <w:spacing w:after="120"/>
        <w:ind w:firstLine="709"/>
      </w:pPr>
      <w:r>
        <w:rPr>
          <w:rFonts w:ascii="Times New Roman" w:hAnsi="Times New Roman"/>
          <w:b w:val="0"/>
          <w:i w:val="0"/>
          <w:color w:val="000000"/>
        </w:rPr>
        <w:t>onde V é o volume necessário (m³), Q é a vazão de projeto (L/s) e t é o tempo de retenção (min), convertido para as mesmas unidades. Para a Etapa IV (desinfecção UV-C), o tempo de exposição não é um parâmetro de tanque, mas resulta da relação:</w:t>
      </w:r>
    </w:p>
    <w:p>
      <w:pPr>
        <w:spacing w:after="120"/>
        <w:ind w:firstLine="709"/>
      </w:pPr>
      <w:r>
        <w:rPr>
          <w:rFonts w:ascii="Times New Roman" w:hAnsi="Times New Roman"/>
          <w:b/>
          <w:i w:val="0"/>
          <w:color w:val="000000"/>
        </w:rPr>
        <w:t>t = Dose / Intensidade</w:t>
      </w:r>
    </w:p>
    <w:p>
      <w:pPr>
        <w:spacing w:after="120"/>
        <w:ind w:firstLine="709"/>
      </w:pPr>
      <w:r>
        <w:rPr>
          <w:rFonts w:ascii="Times New Roman" w:hAnsi="Times New Roman"/>
          <w:b w:val="0"/>
          <w:i w:val="0"/>
          <w:color w:val="000000"/>
        </w:rPr>
        <w:t>Adotando a dose mínima normativa de 1,5 mJ/cm² e uma intensidade média de 8 mW/cm² para o banco de lâmpadas (premissa de projeto, compatível com sistemas comerciais de baixa pressão em arranjo multilâmpada), obtém-se um tempo de exposição de 0,1875 segundo (0,0031 minuto).</w:t>
      </w:r>
    </w:p>
    <w:p>
      <w:pPr>
        <w:spacing w:after="120"/>
        <w:ind w:firstLine="709"/>
      </w:pPr>
      <w:r>
        <w:rPr>
          <w:rFonts w:ascii="Times New Roman" w:hAnsi="Times New Roman"/>
          <w:b w:val="0"/>
          <w:i w:val="0"/>
          <w:color w:val="000000"/>
        </w:rPr>
        <w:t>A Tabela 1 apresenta o dimensionamento de volume e o custo civil estimado (obra + estrutura) para cada etapa, no cenário de enchente urbana (vazão de projeto de 18 L/s — o maior dos três cenários avaliados, adotado como referência de dimensionamento máximo).</w:t>
      </w:r>
    </w:p>
    <w:p>
      <w:pPr>
        <w:spacing w:after="120"/>
        <w:ind w:firstLine="709"/>
      </w:pPr>
      <w:r>
        <w:rPr>
          <w:rFonts w:ascii="Times New Roman" w:hAnsi="Times New Roman"/>
          <w:b/>
          <w:i w:val="0"/>
          <w:color w:val="000000"/>
        </w:rPr>
        <w:t>Tabela 1 — Volume e custo civil por etapa (cenário enchente urbana, Q = 18 L/s)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
              <w:rPr>
                <w:rFonts w:ascii="Times New Roman" w:hAnsi="Times New Roman"/>
                <w:b/>
                <w:i w:val="0"/>
                <w:color w:val="000000"/>
                <w:sz w:val="20"/>
              </w:rPr>
              <w:t>Etapa</w:t>
            </w:r>
          </w:p>
        </w:tc>
        <w:tc>
          <w:tcPr>
            <w:tcW w:type="dxa" w:w="1881"/>
          </w:tcPr>
          <w:p>
            <w:pPr>
              <w:spacing w:line="240" w:lineRule="auto"/>
            </w:pPr>
            <w:r/>
            <w:r>
              <w:rPr>
                <w:rFonts w:ascii="Times New Roman" w:hAnsi="Times New Roman"/>
                <w:b/>
                <w:i w:val="0"/>
                <w:color w:val="000000"/>
                <w:sz w:val="20"/>
              </w:rPr>
              <w:t>t (min)</w:t>
            </w:r>
          </w:p>
        </w:tc>
        <w:tc>
          <w:tcPr>
            <w:tcW w:type="dxa" w:w="1881"/>
          </w:tcPr>
          <w:p>
            <w:pPr>
              <w:spacing w:line="240" w:lineRule="auto"/>
            </w:pPr>
            <w:r/>
            <w:r>
              <w:rPr>
                <w:rFonts w:ascii="Times New Roman" w:hAnsi="Times New Roman"/>
                <w:b/>
                <w:i w:val="0"/>
                <w:color w:val="000000"/>
                <w:sz w:val="20"/>
              </w:rPr>
              <w:t>V = Q×t (m³)</w:t>
            </w:r>
          </w:p>
        </w:tc>
        <w:tc>
          <w:tcPr>
            <w:tcW w:type="dxa" w:w="1881"/>
          </w:tcPr>
          <w:p>
            <w:pPr>
              <w:spacing w:line="240" w:lineRule="auto"/>
            </w:pPr>
            <w:r/>
            <w:r>
              <w:rPr>
                <w:rFonts w:ascii="Times New Roman" w:hAnsi="Times New Roman"/>
                <w:b/>
                <w:i w:val="0"/>
                <w:color w:val="000000"/>
                <w:sz w:val="20"/>
              </w:rPr>
              <w:t>Custo civil estimado (R$)</w:t>
            </w:r>
          </w:p>
        </w:tc>
        <w:tc>
          <w:tcPr>
            <w:tcW w:type="dxa" w:w="1881"/>
          </w:tcPr>
          <w:p>
            <w:pPr>
              <w:spacing w:line="240" w:lineRule="auto"/>
            </w:pPr>
            <w:r/>
            <w:r>
              <w:rPr>
                <w:rFonts w:ascii="Times New Roman" w:hAnsi="Times New Roman"/>
                <w:b/>
                <w:i w:val="0"/>
                <w:color w:val="000000"/>
                <w:sz w:val="20"/>
              </w:rPr>
              <w:t>Equipamento (R$)</w:t>
            </w:r>
          </w:p>
        </w:tc>
      </w:tr>
      <w:tr>
        <w:tc>
          <w:tcPr>
            <w:tcW w:type="dxa" w:w="1881"/>
          </w:tcPr>
          <w:p>
            <w:pPr>
              <w:spacing w:line="240" w:lineRule="auto"/>
            </w:pPr>
            <w:r/>
            <w:r>
              <w:rPr>
                <w:rFonts w:ascii="Times New Roman" w:hAnsi="Times New Roman"/>
                <w:b w:val="0"/>
                <w:i w:val="0"/>
                <w:color w:val="000000"/>
                <w:sz w:val="20"/>
              </w:rPr>
              <w:t>I — Filtração e separação magnética</w:t>
            </w:r>
          </w:p>
        </w:tc>
        <w:tc>
          <w:tcPr>
            <w:tcW w:type="dxa" w:w="1881"/>
          </w:tcPr>
          <w:p>
            <w:pPr>
              <w:spacing w:line="240" w:lineRule="auto"/>
            </w:pPr>
            <w:r/>
            <w:r>
              <w:rPr>
                <w:rFonts w:ascii="Times New Roman" w:hAnsi="Times New Roman"/>
                <w:b w:val="0"/>
                <w:i w:val="0"/>
                <w:color w:val="000000"/>
                <w:sz w:val="20"/>
              </w:rPr>
              <w:t>5,00</w:t>
            </w:r>
          </w:p>
        </w:tc>
        <w:tc>
          <w:tcPr>
            <w:tcW w:type="dxa" w:w="1881"/>
          </w:tcPr>
          <w:p>
            <w:pPr>
              <w:spacing w:line="240" w:lineRule="auto"/>
            </w:pPr>
            <w:r/>
            <w:r>
              <w:rPr>
                <w:rFonts w:ascii="Times New Roman" w:hAnsi="Times New Roman"/>
                <w:b w:val="0"/>
                <w:i w:val="0"/>
                <w:color w:val="000000"/>
                <w:sz w:val="20"/>
              </w:rPr>
              <w:t>5,40</w:t>
            </w:r>
          </w:p>
        </w:tc>
        <w:tc>
          <w:tcPr>
            <w:tcW w:type="dxa" w:w="1881"/>
          </w:tcPr>
          <w:p>
            <w:pPr>
              <w:spacing w:line="240" w:lineRule="auto"/>
            </w:pPr>
            <w:r/>
            <w:r>
              <w:rPr>
                <w:rFonts w:ascii="Times New Roman" w:hAnsi="Times New Roman"/>
                <w:b w:val="0"/>
                <w:i w:val="0"/>
                <w:color w:val="000000"/>
                <w:sz w:val="20"/>
              </w:rPr>
              <w:t>17.280</w:t>
            </w:r>
          </w:p>
        </w:tc>
        <w:tc>
          <w:tcPr>
            <w:tcW w:type="dxa" w:w="1881"/>
          </w:tcPr>
          <w:p>
            <w:pPr>
              <w:spacing w:line="240" w:lineRule="auto"/>
            </w:pPr>
            <w:r/>
            <w:r>
              <w:rPr>
                <w:rFonts w:ascii="Times New Roman" w:hAnsi="Times New Roman"/>
                <w:b w:val="0"/>
                <w:i w:val="0"/>
                <w:color w:val="000000"/>
                <w:sz w:val="20"/>
              </w:rPr>
              <w:t>85.000</w:t>
            </w:r>
          </w:p>
        </w:tc>
      </w:tr>
      <w:tr>
        <w:tc>
          <w:tcPr>
            <w:tcW w:type="dxa" w:w="1881"/>
          </w:tcPr>
          <w:p>
            <w:pPr>
              <w:spacing w:line="240" w:lineRule="auto"/>
            </w:pPr>
            <w:r/>
            <w:r>
              <w:rPr>
                <w:rFonts w:ascii="Times New Roman" w:hAnsi="Times New Roman"/>
                <w:b w:val="0"/>
                <w:i w:val="0"/>
                <w:color w:val="000000"/>
                <w:sz w:val="20"/>
              </w:rPr>
              <w:t>II — Biossorção</w:t>
            </w:r>
          </w:p>
        </w:tc>
        <w:tc>
          <w:tcPr>
            <w:tcW w:type="dxa" w:w="1881"/>
          </w:tcPr>
          <w:p>
            <w:pPr>
              <w:spacing w:line="240" w:lineRule="auto"/>
            </w:pPr>
            <w:r/>
            <w:r>
              <w:rPr>
                <w:rFonts w:ascii="Times New Roman" w:hAnsi="Times New Roman"/>
                <w:b w:val="0"/>
                <w:i w:val="0"/>
                <w:color w:val="000000"/>
                <w:sz w:val="20"/>
              </w:rPr>
              <w:t>30,00</w:t>
            </w:r>
          </w:p>
        </w:tc>
        <w:tc>
          <w:tcPr>
            <w:tcW w:type="dxa" w:w="1881"/>
          </w:tcPr>
          <w:p>
            <w:pPr>
              <w:spacing w:line="240" w:lineRule="auto"/>
            </w:pPr>
            <w:r/>
            <w:r>
              <w:rPr>
                <w:rFonts w:ascii="Times New Roman" w:hAnsi="Times New Roman"/>
                <w:b w:val="0"/>
                <w:i w:val="0"/>
                <w:color w:val="000000"/>
                <w:sz w:val="20"/>
              </w:rPr>
              <w:t>32,40</w:t>
            </w:r>
          </w:p>
        </w:tc>
        <w:tc>
          <w:tcPr>
            <w:tcW w:type="dxa" w:w="1881"/>
          </w:tcPr>
          <w:p>
            <w:pPr>
              <w:spacing w:line="240" w:lineRule="auto"/>
            </w:pPr>
            <w:r/>
            <w:r>
              <w:rPr>
                <w:rFonts w:ascii="Times New Roman" w:hAnsi="Times New Roman"/>
                <w:b w:val="0"/>
                <w:i w:val="0"/>
                <w:color w:val="000000"/>
                <w:sz w:val="20"/>
              </w:rPr>
              <w:t>103.680</w:t>
            </w:r>
          </w:p>
        </w:tc>
        <w:tc>
          <w:tcPr>
            <w:tcW w:type="dxa" w:w="1881"/>
          </w:tcPr>
          <w:p>
            <w:pPr>
              <w:spacing w:line="240" w:lineRule="auto"/>
            </w:pPr>
            <w:r/>
            <w:r>
              <w:rPr>
                <w:rFonts w:ascii="Times New Roman" w:hAnsi="Times New Roman"/>
                <w:b w:val="0"/>
                <w:i w:val="0"/>
                <w:color w:val="000000"/>
                <w:sz w:val="20"/>
              </w:rPr>
              <w:t>140.000</w:t>
            </w:r>
          </w:p>
        </w:tc>
      </w:tr>
      <w:tr>
        <w:tc>
          <w:tcPr>
            <w:tcW w:type="dxa" w:w="1881"/>
          </w:tcPr>
          <w:p>
            <w:pPr>
              <w:spacing w:line="240" w:lineRule="auto"/>
            </w:pPr>
            <w:r/>
            <w:r>
              <w:rPr>
                <w:rFonts w:ascii="Times New Roman" w:hAnsi="Times New Roman"/>
                <w:b w:val="0"/>
                <w:i w:val="0"/>
                <w:color w:val="000000"/>
                <w:sz w:val="20"/>
              </w:rPr>
              <w:t>III — Desgaseificação em cascata</w:t>
            </w:r>
          </w:p>
        </w:tc>
        <w:tc>
          <w:tcPr>
            <w:tcW w:type="dxa" w:w="1881"/>
          </w:tcPr>
          <w:p>
            <w:pPr>
              <w:spacing w:line="240" w:lineRule="auto"/>
            </w:pPr>
            <w:r/>
            <w:r>
              <w:rPr>
                <w:rFonts w:ascii="Times New Roman" w:hAnsi="Times New Roman"/>
                <w:b w:val="0"/>
                <w:i w:val="0"/>
                <w:color w:val="000000"/>
                <w:sz w:val="20"/>
              </w:rPr>
              <w:t>3,00</w:t>
            </w:r>
          </w:p>
        </w:tc>
        <w:tc>
          <w:tcPr>
            <w:tcW w:type="dxa" w:w="1881"/>
          </w:tcPr>
          <w:p>
            <w:pPr>
              <w:spacing w:line="240" w:lineRule="auto"/>
            </w:pPr>
            <w:r/>
            <w:r>
              <w:rPr>
                <w:rFonts w:ascii="Times New Roman" w:hAnsi="Times New Roman"/>
                <w:b w:val="0"/>
                <w:i w:val="0"/>
                <w:color w:val="000000"/>
                <w:sz w:val="20"/>
              </w:rPr>
              <w:t>3,24</w:t>
            </w:r>
          </w:p>
        </w:tc>
        <w:tc>
          <w:tcPr>
            <w:tcW w:type="dxa" w:w="1881"/>
          </w:tcPr>
          <w:p>
            <w:pPr>
              <w:spacing w:line="240" w:lineRule="auto"/>
            </w:pPr>
            <w:r/>
            <w:r>
              <w:rPr>
                <w:rFonts w:ascii="Times New Roman" w:hAnsi="Times New Roman"/>
                <w:b w:val="0"/>
                <w:i w:val="0"/>
                <w:color w:val="000000"/>
                <w:sz w:val="20"/>
              </w:rPr>
              <w:t>10.368</w:t>
            </w:r>
          </w:p>
        </w:tc>
        <w:tc>
          <w:tcPr>
            <w:tcW w:type="dxa" w:w="1881"/>
          </w:tcPr>
          <w:p>
            <w:pPr>
              <w:spacing w:line="240" w:lineRule="auto"/>
            </w:pPr>
            <w:r/>
            <w:r>
              <w:rPr>
                <w:rFonts w:ascii="Times New Roman" w:hAnsi="Times New Roman"/>
                <w:b w:val="0"/>
                <w:i w:val="0"/>
                <w:color w:val="000000"/>
                <w:sz w:val="20"/>
              </w:rPr>
              <w:t>60.000</w:t>
            </w:r>
          </w:p>
        </w:tc>
      </w:tr>
      <w:tr>
        <w:tc>
          <w:tcPr>
            <w:tcW w:type="dxa" w:w="1881"/>
          </w:tcPr>
          <w:p>
            <w:pPr>
              <w:spacing w:line="240" w:lineRule="auto"/>
            </w:pPr>
            <w:r/>
            <w:r>
              <w:rPr>
                <w:rFonts w:ascii="Times New Roman" w:hAnsi="Times New Roman"/>
                <w:b w:val="0"/>
                <w:i w:val="0"/>
                <w:color w:val="000000"/>
                <w:sz w:val="20"/>
              </w:rPr>
              <w:t>IV — Desinfecção UV-C</w:t>
            </w:r>
          </w:p>
        </w:tc>
        <w:tc>
          <w:tcPr>
            <w:tcW w:type="dxa" w:w="1881"/>
          </w:tcPr>
          <w:p>
            <w:pPr>
              <w:spacing w:line="240" w:lineRule="auto"/>
            </w:pPr>
            <w:r/>
            <w:r>
              <w:rPr>
                <w:rFonts w:ascii="Times New Roman" w:hAnsi="Times New Roman"/>
                <w:b w:val="0"/>
                <w:i w:val="0"/>
                <w:color w:val="000000"/>
                <w:sz w:val="20"/>
              </w:rPr>
              <w:t>0,0031</w:t>
            </w:r>
          </w:p>
        </w:tc>
        <w:tc>
          <w:tcPr>
            <w:tcW w:type="dxa" w:w="1881"/>
          </w:tcPr>
          <w:p>
            <w:pPr>
              <w:spacing w:line="240" w:lineRule="auto"/>
            </w:pPr>
            <w:r/>
            <w:r>
              <w:rPr>
                <w:rFonts w:ascii="Times New Roman" w:hAnsi="Times New Roman"/>
                <w:b w:val="0"/>
                <w:i w:val="0"/>
                <w:color w:val="000000"/>
                <w:sz w:val="20"/>
              </w:rPr>
              <w:t>0,003</w:t>
            </w:r>
          </w:p>
        </w:tc>
        <w:tc>
          <w:tcPr>
            <w:tcW w:type="dxa" w:w="1881"/>
          </w:tcPr>
          <w:p>
            <w:pPr>
              <w:spacing w:line="240" w:lineRule="auto"/>
            </w:pPr>
            <w:r/>
            <w:r>
              <w:rPr>
                <w:rFonts w:ascii="Times New Roman" w:hAnsi="Times New Roman"/>
                <w:b w:val="0"/>
                <w:i w:val="0"/>
                <w:color w:val="000000"/>
                <w:sz w:val="20"/>
              </w:rPr>
              <w:t>11</w:t>
            </w:r>
          </w:p>
        </w:tc>
        <w:tc>
          <w:tcPr>
            <w:tcW w:type="dxa" w:w="1881"/>
          </w:tcPr>
          <w:p>
            <w:pPr>
              <w:spacing w:line="240" w:lineRule="auto"/>
            </w:pPr>
            <w:r/>
            <w:r>
              <w:rPr>
                <w:rFonts w:ascii="Times New Roman" w:hAnsi="Times New Roman"/>
                <w:b w:val="0"/>
                <w:i w:val="0"/>
                <w:color w:val="000000"/>
                <w:sz w:val="20"/>
              </w:rPr>
              <w:t>120.000</w:t>
            </w:r>
          </w:p>
        </w:tc>
      </w:tr>
      <w:tr>
        <w:tc>
          <w:tcPr>
            <w:tcW w:type="dxa" w:w="1881"/>
          </w:tcPr>
          <w:p>
            <w:pPr>
              <w:spacing w:line="240" w:lineRule="auto"/>
            </w:pPr>
            <w:r/>
            <w:r>
              <w:rPr>
                <w:rFonts w:ascii="Times New Roman" w:hAnsi="Times New Roman"/>
                <w:b w:val="0"/>
                <w:i w:val="0"/>
                <w:color w:val="000000"/>
                <w:sz w:val="20"/>
              </w:rPr>
              <w:t>V — Remineralização</w:t>
            </w:r>
          </w:p>
        </w:tc>
        <w:tc>
          <w:tcPr>
            <w:tcW w:type="dxa" w:w="1881"/>
          </w:tcPr>
          <w:p>
            <w:pPr>
              <w:spacing w:line="240" w:lineRule="auto"/>
            </w:pPr>
            <w:r/>
            <w:r>
              <w:rPr>
                <w:rFonts w:ascii="Times New Roman" w:hAnsi="Times New Roman"/>
                <w:b w:val="0"/>
                <w:i w:val="0"/>
                <w:color w:val="000000"/>
                <w:sz w:val="20"/>
              </w:rPr>
              <w:t>10,00</w:t>
            </w:r>
          </w:p>
        </w:tc>
        <w:tc>
          <w:tcPr>
            <w:tcW w:type="dxa" w:w="1881"/>
          </w:tcPr>
          <w:p>
            <w:pPr>
              <w:spacing w:line="240" w:lineRule="auto"/>
            </w:pPr>
            <w:r/>
            <w:r>
              <w:rPr>
                <w:rFonts w:ascii="Times New Roman" w:hAnsi="Times New Roman"/>
                <w:b w:val="0"/>
                <w:i w:val="0"/>
                <w:color w:val="000000"/>
                <w:sz w:val="20"/>
              </w:rPr>
              <w:t>10,80</w:t>
            </w:r>
          </w:p>
        </w:tc>
        <w:tc>
          <w:tcPr>
            <w:tcW w:type="dxa" w:w="1881"/>
          </w:tcPr>
          <w:p>
            <w:pPr>
              <w:spacing w:line="240" w:lineRule="auto"/>
            </w:pPr>
            <w:r/>
            <w:r>
              <w:rPr>
                <w:rFonts w:ascii="Times New Roman" w:hAnsi="Times New Roman"/>
                <w:b w:val="0"/>
                <w:i w:val="0"/>
                <w:color w:val="000000"/>
                <w:sz w:val="20"/>
              </w:rPr>
              <w:t>34.560</w:t>
            </w:r>
          </w:p>
        </w:tc>
        <w:tc>
          <w:tcPr>
            <w:tcW w:type="dxa" w:w="1881"/>
          </w:tcPr>
          <w:p>
            <w:pPr>
              <w:spacing w:line="240" w:lineRule="auto"/>
            </w:pPr>
            <w:r/>
            <w:r>
              <w:rPr>
                <w:rFonts w:ascii="Times New Roman" w:hAnsi="Times New Roman"/>
                <w:b w:val="0"/>
                <w:i w:val="0"/>
                <w:color w:val="000000"/>
                <w:sz w:val="20"/>
              </w:rPr>
              <w:t>45.000</w:t>
            </w:r>
          </w:p>
        </w:tc>
      </w:tr>
      <w:tr>
        <w:tc>
          <w:tcPr>
            <w:tcW w:type="dxa" w:w="1881"/>
          </w:tcPr>
          <w:p>
            <w:pPr>
              <w:spacing w:line="240" w:lineRule="auto"/>
            </w:pPr>
            <w:r/>
            <w:r>
              <w:rPr>
                <w:rFonts w:ascii="Times New Roman" w:hAnsi="Times New Roman"/>
                <w:b w:val="0"/>
                <w:i w:val="0"/>
                <w:color w:val="000000"/>
                <w:sz w:val="20"/>
              </w:rPr>
              <w:t>VI — Monitoramento</w:t>
            </w:r>
          </w:p>
        </w:tc>
        <w:tc>
          <w:tcPr>
            <w:tcW w:type="dxa" w:w="1881"/>
          </w:tcPr>
          <w:p>
            <w:pPr>
              <w:spacing w:line="240" w:lineRule="auto"/>
            </w:pPr>
            <w:r/>
            <w:r>
              <w:rPr>
                <w:rFonts w:ascii="Times New Roman" w:hAnsi="Times New Roman"/>
                <w:b w:val="0"/>
                <w:i w:val="0"/>
                <w:color w:val="000000"/>
                <w:sz w:val="20"/>
              </w:rPr>
              <w:t>1,00</w:t>
            </w:r>
          </w:p>
        </w:tc>
        <w:tc>
          <w:tcPr>
            <w:tcW w:type="dxa" w:w="1881"/>
          </w:tcPr>
          <w:p>
            <w:pPr>
              <w:spacing w:line="240" w:lineRule="auto"/>
            </w:pPr>
            <w:r/>
            <w:r>
              <w:rPr>
                <w:rFonts w:ascii="Times New Roman" w:hAnsi="Times New Roman"/>
                <w:b w:val="0"/>
                <w:i w:val="0"/>
                <w:color w:val="000000"/>
                <w:sz w:val="20"/>
              </w:rPr>
              <w:t>1,08</w:t>
            </w:r>
          </w:p>
        </w:tc>
        <w:tc>
          <w:tcPr>
            <w:tcW w:type="dxa" w:w="1881"/>
          </w:tcPr>
          <w:p>
            <w:pPr>
              <w:spacing w:line="240" w:lineRule="auto"/>
            </w:pPr>
            <w:r/>
            <w:r>
              <w:rPr>
                <w:rFonts w:ascii="Times New Roman" w:hAnsi="Times New Roman"/>
                <w:b w:val="0"/>
                <w:i w:val="0"/>
                <w:color w:val="000000"/>
                <w:sz w:val="20"/>
              </w:rPr>
              <w:t>3.456</w:t>
            </w:r>
          </w:p>
        </w:tc>
        <w:tc>
          <w:tcPr>
            <w:tcW w:type="dxa" w:w="1881"/>
          </w:tcPr>
          <w:p>
            <w:pPr>
              <w:spacing w:line="240" w:lineRule="auto"/>
            </w:pPr>
            <w:r/>
            <w:r>
              <w:rPr>
                <w:rFonts w:ascii="Times New Roman" w:hAnsi="Times New Roman"/>
                <w:b w:val="0"/>
                <w:i w:val="0"/>
                <w:color w:val="000000"/>
                <w:sz w:val="20"/>
              </w:rPr>
              <w:t>95.000</w:t>
            </w:r>
          </w:p>
        </w:tc>
      </w:tr>
      <w:tr>
        <w:tc>
          <w:tcPr>
            <w:tcW w:type="dxa" w:w="1881"/>
          </w:tcPr>
          <w:p>
            <w:pPr>
              <w:spacing w:line="240" w:lineRule="auto"/>
            </w:pPr>
            <w:r/>
            <w:r>
              <w:rPr>
                <w:rFonts w:ascii="Times New Roman" w:hAnsi="Times New Roman"/>
                <w:b w:val="0"/>
                <w:i w:val="0"/>
                <w:color w:val="000000"/>
                <w:sz w:val="20"/>
              </w:rPr>
              <w:t>VII — Armazenamento (2h de autonomia)</w:t>
            </w:r>
          </w:p>
        </w:tc>
        <w:tc>
          <w:tcPr>
            <w:tcW w:type="dxa" w:w="1881"/>
          </w:tcPr>
          <w:p>
            <w:pPr>
              <w:spacing w:line="240" w:lineRule="auto"/>
            </w:pPr>
            <w:r/>
            <w:r>
              <w:rPr>
                <w:rFonts w:ascii="Times New Roman" w:hAnsi="Times New Roman"/>
                <w:b w:val="0"/>
                <w:i w:val="0"/>
                <w:color w:val="000000"/>
                <w:sz w:val="20"/>
              </w:rPr>
              <w:t>120,00</w:t>
            </w:r>
          </w:p>
        </w:tc>
        <w:tc>
          <w:tcPr>
            <w:tcW w:type="dxa" w:w="1881"/>
          </w:tcPr>
          <w:p>
            <w:pPr>
              <w:spacing w:line="240" w:lineRule="auto"/>
            </w:pPr>
            <w:r/>
            <w:r>
              <w:rPr>
                <w:rFonts w:ascii="Times New Roman" w:hAnsi="Times New Roman"/>
                <w:b w:val="0"/>
                <w:i w:val="0"/>
                <w:color w:val="000000"/>
                <w:sz w:val="20"/>
              </w:rPr>
              <w:t>129,60</w:t>
            </w:r>
          </w:p>
        </w:tc>
        <w:tc>
          <w:tcPr>
            <w:tcW w:type="dxa" w:w="1881"/>
          </w:tcPr>
          <w:p>
            <w:pPr>
              <w:spacing w:line="240" w:lineRule="auto"/>
            </w:pPr>
            <w:r/>
            <w:r>
              <w:rPr>
                <w:rFonts w:ascii="Times New Roman" w:hAnsi="Times New Roman"/>
                <w:b w:val="0"/>
                <w:i w:val="0"/>
                <w:color w:val="000000"/>
                <w:sz w:val="20"/>
              </w:rPr>
              <w:t>414.720</w:t>
            </w:r>
          </w:p>
        </w:tc>
        <w:tc>
          <w:tcPr>
            <w:tcW w:type="dxa" w:w="1881"/>
          </w:tcPr>
          <w:p>
            <w:pPr>
              <w:spacing w:line="240" w:lineRule="auto"/>
            </w:pPr>
            <w:r/>
            <w:r>
              <w:rPr>
                <w:rFonts w:ascii="Times New Roman" w:hAnsi="Times New Roman"/>
                <w:b w:val="0"/>
                <w:i w:val="0"/>
                <w:color w:val="000000"/>
                <w:sz w:val="20"/>
              </w:rPr>
              <w:t>70.000</w:t>
            </w:r>
          </w:p>
        </w:tc>
      </w:tr>
      <w:tr>
        <w:tc>
          <w:tcPr>
            <w:tcW w:type="dxa" w:w="1881"/>
          </w:tcPr>
          <w:p>
            <w:pPr>
              <w:spacing w:line="240" w:lineRule="auto"/>
            </w:pPr>
            <w:r/>
            <w:r>
              <w:rPr>
                <w:rFonts w:ascii="Times New Roman" w:hAnsi="Times New Roman"/>
                <w:b/>
                <w:i w:val="0"/>
                <w:color w:val="000000"/>
                <w:sz w:val="20"/>
              </w:rPr>
              <w:t>Total</w:t>
            </w:r>
          </w:p>
        </w:tc>
        <w:tc>
          <w:tcPr>
            <w:tcW w:type="dxa" w:w="1881"/>
          </w:tcPr>
          <w:p>
            <w:pPr>
              <w:spacing w:line="240" w:lineRule="auto"/>
            </w:pPr>
            <w:r/>
            <w:r>
              <w:rPr>
                <w:rFonts w:ascii="Times New Roman" w:hAnsi="Times New Roman"/>
                <w:b w:val="0"/>
                <w:i w:val="0"/>
                <w:color w:val="000000"/>
                <w:sz w:val="20"/>
              </w:rPr>
              <w:t>—</w:t>
            </w:r>
          </w:p>
        </w:tc>
        <w:tc>
          <w:tcPr>
            <w:tcW w:type="dxa" w:w="1881"/>
          </w:tcPr>
          <w:p>
            <w:pPr>
              <w:spacing w:line="240" w:lineRule="auto"/>
            </w:pPr>
            <w:r/>
            <w:r>
              <w:rPr>
                <w:rFonts w:ascii="Times New Roman" w:hAnsi="Times New Roman"/>
                <w:b/>
                <w:i w:val="0"/>
                <w:color w:val="000000"/>
                <w:sz w:val="20"/>
              </w:rPr>
              <w:t>182,52</w:t>
            </w:r>
          </w:p>
        </w:tc>
        <w:tc>
          <w:tcPr>
            <w:tcW w:type="dxa" w:w="1881"/>
          </w:tcPr>
          <w:p>
            <w:pPr>
              <w:spacing w:line="240" w:lineRule="auto"/>
            </w:pPr>
            <w:r/>
            <w:r>
              <w:rPr>
                <w:rFonts w:ascii="Times New Roman" w:hAnsi="Times New Roman"/>
                <w:b/>
                <w:i w:val="0"/>
                <w:color w:val="000000"/>
                <w:sz w:val="20"/>
              </w:rPr>
              <w:t>584.075</w:t>
            </w:r>
          </w:p>
        </w:tc>
        <w:tc>
          <w:tcPr>
            <w:tcW w:type="dxa" w:w="1881"/>
          </w:tcPr>
          <w:p>
            <w:pPr>
              <w:spacing w:line="240" w:lineRule="auto"/>
            </w:pPr>
            <w:r/>
            <w:r>
              <w:rPr>
                <w:rFonts w:ascii="Times New Roman" w:hAnsi="Times New Roman"/>
                <w:b/>
                <w:i w:val="0"/>
                <w:color w:val="000000"/>
                <w:sz w:val="20"/>
              </w:rPr>
              <w:t>615.000</w:t>
            </w:r>
          </w:p>
        </w:tc>
      </w:tr>
    </w:tbl>
    <w:p/>
    <w:p>
      <w:pPr>
        <w:spacing w:after="120"/>
        <w:ind w:firstLine="709"/>
      </w:pPr>
      <w:r>
        <w:rPr>
          <w:rFonts w:ascii="Times New Roman" w:hAnsi="Times New Roman"/>
          <w:b w:val="0"/>
          <w:i w:val="0"/>
          <w:color w:val="000000"/>
        </w:rPr>
        <w:t>Fonte: elaboração própria, com custo civil estimado em R$ 3.200/m³ de volume construído (ordem de grandeza de mercado para obra civil de contenção e câmaras de concreto) e custo de equipamento por módulo estimado a partir de referências de mercado para os componentes descritos na Seção 3.</w:t>
      </w:r>
    </w:p>
    <w:p>
      <w:pPr>
        <w:spacing w:after="120"/>
        <w:ind w:firstLine="709"/>
      </w:pPr>
      <w:r>
        <w:rPr>
          <w:rFonts w:ascii="Times New Roman" w:hAnsi="Times New Roman"/>
          <w:b w:val="0"/>
          <w:i w:val="0"/>
          <w:color w:val="000000"/>
        </w:rPr>
        <w:t>A Tabela 2 replica o mesmo memorial para os três cenários de vazão avaliados, resultando no investimento total (CAPEX) e nos indicadores de atendimento populacional.</w:t>
      </w:r>
    </w:p>
    <w:p>
      <w:pPr>
        <w:spacing w:after="120"/>
        <w:ind w:firstLine="709"/>
      </w:pPr>
      <w:r>
        <w:rPr>
          <w:rFonts w:ascii="Times New Roman" w:hAnsi="Times New Roman"/>
          <w:b/>
          <w:i w:val="0"/>
          <w:color w:val="000000"/>
        </w:rPr>
        <w:t>Tabela 2 — Comparativo entre cenários de vazão</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spacing w:line="240" w:lineRule="auto"/>
            </w:pPr>
            <w:r/>
            <w:r>
              <w:rPr>
                <w:rFonts w:ascii="Times New Roman" w:hAnsi="Times New Roman"/>
                <w:b/>
                <w:i w:val="0"/>
                <w:color w:val="000000"/>
                <w:sz w:val="20"/>
              </w:rPr>
              <w:t>Cenário</w:t>
            </w:r>
          </w:p>
        </w:tc>
        <w:tc>
          <w:tcPr>
            <w:tcW w:type="dxa" w:w="1567"/>
          </w:tcPr>
          <w:p>
            <w:pPr>
              <w:spacing w:line="240" w:lineRule="auto"/>
            </w:pPr>
            <w:r/>
            <w:r>
              <w:rPr>
                <w:rFonts w:ascii="Times New Roman" w:hAnsi="Times New Roman"/>
                <w:b/>
                <w:i w:val="0"/>
                <w:color w:val="000000"/>
                <w:sz w:val="20"/>
              </w:rPr>
              <w:t>Vazão de entrada (L/s)</w:t>
            </w:r>
          </w:p>
        </w:tc>
        <w:tc>
          <w:tcPr>
            <w:tcW w:type="dxa" w:w="1567"/>
          </w:tcPr>
          <w:p>
            <w:pPr>
              <w:spacing w:line="240" w:lineRule="auto"/>
            </w:pPr>
            <w:r/>
            <w:r>
              <w:rPr>
                <w:rFonts w:ascii="Times New Roman" w:hAnsi="Times New Roman"/>
                <w:b/>
                <w:i w:val="0"/>
                <w:color w:val="000000"/>
                <w:sz w:val="20"/>
              </w:rPr>
              <w:t>Vazão de saída (L/s)¹</w:t>
            </w:r>
          </w:p>
        </w:tc>
        <w:tc>
          <w:tcPr>
            <w:tcW w:type="dxa" w:w="1567"/>
          </w:tcPr>
          <w:p>
            <w:pPr>
              <w:spacing w:line="240" w:lineRule="auto"/>
            </w:pPr>
            <w:r/>
            <w:r>
              <w:rPr>
                <w:rFonts w:ascii="Times New Roman" w:hAnsi="Times New Roman"/>
                <w:b/>
                <w:i w:val="0"/>
                <w:color w:val="000000"/>
                <w:sz w:val="20"/>
              </w:rPr>
              <w:t>Água tratada/dia (m³)</w:t>
            </w:r>
          </w:p>
        </w:tc>
        <w:tc>
          <w:tcPr>
            <w:tcW w:type="dxa" w:w="1567"/>
          </w:tcPr>
          <w:p>
            <w:pPr>
              <w:spacing w:line="240" w:lineRule="auto"/>
            </w:pPr>
            <w:r/>
            <w:r>
              <w:rPr>
                <w:rFonts w:ascii="Times New Roman" w:hAnsi="Times New Roman"/>
                <w:b/>
                <w:i w:val="0"/>
                <w:color w:val="000000"/>
                <w:sz w:val="20"/>
              </w:rPr>
              <w:t>CAPEX total (R$)</w:t>
            </w:r>
          </w:p>
        </w:tc>
        <w:tc>
          <w:tcPr>
            <w:tcW w:type="dxa" w:w="1567"/>
          </w:tcPr>
          <w:p>
            <w:pPr>
              <w:spacing w:line="240" w:lineRule="auto"/>
            </w:pPr>
            <w:r/>
            <w:r>
              <w:rPr>
                <w:rFonts w:ascii="Times New Roman" w:hAnsi="Times New Roman"/>
                <w:b/>
                <w:i w:val="0"/>
                <w:color w:val="000000"/>
                <w:sz w:val="20"/>
              </w:rPr>
              <w:t>Custo por m³ (10 anos)²</w:t>
            </w:r>
          </w:p>
        </w:tc>
      </w:tr>
      <w:tr>
        <w:tc>
          <w:tcPr>
            <w:tcW w:type="dxa" w:w="1567"/>
          </w:tcPr>
          <w:p>
            <w:pPr>
              <w:spacing w:line="240" w:lineRule="auto"/>
            </w:pPr>
            <w:r/>
            <w:r>
              <w:rPr>
                <w:rFonts w:ascii="Times New Roman" w:hAnsi="Times New Roman"/>
                <w:b w:val="0"/>
                <w:i w:val="0"/>
                <w:color w:val="000000"/>
                <w:sz w:val="20"/>
              </w:rPr>
              <w:t>Chuva comum (linha de base)</w:t>
            </w:r>
          </w:p>
        </w:tc>
        <w:tc>
          <w:tcPr>
            <w:tcW w:type="dxa" w:w="1567"/>
          </w:tcPr>
          <w:p>
            <w:pPr>
              <w:spacing w:line="240" w:lineRule="auto"/>
            </w:pPr>
            <w:r/>
            <w:r>
              <w:rPr>
                <w:rFonts w:ascii="Times New Roman" w:hAnsi="Times New Roman"/>
                <w:b w:val="0"/>
                <w:i w:val="0"/>
                <w:color w:val="000000"/>
                <w:sz w:val="20"/>
              </w:rPr>
              <w:t>12,0</w:t>
            </w:r>
          </w:p>
        </w:tc>
        <w:tc>
          <w:tcPr>
            <w:tcW w:type="dxa" w:w="1567"/>
          </w:tcPr>
          <w:p>
            <w:pPr>
              <w:spacing w:line="240" w:lineRule="auto"/>
            </w:pPr>
            <w:r/>
            <w:r>
              <w:rPr>
                <w:rFonts w:ascii="Times New Roman" w:hAnsi="Times New Roman"/>
                <w:b w:val="0"/>
                <w:i w:val="0"/>
                <w:color w:val="000000"/>
                <w:sz w:val="20"/>
              </w:rPr>
              <w:t>11,4</w:t>
            </w:r>
          </w:p>
        </w:tc>
        <w:tc>
          <w:tcPr>
            <w:tcW w:type="dxa" w:w="1567"/>
          </w:tcPr>
          <w:p>
            <w:pPr>
              <w:spacing w:line="240" w:lineRule="auto"/>
            </w:pPr>
            <w:r/>
            <w:r>
              <w:rPr>
                <w:rFonts w:ascii="Times New Roman" w:hAnsi="Times New Roman"/>
                <w:b w:val="0"/>
                <w:i w:val="0"/>
                <w:color w:val="000000"/>
                <w:sz w:val="20"/>
              </w:rPr>
              <w:t>985</w:t>
            </w:r>
          </w:p>
        </w:tc>
        <w:tc>
          <w:tcPr>
            <w:tcW w:type="dxa" w:w="1567"/>
          </w:tcPr>
          <w:p>
            <w:pPr>
              <w:spacing w:line="240" w:lineRule="auto"/>
            </w:pPr>
            <w:r/>
            <w:r>
              <w:rPr>
                <w:rFonts w:ascii="Times New Roman" w:hAnsi="Times New Roman"/>
                <w:b w:val="0"/>
                <w:i w:val="0"/>
                <w:color w:val="000000"/>
                <w:sz w:val="20"/>
              </w:rPr>
              <w:t>1.004.383</w:t>
            </w:r>
          </w:p>
        </w:tc>
        <w:tc>
          <w:tcPr>
            <w:tcW w:type="dxa" w:w="1567"/>
          </w:tcPr>
          <w:p>
            <w:pPr>
              <w:spacing w:line="240" w:lineRule="auto"/>
            </w:pPr>
            <w:r/>
            <w:r>
              <w:rPr>
                <w:rFonts w:ascii="Times New Roman" w:hAnsi="Times New Roman"/>
                <w:b w:val="0"/>
                <w:i w:val="0"/>
                <w:color w:val="000000"/>
                <w:sz w:val="20"/>
              </w:rPr>
              <w:t>R$ 1,55</w:t>
            </w:r>
          </w:p>
        </w:tc>
      </w:tr>
      <w:tr>
        <w:tc>
          <w:tcPr>
            <w:tcW w:type="dxa" w:w="1567"/>
          </w:tcPr>
          <w:p>
            <w:pPr>
              <w:spacing w:line="240" w:lineRule="auto"/>
            </w:pPr>
            <w:r/>
            <w:r>
              <w:rPr>
                <w:rFonts w:ascii="Times New Roman" w:hAnsi="Times New Roman"/>
                <w:b w:val="0"/>
                <w:i w:val="0"/>
                <w:color w:val="000000"/>
                <w:sz w:val="20"/>
              </w:rPr>
              <w:t>Enchente urbana (RS, 2024)</w:t>
            </w:r>
          </w:p>
        </w:tc>
        <w:tc>
          <w:tcPr>
            <w:tcW w:type="dxa" w:w="1567"/>
          </w:tcPr>
          <w:p>
            <w:pPr>
              <w:spacing w:line="240" w:lineRule="auto"/>
            </w:pPr>
            <w:r/>
            <w:r>
              <w:rPr>
                <w:rFonts w:ascii="Times New Roman" w:hAnsi="Times New Roman"/>
                <w:b w:val="0"/>
                <w:i w:val="0"/>
                <w:color w:val="000000"/>
                <w:sz w:val="20"/>
              </w:rPr>
              <w:t>18,0</w:t>
            </w:r>
          </w:p>
        </w:tc>
        <w:tc>
          <w:tcPr>
            <w:tcW w:type="dxa" w:w="1567"/>
          </w:tcPr>
          <w:p>
            <w:pPr>
              <w:spacing w:line="240" w:lineRule="auto"/>
            </w:pPr>
            <w:r/>
            <w:r>
              <w:rPr>
                <w:rFonts w:ascii="Times New Roman" w:hAnsi="Times New Roman"/>
                <w:b w:val="0"/>
                <w:i w:val="0"/>
                <w:color w:val="000000"/>
                <w:sz w:val="20"/>
              </w:rPr>
              <w:t>17,1</w:t>
            </w:r>
          </w:p>
        </w:tc>
        <w:tc>
          <w:tcPr>
            <w:tcW w:type="dxa" w:w="1567"/>
          </w:tcPr>
          <w:p>
            <w:pPr>
              <w:spacing w:line="240" w:lineRule="auto"/>
            </w:pPr>
            <w:r/>
            <w:r>
              <w:rPr>
                <w:rFonts w:ascii="Times New Roman" w:hAnsi="Times New Roman"/>
                <w:b w:val="0"/>
                <w:i w:val="0"/>
                <w:color w:val="000000"/>
                <w:sz w:val="20"/>
              </w:rPr>
              <w:t>1.477</w:t>
            </w:r>
          </w:p>
        </w:tc>
        <w:tc>
          <w:tcPr>
            <w:tcW w:type="dxa" w:w="1567"/>
          </w:tcPr>
          <w:p>
            <w:pPr>
              <w:spacing w:line="240" w:lineRule="auto"/>
            </w:pPr>
            <w:r/>
            <w:r>
              <w:rPr>
                <w:rFonts w:ascii="Times New Roman" w:hAnsi="Times New Roman"/>
                <w:b w:val="0"/>
                <w:i w:val="0"/>
                <w:color w:val="000000"/>
                <w:sz w:val="20"/>
              </w:rPr>
              <w:t>1.199.075</w:t>
            </w:r>
          </w:p>
        </w:tc>
        <w:tc>
          <w:tcPr>
            <w:tcW w:type="dxa" w:w="1567"/>
          </w:tcPr>
          <w:p>
            <w:pPr>
              <w:spacing w:line="240" w:lineRule="auto"/>
            </w:pPr>
            <w:r/>
            <w:r>
              <w:rPr>
                <w:rFonts w:ascii="Times New Roman" w:hAnsi="Times New Roman"/>
                <w:b w:val="0"/>
                <w:i w:val="0"/>
                <w:color w:val="000000"/>
                <w:sz w:val="20"/>
              </w:rPr>
              <w:t>R$ 1,07</w:t>
            </w:r>
          </w:p>
        </w:tc>
      </w:tr>
      <w:tr>
        <w:tc>
          <w:tcPr>
            <w:tcW w:type="dxa" w:w="1567"/>
          </w:tcPr>
          <w:p>
            <w:pPr>
              <w:spacing w:line="240" w:lineRule="auto"/>
            </w:pPr>
            <w:r/>
            <w:r>
              <w:rPr>
                <w:rFonts w:ascii="Times New Roman" w:hAnsi="Times New Roman"/>
                <w:b w:val="0"/>
                <w:i w:val="0"/>
                <w:color w:val="000000"/>
                <w:sz w:val="20"/>
              </w:rPr>
              <w:t>Rejeito de mineração</w:t>
            </w:r>
          </w:p>
        </w:tc>
        <w:tc>
          <w:tcPr>
            <w:tcW w:type="dxa" w:w="1567"/>
          </w:tcPr>
          <w:p>
            <w:pPr>
              <w:spacing w:line="240" w:lineRule="auto"/>
            </w:pPr>
            <w:r/>
            <w:r>
              <w:rPr>
                <w:rFonts w:ascii="Times New Roman" w:hAnsi="Times New Roman"/>
                <w:b w:val="0"/>
                <w:i w:val="0"/>
                <w:color w:val="000000"/>
                <w:sz w:val="20"/>
              </w:rPr>
              <w:t>9,0</w:t>
            </w:r>
          </w:p>
        </w:tc>
        <w:tc>
          <w:tcPr>
            <w:tcW w:type="dxa" w:w="1567"/>
          </w:tcPr>
          <w:p>
            <w:pPr>
              <w:spacing w:line="240" w:lineRule="auto"/>
            </w:pPr>
            <w:r/>
            <w:r>
              <w:rPr>
                <w:rFonts w:ascii="Times New Roman" w:hAnsi="Times New Roman"/>
                <w:b w:val="0"/>
                <w:i w:val="0"/>
                <w:color w:val="000000"/>
                <w:sz w:val="20"/>
              </w:rPr>
              <w:t>8,55</w:t>
            </w:r>
          </w:p>
        </w:tc>
        <w:tc>
          <w:tcPr>
            <w:tcW w:type="dxa" w:w="1567"/>
          </w:tcPr>
          <w:p>
            <w:pPr>
              <w:spacing w:line="240" w:lineRule="auto"/>
            </w:pPr>
            <w:r/>
            <w:r>
              <w:rPr>
                <w:rFonts w:ascii="Times New Roman" w:hAnsi="Times New Roman"/>
                <w:b w:val="0"/>
                <w:i w:val="0"/>
                <w:color w:val="000000"/>
                <w:sz w:val="20"/>
              </w:rPr>
              <w:t>739</w:t>
            </w:r>
          </w:p>
        </w:tc>
        <w:tc>
          <w:tcPr>
            <w:tcW w:type="dxa" w:w="1567"/>
          </w:tcPr>
          <w:p>
            <w:pPr>
              <w:spacing w:line="240" w:lineRule="auto"/>
            </w:pPr>
            <w:r/>
            <w:r>
              <w:rPr>
                <w:rFonts w:ascii="Times New Roman" w:hAnsi="Times New Roman"/>
                <w:b w:val="0"/>
                <w:i w:val="0"/>
                <w:color w:val="000000"/>
                <w:sz w:val="20"/>
              </w:rPr>
              <w:t>907.037</w:t>
            </w:r>
          </w:p>
        </w:tc>
        <w:tc>
          <w:tcPr>
            <w:tcW w:type="dxa" w:w="1567"/>
          </w:tcPr>
          <w:p>
            <w:pPr>
              <w:spacing w:line="240" w:lineRule="auto"/>
            </w:pPr>
            <w:r/>
            <w:r>
              <w:rPr>
                <w:rFonts w:ascii="Times New Roman" w:hAnsi="Times New Roman"/>
                <w:b w:val="0"/>
                <w:i w:val="0"/>
                <w:color w:val="000000"/>
                <w:sz w:val="20"/>
              </w:rPr>
              <w:t>R$ 2,03</w:t>
            </w:r>
          </w:p>
        </w:tc>
      </w:tr>
    </w:tbl>
    <w:p/>
    <w:p>
      <w:pPr>
        <w:spacing w:after="120"/>
        <w:ind w:firstLine="709"/>
      </w:pPr>
      <w:r>
        <w:rPr>
          <w:rFonts w:ascii="Times New Roman" w:hAnsi="Times New Roman"/>
          <w:b w:val="0"/>
          <w:i w:val="0"/>
          <w:color w:val="000000"/>
        </w:rPr>
        <w:t>¹ Vazão de saída = vazão de entrada × (1 − 5%), considerando perdas por lavagem de filtros, retirada de lodo e purga da cascata. ² Custo por m³ amortizando CAPEX + OPEX (R$ 38.000/mês) ao longo de 10 anos de operação contínua, dividido pelo volume total tratado no período. Referência de custo médio de uma ETA convencional brasileira: R$ 1,40/m³ (ordem de grandeza setorial).</w:t>
      </w:r>
    </w:p>
    <w:p>
      <w:pPr>
        <w:spacing w:after="120"/>
        <w:ind w:firstLine="709"/>
      </w:pPr>
      <w:r>
        <w:rPr>
          <w:rFonts w:ascii="Times New Roman" w:hAnsi="Times New Roman"/>
          <w:b w:val="0"/>
          <w:i w:val="0"/>
          <w:color w:val="000000"/>
        </w:rPr>
        <w:t>Fonte: elaboração própria a partir do modelo de simulação desenvolvido para o aplicativo interativo do projeto.</w:t>
      </w:r>
    </w:p>
    <w:p>
      <w:pPr>
        <w:spacing w:after="120"/>
        <w:ind w:firstLine="709"/>
      </w:pPr>
      <w:r>
        <w:rPr>
          <w:rFonts w:ascii="Times New Roman" w:hAnsi="Times New Roman"/>
          <w:b w:val="0"/>
          <w:i w:val="0"/>
          <w:color w:val="000000"/>
        </w:rPr>
        <w:t xml:space="preserve">Observa-se que o custo por metro cúbico da ESTAS fica </w:t>
      </w:r>
      <w:r>
        <w:rPr>
          <w:rFonts w:ascii="Times New Roman" w:hAnsi="Times New Roman"/>
          <w:b/>
          <w:i w:val="0"/>
          <w:color w:val="000000"/>
        </w:rPr>
        <w:t>acima</w:t>
      </w:r>
      <w:r>
        <w:rPr>
          <w:rFonts w:ascii="Times New Roman" w:hAnsi="Times New Roman"/>
          <w:b w:val="0"/>
          <w:i w:val="0"/>
          <w:color w:val="000000"/>
        </w:rPr>
        <w:t xml:space="preserve"> da referência de uma ETA convencional nos cenários de menor vazão (chuva comum e rejeito de mineração) — resultado esperado, já que a ESTAS trata água muito mais contaminada, com etapas adicionais (biossorção, desgaseificação, desinfecção UV-C) que uma ETA convencional não possui. No cenário de enchente urbana, a vazão maior dilui o CAPEX fixo por metro cúbico, aproximando o custo da ESTAS da referência convencional. Esse resultado reforça que a ESTAS é dimensionada como </w:t>
      </w:r>
      <w:r>
        <w:rPr>
          <w:rFonts w:ascii="Times New Roman" w:hAnsi="Times New Roman"/>
          <w:b/>
          <w:i w:val="0"/>
          <w:color w:val="000000"/>
        </w:rPr>
        <w:t>solução emergencial</w:t>
      </w:r>
      <w:r>
        <w:rPr>
          <w:rFonts w:ascii="Times New Roman" w:hAnsi="Times New Roman"/>
          <w:b w:val="0"/>
          <w:i w:val="0"/>
          <w:color w:val="000000"/>
        </w:rPr>
        <w:t>, não como substituta de uma ETA de rotina.</w:t>
      </w:r>
    </w:p>
    <w:p>
      <w:pPr>
        <w:spacing w:before="120" w:after="80"/>
        <w:jc w:val="center"/>
      </w:pPr>
      <w:r>
        <w:rPr>
          <w:rFonts w:ascii="Times New Roman" w:hAnsi="Times New Roman"/>
          <w:b w:val="0"/>
          <w:i w:val="0"/>
          <w:color w:val="000000"/>
          <w:sz w:val="26"/>
        </w:rPr>
        <w:t>5 CENÁRIOS DE APLICAÇÃO E REFERÊNCIA REGULATÓRIA</w:t>
      </w:r>
    </w:p>
    <w:p>
      <w:pPr>
        <w:spacing w:after="120"/>
        <w:ind w:firstLine="709"/>
      </w:pPr>
      <w:r>
        <w:rPr>
          <w:rFonts w:ascii="Times New Roman" w:hAnsi="Times New Roman"/>
          <w:b w:val="0"/>
          <w:i w:val="0"/>
          <w:color w:val="000000"/>
        </w:rPr>
        <w:t>Os três cenários de contaminação de entrada avaliados neste estudo são ancorados em desastres reais brasileiros, com concentrações de contaminante estimadas por ordem de grandeza (não medições de campo):</w:t>
      </w:r>
    </w:p>
    <w:p>
      <w:pPr>
        <w:spacing w:after="120"/>
        <w:ind w:firstLine="709"/>
      </w:pPr>
      <w:r>
        <w:rPr>
          <w:rFonts w:ascii="Times New Roman" w:hAnsi="Times New Roman"/>
          <w:b/>
          <w:i w:val="0"/>
          <w:color w:val="000000"/>
        </w:rPr>
        <w:t>Enchente urbana</w:t>
      </w:r>
      <w:r>
        <w:rPr>
          <w:rFonts w:ascii="Times New Roman" w:hAnsi="Times New Roman"/>
          <w:b w:val="0"/>
          <w:i w:val="0"/>
          <w:color w:val="000000"/>
        </w:rPr>
        <w:t xml:space="preserve"> — baseado nas enchentes do Rio Grande do Sul de maio de 2024, quando a bacia do Guaíba atingiu mais de 2,3 milhões de pessoas afetadas, segundo registros da Defesa Civil estadual e do CEMADEN. A água de entrada é modelada com turbidez elevada (420 uT), presença de </w:t>
      </w:r>
      <w:r>
        <w:rPr>
          <w:rFonts w:ascii="Times New Roman" w:hAnsi="Times New Roman"/>
          <w:b w:val="0"/>
          <w:i/>
          <w:color w:val="000000"/>
        </w:rPr>
        <w:t>Escherichia coli</w:t>
      </w:r>
      <w:r>
        <w:rPr>
          <w:rFonts w:ascii="Times New Roman" w:hAnsi="Times New Roman"/>
          <w:b w:val="0"/>
          <w:i w:val="0"/>
          <w:color w:val="000000"/>
        </w:rPr>
        <w:t xml:space="preserve"> e carga de amônia compatível com mistura de esgoto doméstico.</w:t>
      </w:r>
    </w:p>
    <w:p>
      <w:pPr>
        <w:spacing w:after="120"/>
        <w:ind w:firstLine="709"/>
      </w:pPr>
      <w:r>
        <w:rPr>
          <w:rFonts w:ascii="Times New Roman" w:hAnsi="Times New Roman"/>
          <w:b/>
          <w:i w:val="0"/>
          <w:color w:val="000000"/>
        </w:rPr>
        <w:t>Rejeito de mineração</w:t>
      </w:r>
      <w:r>
        <w:rPr>
          <w:rFonts w:ascii="Times New Roman" w:hAnsi="Times New Roman"/>
          <w:b w:val="0"/>
          <w:i w:val="0"/>
          <w:color w:val="000000"/>
        </w:rPr>
        <w:t xml:space="preserve"> — baseado nos rompimentos de barragem de rejeito de Brumadinho/MG (2019, Vale/Córrego do Feijão) e Mariana/MG (2015, Samarco/Fundão), e no garimpo ilegal de ouro na Amazônia, cujo uso de mercúrio na amalgamação contamina bacias como a do rio Tapajós (estudos Fiocruz/WWF). A água de entrada é modelada com concentração de mercúrio, chumbo, cádmio, arsênio e cromo muito acima do Valor Máximo Permitido (VMP), e pH ácido (5,4).</w:t>
      </w:r>
    </w:p>
    <w:p>
      <w:pPr>
        <w:spacing w:after="120"/>
        <w:ind w:firstLine="709"/>
      </w:pPr>
      <w:r>
        <w:rPr>
          <w:rFonts w:ascii="Times New Roman" w:hAnsi="Times New Roman"/>
          <w:b/>
          <w:i w:val="0"/>
          <w:color w:val="000000"/>
        </w:rPr>
        <w:t>Chuva comum</w:t>
      </w:r>
      <w:r>
        <w:rPr>
          <w:rFonts w:ascii="Times New Roman" w:hAnsi="Times New Roman"/>
          <w:b w:val="0"/>
          <w:i w:val="0"/>
          <w:color w:val="000000"/>
        </w:rPr>
        <w:t xml:space="preserve"> — cenário de linha de base, sem evento de desastre, usado como controle para dimensionar o ganho de tratar água de calamidade frente à operação de rotina.</w:t>
      </w:r>
    </w:p>
    <w:p>
      <w:pPr>
        <w:spacing w:after="120"/>
        <w:ind w:firstLine="709"/>
      </w:pPr>
      <w:r>
        <w:rPr>
          <w:rFonts w:ascii="Times New Roman" w:hAnsi="Times New Roman"/>
          <w:b w:val="0"/>
          <w:i w:val="0"/>
          <w:color w:val="000000"/>
        </w:rPr>
        <w:t>A conformidade de saída é avaliada contra os parâmetros da Portaria de Consolidação nº 5/2017, atualizada pela Portaria GM/MS nº 888, de 4 de maio de 2021, do Ministério da Saúde, complementada pelas diretrizes da Organização Mundial da Saúde (WHO, 2022) onde a norma brasileira é omissa. A Tabela 3 resume os parâmetros centrais.</w:t>
      </w:r>
    </w:p>
    <w:p>
      <w:pPr>
        <w:spacing w:after="120"/>
        <w:ind w:firstLine="709"/>
      </w:pPr>
      <w:r>
        <w:rPr>
          <w:rFonts w:ascii="Times New Roman" w:hAnsi="Times New Roman"/>
          <w:b/>
          <w:i w:val="0"/>
          <w:color w:val="000000"/>
        </w:rPr>
        <w:t>Tabela 3 — Parâmetros de potabilidade de referência (seleção)</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line="240" w:lineRule="auto"/>
            </w:pPr>
            <w:r/>
            <w:r>
              <w:rPr>
                <w:rFonts w:ascii="Times New Roman" w:hAnsi="Times New Roman"/>
                <w:b/>
                <w:i w:val="0"/>
                <w:color w:val="000000"/>
                <w:sz w:val="20"/>
              </w:rPr>
              <w:t>Parâmetro</w:t>
            </w:r>
          </w:p>
        </w:tc>
        <w:tc>
          <w:tcPr>
            <w:tcW w:type="dxa" w:w="3135"/>
          </w:tcPr>
          <w:p>
            <w:pPr>
              <w:spacing w:line="240" w:lineRule="auto"/>
            </w:pPr>
            <w:r/>
            <w:r>
              <w:rPr>
                <w:rFonts w:ascii="Times New Roman" w:hAnsi="Times New Roman"/>
                <w:b/>
                <w:i w:val="0"/>
                <w:color w:val="000000"/>
                <w:sz w:val="20"/>
              </w:rPr>
              <w:t>VMP</w:t>
            </w:r>
          </w:p>
        </w:tc>
        <w:tc>
          <w:tcPr>
            <w:tcW w:type="dxa" w:w="3135"/>
          </w:tcPr>
          <w:p>
            <w:pPr>
              <w:spacing w:line="240" w:lineRule="auto"/>
            </w:pPr>
            <w:r/>
            <w:r>
              <w:rPr>
                <w:rFonts w:ascii="Times New Roman" w:hAnsi="Times New Roman"/>
                <w:b/>
                <w:i w:val="0"/>
                <w:color w:val="000000"/>
                <w:sz w:val="20"/>
              </w:rPr>
              <w:t>Categoria</w:t>
            </w:r>
          </w:p>
        </w:tc>
      </w:tr>
      <w:tr>
        <w:tc>
          <w:tcPr>
            <w:tcW w:type="dxa" w:w="3135"/>
          </w:tcPr>
          <w:p>
            <w:pPr>
              <w:spacing w:line="240" w:lineRule="auto"/>
            </w:pPr>
            <w:r/>
            <w:r>
              <w:rPr>
                <w:rFonts w:ascii="Times New Roman" w:hAnsi="Times New Roman"/>
                <w:b w:val="0"/>
                <w:i w:val="0"/>
                <w:color w:val="000000"/>
                <w:sz w:val="20"/>
              </w:rPr>
              <w:t>pH</w:t>
            </w:r>
          </w:p>
        </w:tc>
        <w:tc>
          <w:tcPr>
            <w:tcW w:type="dxa" w:w="3135"/>
          </w:tcPr>
          <w:p>
            <w:pPr>
              <w:spacing w:line="240" w:lineRule="auto"/>
            </w:pPr>
            <w:r/>
            <w:r>
              <w:rPr>
                <w:rFonts w:ascii="Times New Roman" w:hAnsi="Times New Roman"/>
                <w:b w:val="0"/>
                <w:i w:val="0"/>
                <w:color w:val="000000"/>
                <w:sz w:val="20"/>
              </w:rPr>
              <w:t>6,5 a 8,5</w:t>
            </w:r>
          </w:p>
        </w:tc>
        <w:tc>
          <w:tcPr>
            <w:tcW w:type="dxa" w:w="3135"/>
          </w:tcPr>
          <w:p>
            <w:pPr>
              <w:spacing w:line="240" w:lineRule="auto"/>
            </w:pPr>
            <w:r/>
            <w:r>
              <w:rPr>
                <w:rFonts w:ascii="Times New Roman" w:hAnsi="Times New Roman"/>
                <w:b w:val="0"/>
                <w:i w:val="0"/>
                <w:color w:val="000000"/>
                <w:sz w:val="20"/>
              </w:rPr>
              <w:t>Físico</w:t>
            </w:r>
          </w:p>
        </w:tc>
      </w:tr>
      <w:tr>
        <w:tc>
          <w:tcPr>
            <w:tcW w:type="dxa" w:w="3135"/>
          </w:tcPr>
          <w:p>
            <w:pPr>
              <w:spacing w:line="240" w:lineRule="auto"/>
            </w:pPr>
            <w:r/>
            <w:r>
              <w:rPr>
                <w:rFonts w:ascii="Times New Roman" w:hAnsi="Times New Roman"/>
                <w:b w:val="0"/>
                <w:i w:val="0"/>
                <w:color w:val="000000"/>
                <w:sz w:val="20"/>
              </w:rPr>
              <w:t>Turbidez</w:t>
            </w:r>
          </w:p>
        </w:tc>
        <w:tc>
          <w:tcPr>
            <w:tcW w:type="dxa" w:w="3135"/>
          </w:tcPr>
          <w:p>
            <w:pPr>
              <w:spacing w:line="240" w:lineRule="auto"/>
            </w:pPr>
            <w:r/>
            <w:r>
              <w:rPr>
                <w:rFonts w:ascii="Times New Roman" w:hAnsi="Times New Roman"/>
                <w:b w:val="0"/>
                <w:i w:val="0"/>
                <w:color w:val="000000"/>
                <w:sz w:val="20"/>
              </w:rPr>
              <w:t>≤ 5,0 uT</w:t>
            </w:r>
          </w:p>
        </w:tc>
        <w:tc>
          <w:tcPr>
            <w:tcW w:type="dxa" w:w="3135"/>
          </w:tcPr>
          <w:p>
            <w:pPr>
              <w:spacing w:line="240" w:lineRule="auto"/>
            </w:pPr>
            <w:r/>
            <w:r>
              <w:rPr>
                <w:rFonts w:ascii="Times New Roman" w:hAnsi="Times New Roman"/>
                <w:b w:val="0"/>
                <w:i w:val="0"/>
                <w:color w:val="000000"/>
                <w:sz w:val="20"/>
              </w:rPr>
              <w:t>Físico</w:t>
            </w:r>
          </w:p>
        </w:tc>
      </w:tr>
      <w:tr>
        <w:tc>
          <w:tcPr>
            <w:tcW w:type="dxa" w:w="3135"/>
          </w:tcPr>
          <w:p>
            <w:pPr>
              <w:spacing w:line="240" w:lineRule="auto"/>
            </w:pPr>
            <w:r/>
            <w:r>
              <w:rPr>
                <w:rFonts w:ascii="Times New Roman" w:hAnsi="Times New Roman"/>
                <w:b w:val="0"/>
                <w:i w:val="0"/>
                <w:color w:val="000000"/>
                <w:sz w:val="20"/>
              </w:rPr>
              <w:t>Cor aparente</w:t>
            </w:r>
          </w:p>
        </w:tc>
        <w:tc>
          <w:tcPr>
            <w:tcW w:type="dxa" w:w="3135"/>
          </w:tcPr>
          <w:p>
            <w:pPr>
              <w:spacing w:line="240" w:lineRule="auto"/>
            </w:pPr>
            <w:r/>
            <w:r>
              <w:rPr>
                <w:rFonts w:ascii="Times New Roman" w:hAnsi="Times New Roman"/>
                <w:b w:val="0"/>
                <w:i w:val="0"/>
                <w:color w:val="000000"/>
                <w:sz w:val="20"/>
              </w:rPr>
              <w:t>≤ 15 uH</w:t>
            </w:r>
          </w:p>
        </w:tc>
        <w:tc>
          <w:tcPr>
            <w:tcW w:type="dxa" w:w="3135"/>
          </w:tcPr>
          <w:p>
            <w:pPr>
              <w:spacing w:line="240" w:lineRule="auto"/>
            </w:pPr>
            <w:r/>
            <w:r>
              <w:rPr>
                <w:rFonts w:ascii="Times New Roman" w:hAnsi="Times New Roman"/>
                <w:b w:val="0"/>
                <w:i w:val="0"/>
                <w:color w:val="000000"/>
                <w:sz w:val="20"/>
              </w:rPr>
              <w:t>Organoléptico</w:t>
            </w:r>
          </w:p>
        </w:tc>
      </w:tr>
      <w:tr>
        <w:tc>
          <w:tcPr>
            <w:tcW w:type="dxa" w:w="3135"/>
          </w:tcPr>
          <w:p>
            <w:pPr>
              <w:spacing w:line="240" w:lineRule="auto"/>
            </w:pPr>
            <w:r/>
            <w:r>
              <w:rPr>
                <w:rFonts w:ascii="Times New Roman" w:hAnsi="Times New Roman"/>
                <w:b w:val="0"/>
                <w:i w:val="0"/>
                <w:color w:val="000000"/>
                <w:sz w:val="20"/>
              </w:rPr>
              <w:t>Sólidos dissolvidos totais</w:t>
            </w:r>
          </w:p>
        </w:tc>
        <w:tc>
          <w:tcPr>
            <w:tcW w:type="dxa" w:w="3135"/>
          </w:tcPr>
          <w:p>
            <w:pPr>
              <w:spacing w:line="240" w:lineRule="auto"/>
            </w:pPr>
            <w:r/>
            <w:r>
              <w:rPr>
                <w:rFonts w:ascii="Times New Roman" w:hAnsi="Times New Roman"/>
                <w:b w:val="0"/>
                <w:i w:val="0"/>
                <w:color w:val="000000"/>
                <w:sz w:val="20"/>
              </w:rPr>
              <w:t>≤ 500 mg/L</w:t>
            </w:r>
          </w:p>
        </w:tc>
        <w:tc>
          <w:tcPr>
            <w:tcW w:type="dxa" w:w="3135"/>
          </w:tcPr>
          <w:p>
            <w:pPr>
              <w:spacing w:line="240" w:lineRule="auto"/>
            </w:pPr>
            <w:r/>
            <w:r>
              <w:rPr>
                <w:rFonts w:ascii="Times New Roman" w:hAnsi="Times New Roman"/>
                <w:b w:val="0"/>
                <w:i w:val="0"/>
                <w:color w:val="000000"/>
                <w:sz w:val="20"/>
              </w:rPr>
              <w:t>Organoléptico</w:t>
            </w:r>
          </w:p>
        </w:tc>
      </w:tr>
      <w:tr>
        <w:tc>
          <w:tcPr>
            <w:tcW w:type="dxa" w:w="3135"/>
          </w:tcPr>
          <w:p>
            <w:pPr>
              <w:spacing w:line="240" w:lineRule="auto"/>
            </w:pPr>
            <w:r/>
            <w:r>
              <w:rPr>
                <w:rFonts w:ascii="Times New Roman" w:hAnsi="Times New Roman"/>
                <w:b w:val="0"/>
                <w:i/>
                <w:color w:val="000000"/>
                <w:sz w:val="20"/>
              </w:rPr>
              <w:t>Escherichia coli</w:t>
            </w:r>
          </w:p>
        </w:tc>
        <w:tc>
          <w:tcPr>
            <w:tcW w:type="dxa" w:w="3135"/>
          </w:tcPr>
          <w:p>
            <w:pPr>
              <w:spacing w:line="240" w:lineRule="auto"/>
            </w:pPr>
            <w:r/>
            <w:r>
              <w:rPr>
                <w:rFonts w:ascii="Times New Roman" w:hAnsi="Times New Roman"/>
                <w:b w:val="0"/>
                <w:i w:val="0"/>
                <w:color w:val="000000"/>
                <w:sz w:val="20"/>
              </w:rPr>
              <w:t>Ausência em 100 mL</w:t>
            </w:r>
          </w:p>
        </w:tc>
        <w:tc>
          <w:tcPr>
            <w:tcW w:type="dxa" w:w="3135"/>
          </w:tcPr>
          <w:p>
            <w:pPr>
              <w:spacing w:line="240" w:lineRule="auto"/>
            </w:pPr>
            <w:r/>
            <w:r>
              <w:rPr>
                <w:rFonts w:ascii="Times New Roman" w:hAnsi="Times New Roman"/>
                <w:b w:val="0"/>
                <w:i w:val="0"/>
                <w:color w:val="000000"/>
                <w:sz w:val="20"/>
              </w:rPr>
              <w:t>Microbiológico</w:t>
            </w:r>
          </w:p>
        </w:tc>
      </w:tr>
      <w:tr>
        <w:tc>
          <w:tcPr>
            <w:tcW w:type="dxa" w:w="3135"/>
          </w:tcPr>
          <w:p>
            <w:pPr>
              <w:spacing w:line="240" w:lineRule="auto"/>
            </w:pPr>
            <w:r/>
            <w:r>
              <w:rPr>
                <w:rFonts w:ascii="Times New Roman" w:hAnsi="Times New Roman"/>
                <w:b w:val="0"/>
                <w:i w:val="0"/>
                <w:color w:val="000000"/>
                <w:sz w:val="20"/>
              </w:rPr>
              <w:t>Cianobactérias</w:t>
            </w:r>
          </w:p>
        </w:tc>
        <w:tc>
          <w:tcPr>
            <w:tcW w:type="dxa" w:w="3135"/>
          </w:tcPr>
          <w:p>
            <w:pPr>
              <w:spacing w:line="240" w:lineRule="auto"/>
            </w:pPr>
            <w:r/>
            <w:r>
              <w:rPr>
                <w:rFonts w:ascii="Times New Roman" w:hAnsi="Times New Roman"/>
                <w:b w:val="0"/>
                <w:i w:val="0"/>
                <w:color w:val="000000"/>
                <w:sz w:val="20"/>
              </w:rPr>
              <w:t>≤ 10.000 células/mL</w:t>
            </w:r>
          </w:p>
        </w:tc>
        <w:tc>
          <w:tcPr>
            <w:tcW w:type="dxa" w:w="3135"/>
          </w:tcPr>
          <w:p>
            <w:pPr>
              <w:spacing w:line="240" w:lineRule="auto"/>
            </w:pPr>
            <w:r/>
            <w:r>
              <w:rPr>
                <w:rFonts w:ascii="Times New Roman" w:hAnsi="Times New Roman"/>
                <w:b w:val="0"/>
                <w:i w:val="0"/>
                <w:color w:val="000000"/>
                <w:sz w:val="20"/>
              </w:rPr>
              <w:t>Microbiológico</w:t>
            </w:r>
          </w:p>
        </w:tc>
      </w:tr>
      <w:tr>
        <w:tc>
          <w:tcPr>
            <w:tcW w:type="dxa" w:w="3135"/>
          </w:tcPr>
          <w:p>
            <w:pPr>
              <w:spacing w:line="240" w:lineRule="auto"/>
            </w:pPr>
            <w:r/>
            <w:r>
              <w:rPr>
                <w:rFonts w:ascii="Times New Roman" w:hAnsi="Times New Roman"/>
                <w:b w:val="0"/>
                <w:i w:val="0"/>
                <w:color w:val="000000"/>
                <w:sz w:val="20"/>
              </w:rPr>
              <w:t>Chumbo</w:t>
            </w:r>
          </w:p>
        </w:tc>
        <w:tc>
          <w:tcPr>
            <w:tcW w:type="dxa" w:w="3135"/>
          </w:tcPr>
          <w:p>
            <w:pPr>
              <w:spacing w:line="240" w:lineRule="auto"/>
            </w:pPr>
            <w:r/>
            <w:r>
              <w:rPr>
                <w:rFonts w:ascii="Times New Roman" w:hAnsi="Times New Roman"/>
                <w:b w:val="0"/>
                <w:i w:val="0"/>
                <w:color w:val="000000"/>
                <w:sz w:val="20"/>
              </w:rPr>
              <w:t>≤ 0,01 mg/L</w:t>
            </w:r>
          </w:p>
        </w:tc>
        <w:tc>
          <w:tcPr>
            <w:tcW w:type="dxa" w:w="3135"/>
          </w:tcPr>
          <w:p>
            <w:pPr>
              <w:spacing w:line="240" w:lineRule="auto"/>
            </w:pPr>
            <w:r/>
            <w:r>
              <w:rPr>
                <w:rFonts w:ascii="Times New Roman" w:hAnsi="Times New Roman"/>
                <w:b w:val="0"/>
                <w:i w:val="0"/>
                <w:color w:val="000000"/>
                <w:sz w:val="20"/>
              </w:rPr>
              <w:t>Inorgânico</w:t>
            </w:r>
          </w:p>
        </w:tc>
      </w:tr>
      <w:tr>
        <w:tc>
          <w:tcPr>
            <w:tcW w:type="dxa" w:w="3135"/>
          </w:tcPr>
          <w:p>
            <w:pPr>
              <w:spacing w:line="240" w:lineRule="auto"/>
            </w:pPr>
            <w:r/>
            <w:r>
              <w:rPr>
                <w:rFonts w:ascii="Times New Roman" w:hAnsi="Times New Roman"/>
                <w:b w:val="0"/>
                <w:i w:val="0"/>
                <w:color w:val="000000"/>
                <w:sz w:val="20"/>
              </w:rPr>
              <w:t>Mercúrio total</w:t>
            </w:r>
          </w:p>
        </w:tc>
        <w:tc>
          <w:tcPr>
            <w:tcW w:type="dxa" w:w="3135"/>
          </w:tcPr>
          <w:p>
            <w:pPr>
              <w:spacing w:line="240" w:lineRule="auto"/>
            </w:pPr>
            <w:r/>
            <w:r>
              <w:rPr>
                <w:rFonts w:ascii="Times New Roman" w:hAnsi="Times New Roman"/>
                <w:b w:val="0"/>
                <w:i w:val="0"/>
                <w:color w:val="000000"/>
                <w:sz w:val="20"/>
              </w:rPr>
              <w:t>≤ 0,001 mg/L</w:t>
            </w:r>
          </w:p>
        </w:tc>
        <w:tc>
          <w:tcPr>
            <w:tcW w:type="dxa" w:w="3135"/>
          </w:tcPr>
          <w:p>
            <w:pPr>
              <w:spacing w:line="240" w:lineRule="auto"/>
            </w:pPr>
            <w:r/>
            <w:r>
              <w:rPr>
                <w:rFonts w:ascii="Times New Roman" w:hAnsi="Times New Roman"/>
                <w:b w:val="0"/>
                <w:i w:val="0"/>
                <w:color w:val="000000"/>
                <w:sz w:val="20"/>
              </w:rPr>
              <w:t>Inorgânico</w:t>
            </w:r>
          </w:p>
        </w:tc>
      </w:tr>
      <w:tr>
        <w:tc>
          <w:tcPr>
            <w:tcW w:type="dxa" w:w="3135"/>
          </w:tcPr>
          <w:p>
            <w:pPr>
              <w:spacing w:line="240" w:lineRule="auto"/>
            </w:pPr>
            <w:r/>
            <w:r>
              <w:rPr>
                <w:rFonts w:ascii="Times New Roman" w:hAnsi="Times New Roman"/>
                <w:b w:val="0"/>
                <w:i w:val="0"/>
                <w:color w:val="000000"/>
                <w:sz w:val="20"/>
              </w:rPr>
              <w:t>Cádmio</w:t>
            </w:r>
          </w:p>
        </w:tc>
        <w:tc>
          <w:tcPr>
            <w:tcW w:type="dxa" w:w="3135"/>
          </w:tcPr>
          <w:p>
            <w:pPr>
              <w:spacing w:line="240" w:lineRule="auto"/>
            </w:pPr>
            <w:r/>
            <w:r>
              <w:rPr>
                <w:rFonts w:ascii="Times New Roman" w:hAnsi="Times New Roman"/>
                <w:b w:val="0"/>
                <w:i w:val="0"/>
                <w:color w:val="000000"/>
                <w:sz w:val="20"/>
              </w:rPr>
              <w:t>≤ 0,003 mg/L</w:t>
            </w:r>
          </w:p>
        </w:tc>
        <w:tc>
          <w:tcPr>
            <w:tcW w:type="dxa" w:w="3135"/>
          </w:tcPr>
          <w:p>
            <w:pPr>
              <w:spacing w:line="240" w:lineRule="auto"/>
            </w:pPr>
            <w:r/>
            <w:r>
              <w:rPr>
                <w:rFonts w:ascii="Times New Roman" w:hAnsi="Times New Roman"/>
                <w:b w:val="0"/>
                <w:i w:val="0"/>
                <w:color w:val="000000"/>
                <w:sz w:val="20"/>
              </w:rPr>
              <w:t>Inorgânico</w:t>
            </w:r>
          </w:p>
        </w:tc>
      </w:tr>
      <w:tr>
        <w:tc>
          <w:tcPr>
            <w:tcW w:type="dxa" w:w="3135"/>
          </w:tcPr>
          <w:p>
            <w:pPr>
              <w:spacing w:line="240" w:lineRule="auto"/>
            </w:pPr>
            <w:r/>
            <w:r>
              <w:rPr>
                <w:rFonts w:ascii="Times New Roman" w:hAnsi="Times New Roman"/>
                <w:b w:val="0"/>
                <w:i w:val="0"/>
                <w:color w:val="000000"/>
                <w:sz w:val="20"/>
              </w:rPr>
              <w:t>Arsênio</w:t>
            </w:r>
          </w:p>
        </w:tc>
        <w:tc>
          <w:tcPr>
            <w:tcW w:type="dxa" w:w="3135"/>
          </w:tcPr>
          <w:p>
            <w:pPr>
              <w:spacing w:line="240" w:lineRule="auto"/>
            </w:pPr>
            <w:r/>
            <w:r>
              <w:rPr>
                <w:rFonts w:ascii="Times New Roman" w:hAnsi="Times New Roman"/>
                <w:b w:val="0"/>
                <w:i w:val="0"/>
                <w:color w:val="000000"/>
                <w:sz w:val="20"/>
              </w:rPr>
              <w:t>≤ 0,01 mg/L</w:t>
            </w:r>
          </w:p>
        </w:tc>
        <w:tc>
          <w:tcPr>
            <w:tcW w:type="dxa" w:w="3135"/>
          </w:tcPr>
          <w:p>
            <w:pPr>
              <w:spacing w:line="240" w:lineRule="auto"/>
            </w:pPr>
            <w:r/>
            <w:r>
              <w:rPr>
                <w:rFonts w:ascii="Times New Roman" w:hAnsi="Times New Roman"/>
                <w:b w:val="0"/>
                <w:i w:val="0"/>
                <w:color w:val="000000"/>
                <w:sz w:val="20"/>
              </w:rPr>
              <w:t>Inorgânico</w:t>
            </w:r>
          </w:p>
        </w:tc>
      </w:tr>
      <w:tr>
        <w:tc>
          <w:tcPr>
            <w:tcW w:type="dxa" w:w="3135"/>
          </w:tcPr>
          <w:p>
            <w:pPr>
              <w:spacing w:line="240" w:lineRule="auto"/>
            </w:pPr>
            <w:r/>
            <w:r>
              <w:rPr>
                <w:rFonts w:ascii="Times New Roman" w:hAnsi="Times New Roman"/>
                <w:b w:val="0"/>
                <w:i w:val="0"/>
                <w:color w:val="000000"/>
                <w:sz w:val="20"/>
              </w:rPr>
              <w:t>Cromo</w:t>
            </w:r>
          </w:p>
        </w:tc>
        <w:tc>
          <w:tcPr>
            <w:tcW w:type="dxa" w:w="3135"/>
          </w:tcPr>
          <w:p>
            <w:pPr>
              <w:spacing w:line="240" w:lineRule="auto"/>
            </w:pPr>
            <w:r/>
            <w:r>
              <w:rPr>
                <w:rFonts w:ascii="Times New Roman" w:hAnsi="Times New Roman"/>
                <w:b w:val="0"/>
                <w:i w:val="0"/>
                <w:color w:val="000000"/>
                <w:sz w:val="20"/>
              </w:rPr>
              <w:t>≤ 0,05 mg/L</w:t>
            </w:r>
          </w:p>
        </w:tc>
        <w:tc>
          <w:tcPr>
            <w:tcW w:type="dxa" w:w="3135"/>
          </w:tcPr>
          <w:p>
            <w:pPr>
              <w:spacing w:line="240" w:lineRule="auto"/>
            </w:pPr>
            <w:r/>
            <w:r>
              <w:rPr>
                <w:rFonts w:ascii="Times New Roman" w:hAnsi="Times New Roman"/>
                <w:b w:val="0"/>
                <w:i w:val="0"/>
                <w:color w:val="000000"/>
                <w:sz w:val="20"/>
              </w:rPr>
              <w:t>Inorgânico</w:t>
            </w:r>
          </w:p>
        </w:tc>
      </w:tr>
    </w:tbl>
    <w:p/>
    <w:p>
      <w:pPr>
        <w:spacing w:after="120"/>
        <w:ind w:firstLine="709"/>
      </w:pPr>
      <w:r>
        <w:rPr>
          <w:rFonts w:ascii="Times New Roman" w:hAnsi="Times New Roman"/>
          <w:b w:val="0"/>
          <w:i w:val="0"/>
          <w:color w:val="000000"/>
        </w:rPr>
        <w:t>Fonte: Portaria GM/MS nº 888, de 4 de maio de 2021 (BRASIL, 2021).</w:t>
      </w:r>
    </w:p>
    <w:p>
      <w:pPr>
        <w:spacing w:before="120" w:after="80"/>
        <w:jc w:val="center"/>
      </w:pPr>
      <w:r>
        <w:rPr>
          <w:rFonts w:ascii="Times New Roman" w:hAnsi="Times New Roman"/>
          <w:b w:val="0"/>
          <w:i w:val="0"/>
          <w:color w:val="000000"/>
          <w:sz w:val="26"/>
        </w:rPr>
        <w:t>6 IMPACTO SOCIAL E ATENDIMENTO POPULACIONAL</w:t>
      </w:r>
    </w:p>
    <w:p>
      <w:pPr>
        <w:spacing w:after="120"/>
        <w:ind w:firstLine="709"/>
      </w:pPr>
      <w:r>
        <w:rPr>
          <w:rFonts w:ascii="Times New Roman" w:hAnsi="Times New Roman"/>
          <w:b w:val="0"/>
          <w:i w:val="0"/>
          <w:color w:val="000000"/>
        </w:rPr>
        <w:t>O padrão humanitário mínimo de abastecimento em resposta emergencial é de 15 litros por pessoa por dia (SPHERE ASSOCIATION, 2018), valor bastante inferior ao consumo doméstico de rotina (cerca de 110 L/pessoa/dia, referência setorial brasileira). Aplicando esse padrão à vazão de saída de cada cenário, a Tabela 4 apresenta a população potencialmente atendida por uma única unidade ESTAS.</w:t>
      </w:r>
    </w:p>
    <w:p>
      <w:pPr>
        <w:spacing w:after="120"/>
        <w:ind w:firstLine="709"/>
      </w:pPr>
      <w:r>
        <w:rPr>
          <w:rFonts w:ascii="Times New Roman" w:hAnsi="Times New Roman"/>
          <w:b/>
          <w:i w:val="0"/>
          <w:color w:val="000000"/>
        </w:rPr>
        <w:t>Tabela 4 — Atendimento populacional estimado por cenário</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
              <w:rPr>
                <w:rFonts w:ascii="Times New Roman" w:hAnsi="Times New Roman"/>
                <w:b/>
                <w:i w:val="0"/>
                <w:color w:val="000000"/>
                <w:sz w:val="20"/>
              </w:rPr>
              <w:t>Cenário</w:t>
            </w:r>
          </w:p>
        </w:tc>
        <w:tc>
          <w:tcPr>
            <w:tcW w:type="dxa" w:w="2351"/>
          </w:tcPr>
          <w:p>
            <w:pPr>
              <w:spacing w:line="240" w:lineRule="auto"/>
            </w:pPr>
            <w:r/>
            <w:r>
              <w:rPr>
                <w:rFonts w:ascii="Times New Roman" w:hAnsi="Times New Roman"/>
                <w:b/>
                <w:i w:val="0"/>
                <w:color w:val="000000"/>
                <w:sz w:val="20"/>
              </w:rPr>
              <w:t>Água tratada/dia (m³)</w:t>
            </w:r>
          </w:p>
        </w:tc>
        <w:tc>
          <w:tcPr>
            <w:tcW w:type="dxa" w:w="2351"/>
          </w:tcPr>
          <w:p>
            <w:pPr>
              <w:spacing w:line="240" w:lineRule="auto"/>
            </w:pPr>
            <w:r/>
            <w:r>
              <w:rPr>
                <w:rFonts w:ascii="Times New Roman" w:hAnsi="Times New Roman"/>
                <w:b/>
                <w:i w:val="0"/>
                <w:color w:val="000000"/>
                <w:sz w:val="20"/>
              </w:rPr>
              <w:t>Pessoas atendidas (padrão emergencial, 15 L/dia)</w:t>
            </w:r>
          </w:p>
        </w:tc>
        <w:tc>
          <w:tcPr>
            <w:tcW w:type="dxa" w:w="2351"/>
          </w:tcPr>
          <w:p>
            <w:pPr>
              <w:spacing w:line="240" w:lineRule="auto"/>
            </w:pPr>
            <w:r/>
            <w:r>
              <w:rPr>
                <w:rFonts w:ascii="Times New Roman" w:hAnsi="Times New Roman"/>
                <w:b/>
                <w:i w:val="0"/>
                <w:color w:val="000000"/>
                <w:sz w:val="20"/>
              </w:rPr>
              <w:t>Pessoas atendidas (padrão doméstico, 110 L/dia)</w:t>
            </w:r>
          </w:p>
        </w:tc>
      </w:tr>
      <w:tr>
        <w:tc>
          <w:tcPr>
            <w:tcW w:type="dxa" w:w="2351"/>
          </w:tcPr>
          <w:p>
            <w:pPr>
              <w:spacing w:line="240" w:lineRule="auto"/>
            </w:pPr>
            <w:r/>
            <w:r>
              <w:rPr>
                <w:rFonts w:ascii="Times New Roman" w:hAnsi="Times New Roman"/>
                <w:b w:val="0"/>
                <w:i w:val="0"/>
                <w:color w:val="000000"/>
                <w:sz w:val="20"/>
              </w:rPr>
              <w:t>Chuva comum</w:t>
            </w:r>
          </w:p>
        </w:tc>
        <w:tc>
          <w:tcPr>
            <w:tcW w:type="dxa" w:w="2351"/>
          </w:tcPr>
          <w:p>
            <w:pPr>
              <w:spacing w:line="240" w:lineRule="auto"/>
            </w:pPr>
            <w:r/>
            <w:r>
              <w:rPr>
                <w:rFonts w:ascii="Times New Roman" w:hAnsi="Times New Roman"/>
                <w:b w:val="0"/>
                <w:i w:val="0"/>
                <w:color w:val="000000"/>
                <w:sz w:val="20"/>
              </w:rPr>
              <w:t>985</w:t>
            </w:r>
          </w:p>
        </w:tc>
        <w:tc>
          <w:tcPr>
            <w:tcW w:type="dxa" w:w="2351"/>
          </w:tcPr>
          <w:p>
            <w:pPr>
              <w:spacing w:line="240" w:lineRule="auto"/>
            </w:pPr>
            <w:r/>
            <w:r>
              <w:rPr>
                <w:rFonts w:ascii="Times New Roman" w:hAnsi="Times New Roman"/>
                <w:b w:val="0"/>
                <w:i w:val="0"/>
                <w:color w:val="000000"/>
                <w:sz w:val="20"/>
              </w:rPr>
              <w:t>65.664</w:t>
            </w:r>
          </w:p>
        </w:tc>
        <w:tc>
          <w:tcPr>
            <w:tcW w:type="dxa" w:w="2351"/>
          </w:tcPr>
          <w:p>
            <w:pPr>
              <w:spacing w:line="240" w:lineRule="auto"/>
            </w:pPr>
            <w:r/>
            <w:r>
              <w:rPr>
                <w:rFonts w:ascii="Times New Roman" w:hAnsi="Times New Roman"/>
                <w:b w:val="0"/>
                <w:i w:val="0"/>
                <w:color w:val="000000"/>
                <w:sz w:val="20"/>
              </w:rPr>
              <w:t>8.954</w:t>
            </w:r>
          </w:p>
        </w:tc>
      </w:tr>
      <w:tr>
        <w:tc>
          <w:tcPr>
            <w:tcW w:type="dxa" w:w="2351"/>
          </w:tcPr>
          <w:p>
            <w:pPr>
              <w:spacing w:line="240" w:lineRule="auto"/>
            </w:pPr>
            <w:r/>
            <w:r>
              <w:rPr>
                <w:rFonts w:ascii="Times New Roman" w:hAnsi="Times New Roman"/>
                <w:b w:val="0"/>
                <w:i w:val="0"/>
                <w:color w:val="000000"/>
                <w:sz w:val="20"/>
              </w:rPr>
              <w:t>Enchente urbana</w:t>
            </w:r>
          </w:p>
        </w:tc>
        <w:tc>
          <w:tcPr>
            <w:tcW w:type="dxa" w:w="2351"/>
          </w:tcPr>
          <w:p>
            <w:pPr>
              <w:spacing w:line="240" w:lineRule="auto"/>
            </w:pPr>
            <w:r/>
            <w:r>
              <w:rPr>
                <w:rFonts w:ascii="Times New Roman" w:hAnsi="Times New Roman"/>
                <w:b w:val="0"/>
                <w:i w:val="0"/>
                <w:color w:val="000000"/>
                <w:sz w:val="20"/>
              </w:rPr>
              <w:t>1.477</w:t>
            </w:r>
          </w:p>
        </w:tc>
        <w:tc>
          <w:tcPr>
            <w:tcW w:type="dxa" w:w="2351"/>
          </w:tcPr>
          <w:p>
            <w:pPr>
              <w:spacing w:line="240" w:lineRule="auto"/>
            </w:pPr>
            <w:r/>
            <w:r>
              <w:rPr>
                <w:rFonts w:ascii="Times New Roman" w:hAnsi="Times New Roman"/>
                <w:b w:val="0"/>
                <w:i w:val="0"/>
                <w:color w:val="000000"/>
                <w:sz w:val="20"/>
              </w:rPr>
              <w:t>98.496</w:t>
            </w:r>
          </w:p>
        </w:tc>
        <w:tc>
          <w:tcPr>
            <w:tcW w:type="dxa" w:w="2351"/>
          </w:tcPr>
          <w:p>
            <w:pPr>
              <w:spacing w:line="240" w:lineRule="auto"/>
            </w:pPr>
            <w:r/>
            <w:r>
              <w:rPr>
                <w:rFonts w:ascii="Times New Roman" w:hAnsi="Times New Roman"/>
                <w:b w:val="0"/>
                <w:i w:val="0"/>
                <w:color w:val="000000"/>
                <w:sz w:val="20"/>
              </w:rPr>
              <w:t>13.431</w:t>
            </w:r>
          </w:p>
        </w:tc>
      </w:tr>
      <w:tr>
        <w:tc>
          <w:tcPr>
            <w:tcW w:type="dxa" w:w="2351"/>
          </w:tcPr>
          <w:p>
            <w:pPr>
              <w:spacing w:line="240" w:lineRule="auto"/>
            </w:pPr>
            <w:r/>
            <w:r>
              <w:rPr>
                <w:rFonts w:ascii="Times New Roman" w:hAnsi="Times New Roman"/>
                <w:b w:val="0"/>
                <w:i w:val="0"/>
                <w:color w:val="000000"/>
                <w:sz w:val="20"/>
              </w:rPr>
              <w:t>Rejeito de mineração</w:t>
            </w:r>
          </w:p>
        </w:tc>
        <w:tc>
          <w:tcPr>
            <w:tcW w:type="dxa" w:w="2351"/>
          </w:tcPr>
          <w:p>
            <w:pPr>
              <w:spacing w:line="240" w:lineRule="auto"/>
            </w:pPr>
            <w:r/>
            <w:r>
              <w:rPr>
                <w:rFonts w:ascii="Times New Roman" w:hAnsi="Times New Roman"/>
                <w:b w:val="0"/>
                <w:i w:val="0"/>
                <w:color w:val="000000"/>
                <w:sz w:val="20"/>
              </w:rPr>
              <w:t>739</w:t>
            </w:r>
          </w:p>
        </w:tc>
        <w:tc>
          <w:tcPr>
            <w:tcW w:type="dxa" w:w="2351"/>
          </w:tcPr>
          <w:p>
            <w:pPr>
              <w:spacing w:line="240" w:lineRule="auto"/>
            </w:pPr>
            <w:r/>
            <w:r>
              <w:rPr>
                <w:rFonts w:ascii="Times New Roman" w:hAnsi="Times New Roman"/>
                <w:b w:val="0"/>
                <w:i w:val="0"/>
                <w:color w:val="000000"/>
                <w:sz w:val="20"/>
              </w:rPr>
              <w:t>49.248</w:t>
            </w:r>
          </w:p>
        </w:tc>
        <w:tc>
          <w:tcPr>
            <w:tcW w:type="dxa" w:w="2351"/>
          </w:tcPr>
          <w:p>
            <w:pPr>
              <w:spacing w:line="240" w:lineRule="auto"/>
            </w:pPr>
            <w:r/>
            <w:r>
              <w:rPr>
                <w:rFonts w:ascii="Times New Roman" w:hAnsi="Times New Roman"/>
                <w:b w:val="0"/>
                <w:i w:val="0"/>
                <w:color w:val="000000"/>
                <w:sz w:val="20"/>
              </w:rPr>
              <w:t>6.716</w:t>
            </w:r>
          </w:p>
        </w:tc>
      </w:tr>
    </w:tbl>
    <w:p/>
    <w:p>
      <w:pPr>
        <w:spacing w:after="120"/>
        <w:ind w:firstLine="709"/>
      </w:pPr>
      <w:r>
        <w:rPr>
          <w:rFonts w:ascii="Times New Roman" w:hAnsi="Times New Roman"/>
          <w:b w:val="0"/>
          <w:i w:val="0"/>
          <w:color w:val="000000"/>
        </w:rPr>
        <w:t>Fonte: elaboração própria.</w:t>
      </w:r>
    </w:p>
    <w:p>
      <w:pPr>
        <w:spacing w:after="120"/>
        <w:ind w:firstLine="709"/>
      </w:pPr>
      <w:r>
        <w:rPr>
          <w:rFonts w:ascii="Times New Roman" w:hAnsi="Times New Roman"/>
          <w:b w:val="0"/>
          <w:i w:val="0"/>
          <w:color w:val="000000"/>
        </w:rPr>
        <w:t xml:space="preserve">Esses números devem ser lidos como capacidade </w:t>
      </w:r>
      <w:r>
        <w:rPr>
          <w:rFonts w:ascii="Times New Roman" w:hAnsi="Times New Roman"/>
          <w:b/>
          <w:i w:val="0"/>
          <w:color w:val="000000"/>
        </w:rPr>
        <w:t>teórica de vazão</w:t>
      </w:r>
      <w:r>
        <w:rPr>
          <w:rFonts w:ascii="Times New Roman" w:hAnsi="Times New Roman"/>
          <w:b w:val="0"/>
          <w:i w:val="0"/>
          <w:color w:val="000000"/>
        </w:rPr>
        <w:t>, não como garantia de distribuição — a logística de última milha (reservatórios móveis, caminhões-pipa, rede provisória) não está dimensionada neste estudo e seria objeto de projeto complementar.</w:t>
      </w:r>
    </w:p>
    <w:p>
      <w:pPr>
        <w:spacing w:before="120" w:after="80"/>
        <w:jc w:val="center"/>
      </w:pPr>
      <w:r>
        <w:rPr>
          <w:rFonts w:ascii="Times New Roman" w:hAnsi="Times New Roman"/>
          <w:b w:val="0"/>
          <w:i w:val="0"/>
          <w:color w:val="000000"/>
          <w:sz w:val="26"/>
        </w:rPr>
        <w:t>7 COMO O PODER PÚBLICO PODERIA IMPLEMENTAR A ESTAS</w:t>
      </w:r>
    </w:p>
    <w:p>
      <w:pPr>
        <w:spacing w:after="120"/>
        <w:ind w:firstLine="709"/>
      </w:pPr>
      <w:r>
        <w:rPr>
          <w:rFonts w:ascii="Times New Roman" w:hAnsi="Times New Roman"/>
          <w:b w:val="0"/>
          <w:i w:val="0"/>
          <w:color w:val="000000"/>
        </w:rPr>
        <w:t xml:space="preserve">Esta seção é uma </w:t>
      </w:r>
      <w:r>
        <w:rPr>
          <w:rFonts w:ascii="Times New Roman" w:hAnsi="Times New Roman"/>
          <w:b/>
          <w:i w:val="0"/>
          <w:color w:val="000000"/>
        </w:rPr>
        <w:t>proposta de caminho institucional</w:t>
      </w:r>
      <w:r>
        <w:rPr>
          <w:rFonts w:ascii="Times New Roman" w:hAnsi="Times New Roman"/>
          <w:b w:val="0"/>
          <w:i w:val="0"/>
          <w:color w:val="000000"/>
        </w:rPr>
        <w:t>, não a descrição de um programa já existente. Baseia-se no arranjo institucional e no marco legal brasileiro atualmente vigentes para saneamento e resposta a desastres.</w:t>
      </w:r>
    </w:p>
    <w:p>
      <w:pPr>
        <w:keepNext/>
        <w:spacing w:before="280" w:after="120"/>
      </w:pPr>
      <w:r>
        <w:rPr>
          <w:rFonts w:ascii="Times New Roman" w:hAnsi="Times New Roman"/>
          <w:b/>
          <w:i w:val="0"/>
          <w:color w:val="000000"/>
          <w:sz w:val="24"/>
        </w:rPr>
        <w:t>7.1 Órgãos competentes</w:t>
      </w:r>
    </w:p>
    <w:p>
      <w:pPr>
        <w:spacing w:after="120"/>
        <w:ind w:firstLine="709"/>
      </w:pPr>
      <w:r>
        <w:rPr>
          <w:rFonts w:ascii="Times New Roman" w:hAnsi="Times New Roman"/>
          <w:b w:val="0"/>
          <w:i w:val="0"/>
          <w:color w:val="000000"/>
        </w:rPr>
        <w:t xml:space="preserve">No nível federal, o </w:t>
      </w:r>
      <w:r>
        <w:rPr>
          <w:rFonts w:ascii="Times New Roman" w:hAnsi="Times New Roman"/>
          <w:b/>
          <w:i w:val="0"/>
          <w:color w:val="000000"/>
        </w:rPr>
        <w:t>Ministério das Cidades</w:t>
      </w:r>
      <w:r>
        <w:rPr>
          <w:rFonts w:ascii="Times New Roman" w:hAnsi="Times New Roman"/>
          <w:b w:val="0"/>
          <w:i w:val="0"/>
          <w:color w:val="000000"/>
        </w:rPr>
        <w:t xml:space="preserve"> é o órgão responsável pela política de saneamento básico desde a reorganização promovida pelo novo marco do saneamento (Lei nº 14.026/2020). A resposta a desastres é coordenada pela </w:t>
      </w:r>
      <w:r>
        <w:rPr>
          <w:rFonts w:ascii="Times New Roman" w:hAnsi="Times New Roman"/>
          <w:b/>
          <w:i w:val="0"/>
          <w:color w:val="000000"/>
        </w:rPr>
        <w:t>Secretaria Nacional de Proteção e Defesa Civil (SEDEC)</w:t>
      </w:r>
      <w:r>
        <w:rPr>
          <w:rFonts w:ascii="Times New Roman" w:hAnsi="Times New Roman"/>
          <w:b w:val="0"/>
          <w:i w:val="0"/>
          <w:color w:val="000000"/>
        </w:rPr>
        <w:t xml:space="preserve">, vinculada ao Ministério da Integração e do Desenvolvimento Regional, por meio do </w:t>
      </w:r>
      <w:r>
        <w:rPr>
          <w:rFonts w:ascii="Times New Roman" w:hAnsi="Times New Roman"/>
          <w:b/>
          <w:i w:val="0"/>
          <w:color w:val="000000"/>
        </w:rPr>
        <w:t>Centro Nacional de Gerenciamento de Riscos e Desastres (CENAD)</w:t>
      </w:r>
      <w:r>
        <w:rPr>
          <w:rFonts w:ascii="Times New Roman" w:hAnsi="Times New Roman"/>
          <w:b w:val="0"/>
          <w:i w:val="0"/>
          <w:color w:val="000000"/>
        </w:rPr>
        <w:t>. A vigilância da qualidade da água é atribuição do Ministério da Saúde, via a Portaria GM/MS nº 888/2021. No nível estadual e municipal, as Coordenadorias Estaduais e Municipais de Defesa Civil seriam as operadoras naturais de uma unidade móvel como a ESTAS.</w:t>
      </w:r>
    </w:p>
    <w:p>
      <w:pPr>
        <w:keepNext/>
        <w:spacing w:before="280" w:after="120"/>
      </w:pPr>
      <w:r>
        <w:rPr>
          <w:rFonts w:ascii="Times New Roman" w:hAnsi="Times New Roman"/>
          <w:b/>
          <w:i w:val="0"/>
          <w:color w:val="000000"/>
          <w:sz w:val="24"/>
        </w:rPr>
        <w:t>7.2 Marco legal aplicável</w:t>
      </w:r>
    </w:p>
    <w:p>
      <w:pPr>
        <w:spacing w:after="120"/>
        <w:ind w:firstLine="709"/>
      </w:pPr>
      <w:r>
        <w:rPr>
          <w:rFonts w:ascii="Times New Roman" w:hAnsi="Times New Roman"/>
          <w:b w:val="0"/>
          <w:i w:val="0"/>
          <w:color w:val="000000"/>
        </w:rPr>
        <w:t xml:space="preserve">A </w:t>
      </w:r>
      <w:r>
        <w:rPr>
          <w:rFonts w:ascii="Times New Roman" w:hAnsi="Times New Roman"/>
          <w:b/>
          <w:i w:val="0"/>
          <w:color w:val="000000"/>
        </w:rPr>
        <w:t>Lei nº 12.608/2012</w:t>
      </w:r>
      <w:r>
        <w:rPr>
          <w:rFonts w:ascii="Times New Roman" w:hAnsi="Times New Roman"/>
          <w:b w:val="0"/>
          <w:i w:val="0"/>
          <w:color w:val="000000"/>
        </w:rPr>
        <w:t xml:space="preserve"> institui a Política Nacional de Proteção e Defesa Civil (PNPDEC) e prevê ações de resposta e recuperação em áreas atingidas por desastres — arcabouço sob o qual uma unidade de tratamento emergencial se enquadraria. A </w:t>
      </w:r>
      <w:r>
        <w:rPr>
          <w:rFonts w:ascii="Times New Roman" w:hAnsi="Times New Roman"/>
          <w:b/>
          <w:i w:val="0"/>
          <w:color w:val="000000"/>
        </w:rPr>
        <w:t>Lei nº 14.026/2020</w:t>
      </w:r>
      <w:r>
        <w:rPr>
          <w:rFonts w:ascii="Times New Roman" w:hAnsi="Times New Roman"/>
          <w:b w:val="0"/>
          <w:i w:val="0"/>
          <w:color w:val="000000"/>
        </w:rPr>
        <w:t xml:space="preserve"> (novo marco do saneamento) estabelece metas de universalização do acesso à água potável e ao esgotamento sanitário até 2033, criando incentivo regulatório para soluções que ampliem a cobertura em situações excepcionais. Em situação de calamidade pública formalmente decretada, a </w:t>
      </w:r>
      <w:r>
        <w:rPr>
          <w:rFonts w:ascii="Times New Roman" w:hAnsi="Times New Roman"/>
          <w:b/>
          <w:i w:val="0"/>
          <w:color w:val="000000"/>
        </w:rPr>
        <w:t>Lei nº 14.133/2021</w:t>
      </w:r>
      <w:r>
        <w:rPr>
          <w:rFonts w:ascii="Times New Roman" w:hAnsi="Times New Roman"/>
          <w:b w:val="0"/>
          <w:i w:val="0"/>
          <w:color w:val="000000"/>
        </w:rPr>
        <w:t xml:space="preserve"> (Nova Lei de Licitações), em seu art. 75, autoriza a contratação por dispensa de licitação para atendimento emergencial — via pela qual a aquisição ou instalação de uma unidade ESTAS poderia ser viabilizada rapidamente após um desastre.</w:t>
      </w:r>
    </w:p>
    <w:p>
      <w:pPr>
        <w:keepNext/>
        <w:spacing w:before="280" w:after="120"/>
      </w:pPr>
      <w:r>
        <w:rPr>
          <w:rFonts w:ascii="Times New Roman" w:hAnsi="Times New Roman"/>
          <w:b/>
          <w:i w:val="0"/>
          <w:color w:val="000000"/>
          <w:sz w:val="24"/>
        </w:rPr>
        <w:t>7.3 Financiamento</w:t>
      </w:r>
    </w:p>
    <w:p>
      <w:pPr>
        <w:spacing w:after="120"/>
        <w:ind w:firstLine="709"/>
      </w:pPr>
      <w:r>
        <w:rPr>
          <w:rFonts w:ascii="Times New Roman" w:hAnsi="Times New Roman"/>
          <w:b w:val="0"/>
          <w:i w:val="0"/>
          <w:color w:val="000000"/>
        </w:rPr>
        <w:t xml:space="preserve">Três vias de financiamento público são tecnicamente aplicáveis: (i) recursos do </w:t>
      </w:r>
      <w:r>
        <w:rPr>
          <w:rFonts w:ascii="Times New Roman" w:hAnsi="Times New Roman"/>
          <w:b/>
          <w:i w:val="0"/>
          <w:color w:val="000000"/>
        </w:rPr>
        <w:t>Fundo Nacional de Calamidades Públicas, Proteção e Defesa Civil</w:t>
      </w:r>
      <w:r>
        <w:rPr>
          <w:rFonts w:ascii="Times New Roman" w:hAnsi="Times New Roman"/>
          <w:b w:val="0"/>
          <w:i w:val="0"/>
          <w:color w:val="000000"/>
        </w:rPr>
        <w:t xml:space="preserve">, criado pela Lei nº 12.340/2010, destinado especificamente a ações de resposta a desastres; (ii) linhas de crédito para saneamento do </w:t>
      </w:r>
      <w:r>
        <w:rPr>
          <w:rFonts w:ascii="Times New Roman" w:hAnsi="Times New Roman"/>
          <w:b/>
          <w:i w:val="0"/>
          <w:color w:val="000000"/>
        </w:rPr>
        <w:t>BNDES</w:t>
      </w:r>
      <w:r>
        <w:rPr>
          <w:rFonts w:ascii="Times New Roman" w:hAnsi="Times New Roman"/>
          <w:b w:val="0"/>
          <w:i w:val="0"/>
          <w:color w:val="000000"/>
        </w:rPr>
        <w:t xml:space="preserve"> e da </w:t>
      </w:r>
      <w:r>
        <w:rPr>
          <w:rFonts w:ascii="Times New Roman" w:hAnsi="Times New Roman"/>
          <w:b/>
          <w:i w:val="0"/>
          <w:color w:val="000000"/>
        </w:rPr>
        <w:t>Caixa Econômica Federal</w:t>
      </w:r>
      <w:r>
        <w:rPr>
          <w:rFonts w:ascii="Times New Roman" w:hAnsi="Times New Roman"/>
          <w:b w:val="0"/>
          <w:i w:val="0"/>
          <w:color w:val="000000"/>
        </w:rPr>
        <w:t>, hoje direcionadas a ETAs convencionais, mas que poderiam ser adaptadas para unidades modulares de resposta emergencial; (iii) emendas parlamentares de bancada estadual destinadas a saneamento e defesa civil, mecanismo já utilizado para aquisição de equipamentos de resposta a desastres pelos estados.</w:t>
      </w:r>
    </w:p>
    <w:p>
      <w:pPr>
        <w:keepNext/>
        <w:spacing w:before="280" w:after="120"/>
      </w:pPr>
      <w:r>
        <w:rPr>
          <w:rFonts w:ascii="Times New Roman" w:hAnsi="Times New Roman"/>
          <w:b/>
          <w:i w:val="0"/>
          <w:color w:val="000000"/>
          <w:sz w:val="24"/>
        </w:rPr>
        <w:t>7.4 Fases de implementação propostas</w:t>
      </w:r>
    </w:p>
    <w:p>
      <w:pPr>
        <w:spacing w:after="120"/>
        <w:ind w:firstLine="709"/>
      </w:pPr>
      <w:r>
        <w:rPr>
          <w:rFonts w:ascii="Times New Roman" w:hAnsi="Times New Roman"/>
          <w:b w:val="0"/>
          <w:i w:val="0"/>
          <w:color w:val="000000"/>
        </w:rPr>
        <w:t xml:space="preserve">Para que a ESTAS deixe de ser um protótipo conceitual e passe a operar como infraestrutura real, propõe-se a seguinte sequência: (1) </w:t>
      </w:r>
      <w:r>
        <w:rPr>
          <w:rFonts w:ascii="Times New Roman" w:hAnsi="Times New Roman"/>
          <w:b/>
          <w:i w:val="0"/>
          <w:color w:val="000000"/>
        </w:rPr>
        <w:t>ensaio de bancada</w:t>
      </w:r>
      <w:r>
        <w:rPr>
          <w:rFonts w:ascii="Times New Roman" w:hAnsi="Times New Roman"/>
          <w:b w:val="0"/>
          <w:i w:val="0"/>
          <w:color w:val="000000"/>
        </w:rPr>
        <w:t xml:space="preserve">, validando em laboratório as eficiências de remoção assumidas neste estudo para cada etapa, com água contaminada sintética e real; (2) </w:t>
      </w:r>
      <w:r>
        <w:rPr>
          <w:rFonts w:ascii="Times New Roman" w:hAnsi="Times New Roman"/>
          <w:b/>
          <w:i w:val="0"/>
          <w:color w:val="000000"/>
        </w:rPr>
        <w:t>piloto em escala reduzida</w:t>
      </w:r>
      <w:r>
        <w:rPr>
          <w:rFonts w:ascii="Times New Roman" w:hAnsi="Times New Roman"/>
          <w:b w:val="0"/>
          <w:i w:val="0"/>
          <w:color w:val="000000"/>
        </w:rPr>
        <w:t xml:space="preserve">, instalado em parceria com uma Defesa Civil estadual, operando por um ciclo de chuvas completo; (3) </w:t>
      </w:r>
      <w:r>
        <w:rPr>
          <w:rFonts w:ascii="Times New Roman" w:hAnsi="Times New Roman"/>
          <w:b/>
          <w:i w:val="0"/>
          <w:color w:val="000000"/>
        </w:rPr>
        <w:t>licenciamento ambiental</w:t>
      </w:r>
      <w:r>
        <w:rPr>
          <w:rFonts w:ascii="Times New Roman" w:hAnsi="Times New Roman"/>
          <w:b w:val="0"/>
          <w:i w:val="0"/>
          <w:color w:val="000000"/>
        </w:rPr>
        <w:t xml:space="preserve"> junto ao órgão estadual de meio ambiente, incluindo o descarte dos resíduos concentrados (lodo metálico, biossurfactante saturado); (4) </w:t>
      </w:r>
      <w:r>
        <w:rPr>
          <w:rFonts w:ascii="Times New Roman" w:hAnsi="Times New Roman"/>
          <w:b/>
          <w:i w:val="0"/>
          <w:color w:val="000000"/>
        </w:rPr>
        <w:t>produção em série</w:t>
      </w:r>
      <w:r>
        <w:rPr>
          <w:rFonts w:ascii="Times New Roman" w:hAnsi="Times New Roman"/>
          <w:b w:val="0"/>
          <w:i w:val="0"/>
          <w:color w:val="000000"/>
        </w:rPr>
        <w:t xml:space="preserve"> de unidades modulares padronizadas, permitindo economia de escala no CAPEX estimado na Seção 4; (5) </w:t>
      </w:r>
      <w:r>
        <w:rPr>
          <w:rFonts w:ascii="Times New Roman" w:hAnsi="Times New Roman"/>
          <w:b/>
          <w:i w:val="0"/>
          <w:color w:val="000000"/>
        </w:rPr>
        <w:t>estocagem estratégica</w:t>
      </w:r>
      <w:r>
        <w:rPr>
          <w:rFonts w:ascii="Times New Roman" w:hAnsi="Times New Roman"/>
          <w:b w:val="0"/>
          <w:i w:val="0"/>
          <w:color w:val="000000"/>
        </w:rPr>
        <w:t xml:space="preserve"> em bases regionais da Defesa Civil, análoga ao estoque atual de kits de emergência, para deploy em até 72 horas após a decretação de calamidade.</w:t>
      </w:r>
    </w:p>
    <w:p>
      <w:pPr>
        <w:spacing w:before="120" w:after="80"/>
        <w:jc w:val="center"/>
      </w:pPr>
      <w:r>
        <w:rPr>
          <w:rFonts w:ascii="Times New Roman" w:hAnsi="Times New Roman"/>
          <w:b w:val="0"/>
          <w:i w:val="0"/>
          <w:color w:val="000000"/>
          <w:sz w:val="26"/>
        </w:rPr>
        <w:t>8 LIMITAÇÕES DO ESTUDO</w:t>
      </w:r>
    </w:p>
    <w:p>
      <w:pPr>
        <w:spacing w:after="120"/>
        <w:ind w:firstLine="709"/>
      </w:pPr>
      <w:r>
        <w:rPr>
          <w:rFonts w:ascii="Times New Roman" w:hAnsi="Times New Roman"/>
          <w:b w:val="0"/>
          <w:i w:val="0"/>
          <w:color w:val="000000"/>
        </w:rPr>
        <w:t>As eficiências de remoção por etapa (Seção 3) são estimativas didáticas, coerentes com a ordem de grandeza relatada na literatura de cada mecanismo, mas não resultam de ensaio de bancada da ESTAS. Os custos de equipamento e obra civil (Seção 4) são estimativas de mercado, não cotação de fornecedor nem orçamento de engenharia. A intensidade de lâmpada UV-C assumida (8 mW/cm²) é uma premissa de projeto plausível, não uma especificação de equipamento selecionado. Este estudo não substitui projeto executivo de engenharia sanitária, ensaio laboratorial de eficiência de remoção, nem licenciamento ambiental — etapas indispensáveis antes de qualquer implantação real.</w:t>
      </w:r>
    </w:p>
    <w:p>
      <w:pPr>
        <w:spacing w:before="120" w:after="80"/>
        <w:jc w:val="center"/>
      </w:pPr>
      <w:r>
        <w:rPr>
          <w:rFonts w:ascii="Times New Roman" w:hAnsi="Times New Roman"/>
          <w:b w:val="0"/>
          <w:i w:val="0"/>
          <w:color w:val="000000"/>
          <w:sz w:val="26"/>
        </w:rPr>
        <w:t>9 CONCLUSÃO</w:t>
      </w:r>
    </w:p>
    <w:p>
      <w:pPr>
        <w:spacing w:after="120"/>
        <w:ind w:firstLine="709"/>
      </w:pPr>
      <w:r>
        <w:rPr>
          <w:rFonts w:ascii="Times New Roman" w:hAnsi="Times New Roman"/>
          <w:b w:val="0"/>
          <w:i w:val="0"/>
          <w:color w:val="000000"/>
        </w:rPr>
        <w:t xml:space="preserve">A ESTAS se mostra tecnicamente viável como unidade modular de resposta emergencial: o memorial de cálculo hidráulico demonstra dimensionamento factível para as três faixas de vazão avaliadas, com custo por metro cúbico da mesma ordem de grandeza de uma ETA convencional no cenário de maior vazão (enchente urbana). O caminho institucional para sua adoção pelo poder público já existe no arranjo legal brasileiro vigente (Lei nº 12.608/2012, Lei nº 14.026/2020, Lei nº 14.133/2021), faltando o investimento em ensaio de bancada, piloto e produção em série descritos na Seção 7.4. O maior obstáculo não é tecnológico, mas de </w:t>
      </w:r>
      <w:r>
        <w:rPr>
          <w:rFonts w:ascii="Times New Roman" w:hAnsi="Times New Roman"/>
          <w:b/>
          <w:i w:val="0"/>
          <w:color w:val="000000"/>
        </w:rPr>
        <w:t>prioridade orçamentária e institucional</w:t>
      </w:r>
      <w:r>
        <w:rPr>
          <w:rFonts w:ascii="Times New Roman" w:hAnsi="Times New Roman"/>
          <w:b w:val="0"/>
          <w:i w:val="0"/>
          <w:color w:val="000000"/>
        </w:rPr>
        <w:t>: nenhuma linha de financiamento federal é hoje dedicada especificamente a unidades modulares de tratamento de água pós-desastre, ainda que o arcabouço legal para criá-la já exista.</w:t>
      </w:r>
    </w:p>
    <w:p/>
    <w:p>
      <w:pPr>
        <w:spacing w:before="480" w:after="240"/>
        <w:jc w:val="center"/>
      </w:pPr>
      <w:r>
        <w:rPr>
          <w:rFonts w:ascii="Times New Roman" w:hAnsi="Times New Roman"/>
          <w:b/>
          <w:i w:val="0"/>
          <w:color w:val="000000"/>
          <w:sz w:val="26"/>
        </w:rPr>
        <w:t>REFERÊNCIAS</w:t>
      </w:r>
    </w:p>
    <w:p>
      <w:pPr>
        <w:spacing w:after="120"/>
        <w:ind w:firstLine="709"/>
      </w:pPr>
      <w:r>
        <w:rPr>
          <w:rFonts w:ascii="Times New Roman" w:hAnsi="Times New Roman"/>
          <w:b w:val="0"/>
          <w:i w:val="0"/>
          <w:color w:val="000000"/>
        </w:rPr>
        <w:t xml:space="preserve">AGÊNCIA SENADO. </w:t>
      </w:r>
      <w:r>
        <w:rPr>
          <w:rFonts w:ascii="Times New Roman" w:hAnsi="Times New Roman"/>
          <w:b/>
          <w:i w:val="0"/>
          <w:color w:val="000000"/>
        </w:rPr>
        <w:t>Estudo aponta que falta de saneamento prejudica mais de 130 milhões de brasileiros</w:t>
      </w:r>
      <w:r>
        <w:rPr>
          <w:rFonts w:ascii="Times New Roman" w:hAnsi="Times New Roman"/>
          <w:b w:val="0"/>
          <w:i w:val="0"/>
          <w:color w:val="000000"/>
        </w:rPr>
        <w:t>. 2022. Disponível em: &lt;https://www12.senado.leg.br/noticias/infomaterias/2022/03/estudo-aponta-que-falta-de-saneamento-prejudica-mais-de-130-milhoes-de-brasileiros&gt;. Acesso em: 7 ago. 2026.</w:t>
      </w:r>
    </w:p>
    <w:p>
      <w:pPr>
        <w:spacing w:after="120"/>
        <w:ind w:firstLine="709"/>
      </w:pPr>
      <w:r>
        <w:rPr>
          <w:rFonts w:ascii="Times New Roman" w:hAnsi="Times New Roman"/>
          <w:b w:val="0"/>
          <w:i w:val="0"/>
          <w:color w:val="000000"/>
        </w:rPr>
        <w:t xml:space="preserve">AQUAMEC. </w:t>
      </w:r>
      <w:r>
        <w:rPr>
          <w:rFonts w:ascii="Times New Roman" w:hAnsi="Times New Roman"/>
          <w:b/>
          <w:i w:val="0"/>
          <w:color w:val="000000"/>
        </w:rPr>
        <w:t>O que é uma ETA? Conheça o papel das Estações de Tratamento de Água no saneamento</w:t>
      </w:r>
      <w:r>
        <w:rPr>
          <w:rFonts w:ascii="Times New Roman" w:hAnsi="Times New Roman"/>
          <w:b w:val="0"/>
          <w:i w:val="0"/>
          <w:color w:val="000000"/>
        </w:rPr>
        <w:t>. 2019. Disponível em: &lt;https://aquamecbrasil.com.br/o-que-e-uma-eta-conheca-o-papel-das-estacoes-de-tratamento-de-agua-no-saneamento/&gt;. Acesso em: 11 ago. 2026.</w:t>
      </w:r>
    </w:p>
    <w:p>
      <w:pPr>
        <w:spacing w:after="120"/>
        <w:ind w:firstLine="709"/>
      </w:pPr>
      <w:r>
        <w:rPr>
          <w:rFonts w:ascii="Times New Roman" w:hAnsi="Times New Roman"/>
          <w:b w:val="0"/>
          <w:i w:val="0"/>
          <w:color w:val="000000"/>
        </w:rPr>
        <w:t xml:space="preserve">BRASIL. </w:t>
      </w:r>
      <w:r>
        <w:rPr>
          <w:rFonts w:ascii="Times New Roman" w:hAnsi="Times New Roman"/>
          <w:b/>
          <w:i w:val="0"/>
          <w:color w:val="000000"/>
        </w:rPr>
        <w:t>Lei nº 11.445, de 5 de janeiro de 2007</w:t>
      </w:r>
      <w:r>
        <w:rPr>
          <w:rFonts w:ascii="Times New Roman" w:hAnsi="Times New Roman"/>
          <w:b w:val="0"/>
          <w:i w:val="0"/>
          <w:color w:val="000000"/>
        </w:rPr>
        <w:t>. Estabelece as diretrizes nacionais para o saneamento básico. Brasília, DF: Presidência da República, 2007.</w:t>
      </w:r>
    </w:p>
    <w:p>
      <w:pPr>
        <w:spacing w:after="120"/>
        <w:ind w:firstLine="709"/>
      </w:pPr>
      <w:r>
        <w:rPr>
          <w:rFonts w:ascii="Times New Roman" w:hAnsi="Times New Roman"/>
          <w:b w:val="0"/>
          <w:i w:val="0"/>
          <w:color w:val="000000"/>
        </w:rPr>
        <w:t xml:space="preserve">BRASIL. </w:t>
      </w:r>
      <w:r>
        <w:rPr>
          <w:rFonts w:ascii="Times New Roman" w:hAnsi="Times New Roman"/>
          <w:b/>
          <w:i w:val="0"/>
          <w:color w:val="000000"/>
        </w:rPr>
        <w:t>Lei nº 12.340, de 1º de dezembro de 2010</w:t>
      </w:r>
      <w:r>
        <w:rPr>
          <w:rFonts w:ascii="Times New Roman" w:hAnsi="Times New Roman"/>
          <w:b w:val="0"/>
          <w:i w:val="0"/>
          <w:color w:val="000000"/>
        </w:rPr>
        <w:t>. Dispõe sobre o Sistema Nacional de Defesa Civil e sobre o Fundo Especial para Calamidades Públicas. Brasília, DF: Presidência da República, 2010.</w:t>
      </w:r>
    </w:p>
    <w:p>
      <w:pPr>
        <w:spacing w:after="120"/>
        <w:ind w:firstLine="709"/>
      </w:pPr>
      <w:r>
        <w:rPr>
          <w:rFonts w:ascii="Times New Roman" w:hAnsi="Times New Roman"/>
          <w:b w:val="0"/>
          <w:i w:val="0"/>
          <w:color w:val="000000"/>
        </w:rPr>
        <w:t xml:space="preserve">BRASIL. </w:t>
      </w:r>
      <w:r>
        <w:rPr>
          <w:rFonts w:ascii="Times New Roman" w:hAnsi="Times New Roman"/>
          <w:b/>
          <w:i w:val="0"/>
          <w:color w:val="000000"/>
        </w:rPr>
        <w:t>Lei nº 12.608, de 10 de abril de 2012</w:t>
      </w:r>
      <w:r>
        <w:rPr>
          <w:rFonts w:ascii="Times New Roman" w:hAnsi="Times New Roman"/>
          <w:b w:val="0"/>
          <w:i w:val="0"/>
          <w:color w:val="000000"/>
        </w:rPr>
        <w:t>. Institui a Política Nacional de Proteção e Defesa Civil (PNPDEC). Brasília, DF: Presidência da República, 2012.</w:t>
      </w:r>
    </w:p>
    <w:p>
      <w:pPr>
        <w:spacing w:after="120"/>
        <w:ind w:firstLine="709"/>
      </w:pPr>
      <w:r>
        <w:rPr>
          <w:rFonts w:ascii="Times New Roman" w:hAnsi="Times New Roman"/>
          <w:b w:val="0"/>
          <w:i w:val="0"/>
          <w:color w:val="000000"/>
        </w:rPr>
        <w:t xml:space="preserve">BRASIL. </w:t>
      </w:r>
      <w:r>
        <w:rPr>
          <w:rFonts w:ascii="Times New Roman" w:hAnsi="Times New Roman"/>
          <w:b/>
          <w:i w:val="0"/>
          <w:color w:val="000000"/>
        </w:rPr>
        <w:t>Lei nº 14.026, de 15 de julho de 2020</w:t>
      </w:r>
      <w:r>
        <w:rPr>
          <w:rFonts w:ascii="Times New Roman" w:hAnsi="Times New Roman"/>
          <w:b w:val="0"/>
          <w:i w:val="0"/>
          <w:color w:val="000000"/>
        </w:rPr>
        <w:t>. Atualiza o marco legal do saneamento básico. Brasília, DF: Presidência da República, 2020.</w:t>
      </w:r>
    </w:p>
    <w:p>
      <w:pPr>
        <w:spacing w:after="120"/>
        <w:ind w:firstLine="709"/>
      </w:pPr>
      <w:r>
        <w:rPr>
          <w:rFonts w:ascii="Times New Roman" w:hAnsi="Times New Roman"/>
          <w:b w:val="0"/>
          <w:i w:val="0"/>
          <w:color w:val="000000"/>
        </w:rPr>
        <w:t xml:space="preserve">BRASIL. </w:t>
      </w:r>
      <w:r>
        <w:rPr>
          <w:rFonts w:ascii="Times New Roman" w:hAnsi="Times New Roman"/>
          <w:b/>
          <w:i w:val="0"/>
          <w:color w:val="000000"/>
        </w:rPr>
        <w:t>Lei nº 14.133, de 1º de abril de 2021</w:t>
      </w:r>
      <w:r>
        <w:rPr>
          <w:rFonts w:ascii="Times New Roman" w:hAnsi="Times New Roman"/>
          <w:b w:val="0"/>
          <w:i w:val="0"/>
          <w:color w:val="000000"/>
        </w:rPr>
        <w:t>. Lei de Licitações e Contratos Administrativos. Brasília, DF: Presidência da República, 2021.</w:t>
      </w:r>
    </w:p>
    <w:p>
      <w:pPr>
        <w:spacing w:after="120"/>
        <w:ind w:firstLine="709"/>
      </w:pPr>
      <w:r>
        <w:rPr>
          <w:rFonts w:ascii="Times New Roman" w:hAnsi="Times New Roman"/>
          <w:b w:val="0"/>
          <w:i w:val="0"/>
          <w:color w:val="000000"/>
        </w:rPr>
        <w:t xml:space="preserve">BRASIL. Ministério da Saúde. </w:t>
      </w:r>
      <w:r>
        <w:rPr>
          <w:rFonts w:ascii="Times New Roman" w:hAnsi="Times New Roman"/>
          <w:b/>
          <w:i w:val="0"/>
          <w:color w:val="000000"/>
        </w:rPr>
        <w:t>Portaria GM/MS nº 888, de 4 de maio de 2021</w:t>
      </w:r>
      <w:r>
        <w:rPr>
          <w:rFonts w:ascii="Times New Roman" w:hAnsi="Times New Roman"/>
          <w:b w:val="0"/>
          <w:i w:val="0"/>
          <w:color w:val="000000"/>
        </w:rPr>
        <w:t>. Altera o Anexo XX da Portaria de Consolidação GM/MS nº 5/2017, referente aos procedimentos de controle e vigilância da qualidade da água para consumo humano. Diário Oficial da União, Brasília, DF, 2021.</w:t>
      </w:r>
    </w:p>
    <w:p>
      <w:pPr>
        <w:spacing w:after="120"/>
        <w:ind w:firstLine="709"/>
      </w:pPr>
      <w:r>
        <w:rPr>
          <w:rFonts w:ascii="Times New Roman" w:hAnsi="Times New Roman"/>
          <w:b w:val="0"/>
          <w:i w:val="0"/>
          <w:color w:val="000000"/>
        </w:rPr>
        <w:t xml:space="preserve">CEMADEN. </w:t>
      </w:r>
      <w:r>
        <w:rPr>
          <w:rFonts w:ascii="Times New Roman" w:hAnsi="Times New Roman"/>
          <w:b/>
          <w:i w:val="0"/>
          <w:color w:val="000000"/>
        </w:rPr>
        <w:t>Estado do clima: extremos de clima e desastres no Brasil — 2025</w:t>
      </w:r>
      <w:r>
        <w:rPr>
          <w:rFonts w:ascii="Times New Roman" w:hAnsi="Times New Roman"/>
          <w:b w:val="0"/>
          <w:i w:val="0"/>
          <w:color w:val="000000"/>
        </w:rPr>
        <w:t>. Ministério da Ciência, Tecnologia e Inovação, 2026. Disponível em: &lt;https://www.gov.br/cemaden&gt;. Acesso em: 7 ago. 2026.</w:t>
      </w:r>
    </w:p>
    <w:p>
      <w:pPr>
        <w:spacing w:after="120"/>
        <w:ind w:firstLine="709"/>
      </w:pPr>
      <w:r>
        <w:rPr>
          <w:rFonts w:ascii="Times New Roman" w:hAnsi="Times New Roman"/>
          <w:b w:val="0"/>
          <w:i w:val="0"/>
          <w:color w:val="000000"/>
        </w:rPr>
        <w:t xml:space="preserve">LARANJEIRA, Mauro C. M.; FÁVERE, Valfredo T. de. Quitosana: biopolímero funcional com potencial industrial biomédico. </w:t>
      </w:r>
      <w:r>
        <w:rPr>
          <w:rFonts w:ascii="Times New Roman" w:hAnsi="Times New Roman"/>
          <w:b/>
          <w:i w:val="0"/>
          <w:color w:val="000000"/>
        </w:rPr>
        <w:t>Química Nova</w:t>
      </w:r>
      <w:r>
        <w:rPr>
          <w:rFonts w:ascii="Times New Roman" w:hAnsi="Times New Roman"/>
          <w:b w:val="0"/>
          <w:i w:val="0"/>
          <w:color w:val="000000"/>
        </w:rPr>
        <w:t>, v. 32, n. 3, p. 672–678, 2009.</w:t>
      </w:r>
    </w:p>
    <w:p>
      <w:pPr>
        <w:spacing w:after="120"/>
        <w:ind w:firstLine="709"/>
      </w:pPr>
      <w:r>
        <w:rPr>
          <w:rFonts w:ascii="Times New Roman" w:hAnsi="Times New Roman"/>
          <w:b w:val="0"/>
          <w:i w:val="0"/>
          <w:color w:val="000000"/>
        </w:rPr>
        <w:t xml:space="preserve">NITSCHKE, Marcia; PASTORE, Gláucia Maria. Biossurfactantes: propriedades e aplicações. </w:t>
      </w:r>
      <w:r>
        <w:rPr>
          <w:rFonts w:ascii="Times New Roman" w:hAnsi="Times New Roman"/>
          <w:b/>
          <w:i w:val="0"/>
          <w:color w:val="000000"/>
        </w:rPr>
        <w:t>Química Nova</w:t>
      </w:r>
      <w:r>
        <w:rPr>
          <w:rFonts w:ascii="Times New Roman" w:hAnsi="Times New Roman"/>
          <w:b w:val="0"/>
          <w:i w:val="0"/>
          <w:color w:val="000000"/>
        </w:rPr>
        <w:t>, 2002.</w:t>
      </w:r>
    </w:p>
    <w:p>
      <w:pPr>
        <w:spacing w:after="120"/>
        <w:ind w:firstLine="709"/>
      </w:pPr>
      <w:r>
        <w:rPr>
          <w:rFonts w:ascii="Times New Roman" w:hAnsi="Times New Roman"/>
          <w:b w:val="0"/>
          <w:i w:val="0"/>
          <w:color w:val="000000"/>
        </w:rPr>
        <w:t xml:space="preserve">SPHERE ASSOCIATION. </w:t>
      </w:r>
      <w:r>
        <w:rPr>
          <w:rFonts w:ascii="Times New Roman" w:hAnsi="Times New Roman"/>
          <w:b/>
          <w:i w:val="0"/>
          <w:color w:val="000000"/>
        </w:rPr>
        <w:t>The Sphere Handbook: Humanitarian Charter and Minimum Standards in Humanitarian Response</w:t>
      </w:r>
      <w:r>
        <w:rPr>
          <w:rFonts w:ascii="Times New Roman" w:hAnsi="Times New Roman"/>
          <w:b w:val="0"/>
          <w:i w:val="0"/>
          <w:color w:val="000000"/>
        </w:rPr>
        <w:t>. 4. ed. Genebra: Sphere Association, 2018.</w:t>
      </w:r>
    </w:p>
    <w:p>
      <w:pPr>
        <w:spacing w:after="120"/>
        <w:ind w:firstLine="709"/>
      </w:pPr>
      <w:r>
        <w:rPr>
          <w:rFonts w:ascii="Times New Roman" w:hAnsi="Times New Roman"/>
          <w:b w:val="0"/>
          <w:i w:val="0"/>
          <w:color w:val="000000"/>
        </w:rPr>
        <w:t xml:space="preserve">WORLD HEALTH ORGANIZATION (WHO). </w:t>
      </w:r>
      <w:r>
        <w:rPr>
          <w:rFonts w:ascii="Times New Roman" w:hAnsi="Times New Roman"/>
          <w:b/>
          <w:i w:val="0"/>
          <w:color w:val="000000"/>
        </w:rPr>
        <w:t>Guidelines for drinking-water quality</w:t>
      </w:r>
      <w:r>
        <w:rPr>
          <w:rFonts w:ascii="Times New Roman" w:hAnsi="Times New Roman"/>
          <w:b w:val="0"/>
          <w:i w:val="0"/>
          <w:color w:val="000000"/>
        </w:rPr>
        <w:t>. 4. ed. incorporating the first and second addenda. Genebra: WHO, 2022.</w:t>
      </w:r>
    </w:p>
    <w:p>
      <w:pPr>
        <w:spacing w:after="120"/>
        <w:ind w:firstLine="709"/>
      </w:pPr>
      <w:r>
        <w:rPr>
          <w:rFonts w:ascii="Times New Roman" w:hAnsi="Times New Roman"/>
          <w:b w:val="0"/>
          <w:i w:val="0"/>
          <w:color w:val="000000"/>
        </w:rPr>
        <w:t xml:space="preserve">ZHANG, Xi-Feng et al. Silver Nanoparticles: Synthesis, Characterization, Properties, Applications, and Therapeutic Approaches. </w:t>
      </w:r>
      <w:r>
        <w:rPr>
          <w:rFonts w:ascii="Times New Roman" w:hAnsi="Times New Roman"/>
          <w:b/>
          <w:i w:val="0"/>
          <w:color w:val="000000"/>
        </w:rPr>
        <w:t>International Journal of Molecular Sciences</w:t>
      </w:r>
      <w:r>
        <w:rPr>
          <w:rFonts w:ascii="Times New Roman" w:hAnsi="Times New Roman"/>
          <w:b w:val="0"/>
          <w:i w:val="0"/>
          <w:color w:val="000000"/>
        </w:rPr>
        <w:t>, v. 17, n. 9, p. 1534, 2016.</w:t>
      </w:r>
    </w:p>
    <w:sectPr w:rsidR="00FC693F" w:rsidRPr="0006063C" w:rsidSect="00034616">
      <w:head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0"/>
      </w:rPr>
    </w:r>
    <w:r>
      <w:rPr>
        <w:rFonts w:ascii="Times New Roman" w:hAnsi="Times New Roman"/>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