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nfiguration-reference-sq-collector"/>
    <w:p>
      <w:pPr>
        <w:pStyle w:val="Heading1"/>
      </w:pPr>
      <w:r>
        <w:t xml:space="preserve">Configuration reference: sq-collector</w:t>
      </w:r>
    </w:p>
    <w:p>
      <w:pPr>
        <w:pStyle w:val="FirstParagraph"/>
      </w:pPr>
      <w:r>
        <w:t xml:space="preserve">This document lists the configuration keys for the collector in SENTRIQ 4.2. All</w:t>
      </w:r>
      <w:r>
        <w:t xml:space="preserve"> </w:t>
      </w:r>
      <w:r>
        <w:t xml:space="preserve">keys are set in the collector node configuration and require a service restart.</w:t>
      </w:r>
    </w:p>
    <w:bookmarkStart w:id="9" w:name="keys"/>
    <w:p>
      <w:pPr>
        <w:pStyle w:val="Heading2"/>
      </w:pPr>
      <w:r>
        <w:t xml:space="preserve">Keys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collector.queue_threshold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50000</w:t>
            </w:r>
          </w:p>
        </w:tc>
        <w:tc>
          <w:tcPr/>
          <w:p>
            <w:pPr>
              <w:pStyle w:val="Compact"/>
            </w:pPr>
            <w:r>
              <w:t xml:space="preserve">Queue depth above which agents are throttled.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collector.drain_rate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  <w:tc>
          <w:tcPr/>
          <w:p>
            <w:pPr>
              <w:pStyle w:val="Compact"/>
            </w:pPr>
            <w:r>
              <w:t xml:space="preserve">Events per second when draining the backlog.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collector.store_endpoint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(config)</w:t>
            </w:r>
          </w:p>
        </w:tc>
        <w:tc>
          <w:tcPr/>
          <w:p>
            <w:pPr>
              <w:pStyle w:val="Compact"/>
            </w:pPr>
            <w:r>
              <w:t xml:space="preserve">Event store host and 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collector.buffer_limit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20m</w:t>
            </w:r>
          </w:p>
        </w:tc>
        <w:tc>
          <w:tcPr/>
          <w:p>
            <w:pPr>
              <w:pStyle w:val="Compact"/>
            </w:pPr>
            <w:r>
              <w:t xml:space="preserve">How long telemetry is held when the store is unreachable.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collector.normalise_workers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Parallel normalisation workers.</w:t>
            </w:r>
          </w:p>
        </w:tc>
      </w:tr>
    </w:tbl>
    <w:bookmarkEnd w:id="9"/>
    <w:bookmarkStart w:id="10" w:name="notes"/>
    <w:p>
      <w:pPr>
        <w:pStyle w:val="Heading2"/>
      </w:pPr>
      <w:r>
        <w:t xml:space="preserve">Notes</w:t>
      </w:r>
    </w:p>
    <w:p>
      <w:pPr>
        <w:pStyle w:val="FirstParagraph"/>
      </w:pPr>
      <w:r>
        <w:t xml:space="preserve">The queue threshold and drain rate are the two values most often tuned during a</w:t>
      </w:r>
      <w:r>
        <w:t xml:space="preserve"> </w:t>
      </w:r>
      <w:r>
        <w:t xml:space="preserve">back-pressure incident (</w:t>
      </w:r>
      <w:r>
        <w:rPr>
          <w:rStyle w:val="VerbatimChar"/>
        </w:rPr>
        <w:t xml:space="preserve">SQ-2011</w:t>
      </w:r>
      <w:r>
        <w:t xml:space="preserve">, see D08). The buffer limit is the window past</w:t>
      </w:r>
      <w:r>
        <w:t xml:space="preserve"> </w:t>
      </w:r>
      <w:r>
        <w:t xml:space="preserve">which telemetry is dropped rather than held; it is also the time budget during a</w:t>
      </w:r>
      <w:r>
        <w:t xml:space="preserve"> </w:t>
      </w:r>
      <w:r>
        <w:t xml:space="preserve">store outage (</w:t>
      </w:r>
      <w:r>
        <w:rPr>
          <w:rStyle w:val="VerbatimChar"/>
        </w:rPr>
        <w:t xml:space="preserve">SQ-6008</w:t>
      </w:r>
      <w:r>
        <w:t xml:space="preserve">, see D09).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2026-08-04T23:39:39Z</dcterms:created>
  <dcterms:modified xsi:type="dcterms:W3CDTF">2026-08-04T23:39:39Z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