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configuration-reference-sq-detect"/>
    <w:p>
      <w:pPr>
        <w:pStyle w:val="Heading1"/>
      </w:pPr>
      <w:r>
        <w:t xml:space="preserve">Configuration reference: sq-detect</w:t>
      </w:r>
    </w:p>
    <w:p>
      <w:pPr>
        <w:pStyle w:val="FirstParagraph"/>
      </w:pPr>
      <w:r>
        <w:t xml:space="preserve">This document lists the configuration keys for the detection engine in SENTRIQ</w:t>
      </w:r>
      <w:r>
        <w:t xml:space="preserve"> </w:t>
      </w:r>
      <w:r>
        <w:t xml:space="preserve">4.2. Keys are set in the detection node configuration and require a service</w:t>
      </w:r>
      <w:r>
        <w:t xml:space="preserve"> </w:t>
      </w:r>
      <w:r>
        <w:t xml:space="preserve">restart.</w:t>
      </w:r>
    </w:p>
    <w:bookmarkStart w:id="9" w:name="keys"/>
    <w:p>
      <w:pPr>
        <w:pStyle w:val="Heading2"/>
      </w:pPr>
      <w:r>
        <w:t xml:space="preserve">Keys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detect.correlation_window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15m</w:t>
            </w:r>
          </w:p>
        </w:tc>
        <w:tc>
          <w:tcPr/>
          <w:p>
            <w:pPr>
              <w:pStyle w:val="Compact"/>
            </w:pPr>
            <w:r>
              <w:t xml:space="preserve">Maximum window for correlating events.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detect.rule_bundle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(config)</w:t>
            </w:r>
          </w:p>
        </w:tc>
        <w:tc>
          <w:tcPr/>
          <w:p>
            <w:pPr>
              <w:pStyle w:val="Compact"/>
            </w:pPr>
            <w:r>
              <w:t xml:space="preserve">Active rule bundle version.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detect.max_alerts_per_rule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Per-rule alert cap per hour before suppression.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detect.eval_workers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Parallel rule-evaluation workers.</w:t>
            </w:r>
          </w:p>
        </w:tc>
      </w:tr>
    </w:tbl>
    <w:bookmarkEnd w:id="9"/>
    <w:bookmarkStart w:id="10" w:name="notes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A correlation window longer than the configured maximum reports</w:t>
      </w:r>
      <w:r>
        <w:t xml:space="preserve"> </w:t>
      </w:r>
      <w:r>
        <w:rPr>
          <w:rStyle w:val="VerbatimChar"/>
        </w:rPr>
        <w:t xml:space="preserve">SQ-3021</w:t>
      </w:r>
      <w:r>
        <w:t xml:space="preserve"> </w:t>
      </w:r>
      <w:r>
        <w:t xml:space="preserve">(correlation window overflow), which is a capacity problem distinct from a rule</w:t>
      </w:r>
      <w:r>
        <w:t xml:space="preserve"> </w:t>
      </w:r>
      <w:r>
        <w:t xml:space="preserve">compilation failure (</w:t>
      </w:r>
      <w:r>
        <w:rPr>
          <w:rStyle w:val="VerbatimChar"/>
        </w:rPr>
        <w:t xml:space="preserve">SQ-3009</w:t>
      </w:r>
      <w:r>
        <w:t xml:space="preserve">, see D11). The per-rule alert cap is what stops a</w:t>
      </w:r>
      <w:r>
        <w:t xml:space="preserve"> </w:t>
      </w:r>
      <w:r>
        <w:t xml:space="preserve">noisy rule from overwhelming the console; tuning it is part of false-positive</w:t>
      </w:r>
      <w:r>
        <w:t xml:space="preserve"> </w:t>
      </w:r>
      <w:r>
        <w:t xml:space="preserve">handling (see D14).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2026-08-04T23:39:39Z</dcterms:created>
  <dcterms:modified xsi:type="dcterms:W3CDTF">2026-08-04T23:39:39Z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