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75" w:rsidRPr="007E1836" w:rsidRDefault="00496375" w:rsidP="00DA69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b/>
          <w:bCs/>
          <w:color w:val="1F4E79" w:themeColor="accent1" w:themeShade="80"/>
          <w:sz w:val="28"/>
          <w:szCs w:val="36"/>
          <w:bdr w:val="single" w:sz="2" w:space="0" w:color="E5E7EB" w:frame="1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8"/>
          <w:szCs w:val="36"/>
          <w:bdr w:val="single" w:sz="2" w:space="0" w:color="E5E7EB" w:frame="1"/>
          <w:lang w:eastAsia="it-IT"/>
        </w:rPr>
        <w:t xml:space="preserve">Piano di marketing per </w:t>
      </w:r>
      <w:proofErr w:type="spellStart"/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8"/>
          <w:szCs w:val="36"/>
          <w:bdr w:val="single" w:sz="2" w:space="0" w:color="E5E7EB" w:frame="1"/>
          <w:lang w:eastAsia="it-IT"/>
        </w:rPr>
        <w:t>MedRing</w:t>
      </w:r>
      <w:proofErr w:type="spellEnd"/>
    </w:p>
    <w:p w:rsidR="00496375" w:rsidRPr="007E1836" w:rsidRDefault="00496375" w:rsidP="00DA69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sz w:val="28"/>
          <w:szCs w:val="28"/>
          <w:lang w:eastAsia="it-IT"/>
        </w:rPr>
      </w:pP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br/>
      </w:r>
      <w:r w:rsidRPr="007E1836">
        <w:rPr>
          <w:rFonts w:ascii="Aptos" w:eastAsia="Times New Roman" w:hAnsi="Aptos" w:cs="Times New Roman"/>
          <w:sz w:val="28"/>
          <w:szCs w:val="28"/>
          <w:lang w:eastAsia="it-IT"/>
        </w:rPr>
        <w:t xml:space="preserve">Il piano di marketing di </w:t>
      </w:r>
      <w:proofErr w:type="spellStart"/>
      <w:r w:rsidRPr="007E1836">
        <w:rPr>
          <w:rFonts w:ascii="Aptos" w:eastAsia="Times New Roman" w:hAnsi="Aptos" w:cs="Times New Roman"/>
          <w:i/>
          <w:color w:val="1F4E79" w:themeColor="accent1" w:themeShade="80"/>
          <w:sz w:val="28"/>
          <w:szCs w:val="28"/>
          <w:lang w:eastAsia="it-IT"/>
        </w:rPr>
        <w:t>MedRing</w:t>
      </w:r>
      <w:proofErr w:type="spellEnd"/>
      <w:r w:rsidRPr="007E1836">
        <w:rPr>
          <w:rFonts w:ascii="Aptos" w:eastAsia="Times New Roman" w:hAnsi="Aptos" w:cs="Times New Roman"/>
          <w:i/>
          <w:color w:val="1F4E79" w:themeColor="accent1" w:themeShade="80"/>
          <w:sz w:val="28"/>
          <w:szCs w:val="28"/>
          <w:lang w:eastAsia="it-IT"/>
        </w:rPr>
        <w:t xml:space="preserve"> </w:t>
      </w:r>
      <w:r w:rsidRPr="007E1836">
        <w:rPr>
          <w:rFonts w:ascii="Aptos" w:eastAsia="Times New Roman" w:hAnsi="Aptos" w:cs="Times New Roman"/>
          <w:sz w:val="28"/>
          <w:szCs w:val="28"/>
          <w:lang w:eastAsia="it-IT"/>
        </w:rPr>
        <w:t xml:space="preserve">mira a creare consapevolezza del brand e avviare partnership pilota con ospedali e cliniche private per migliorare la gestione delle emergenze e la telemedicina. Il piano si concentra sulla creazione di una rete di ospedali e medici utilizzatori, diventando un </w:t>
      </w:r>
      <w:bookmarkStart w:id="0" w:name="_GoBack"/>
      <w:bookmarkEnd w:id="0"/>
      <w:r w:rsidRPr="007E1836">
        <w:rPr>
          <w:rFonts w:ascii="Aptos" w:eastAsia="Times New Roman" w:hAnsi="Aptos" w:cs="Times New Roman"/>
          <w:sz w:val="28"/>
          <w:szCs w:val="28"/>
          <w:lang w:eastAsia="it-IT"/>
        </w:rPr>
        <w:t>riferimento nella telemedicina e nell'assistenza sanitaria indossabile.</w:t>
      </w:r>
    </w:p>
    <w:p w:rsidR="00496375" w:rsidRPr="007E1836" w:rsidRDefault="00496375" w:rsidP="00DA69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color w:val="1F4E79" w:themeColor="accent1" w:themeShade="80"/>
          <w:sz w:val="28"/>
          <w:szCs w:val="28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8"/>
          <w:szCs w:val="28"/>
          <w:bdr w:val="single" w:sz="2" w:space="0" w:color="E5E7EB" w:frame="1"/>
          <w:lang w:eastAsia="it-IT"/>
        </w:rPr>
        <w:t>Analisi del mercato</w:t>
      </w:r>
    </w:p>
    <w:p w:rsidR="00496375" w:rsidRPr="007E1836" w:rsidRDefault="00496375" w:rsidP="0049637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Target Audience</w:t>
      </w:r>
      <w:r w:rsidRPr="007E1836">
        <w:rPr>
          <w:rFonts w:ascii="Aptos" w:eastAsia="Times New Roman" w:hAnsi="Aptos" w:cs="Times New Roman"/>
          <w:color w:val="1F4E79" w:themeColor="accent1" w:themeShade="80"/>
          <w:sz w:val="24"/>
          <w:szCs w:val="24"/>
          <w:lang w:eastAsia="it-IT"/>
        </w:rPr>
        <w:t>: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 Ospedali e cliniche private</w:t>
      </w:r>
    </w:p>
    <w:p w:rsidR="00496375" w:rsidRPr="007E1836" w:rsidRDefault="00496375" w:rsidP="0049637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Concorrenti</w:t>
      </w:r>
      <w:r w:rsidRPr="007E1836">
        <w:rPr>
          <w:rFonts w:ascii="Aptos" w:eastAsia="Times New Roman" w:hAnsi="Aptos" w:cs="Times New Roman"/>
          <w:color w:val="1F4E79" w:themeColor="accent1" w:themeShade="80"/>
          <w:sz w:val="24"/>
          <w:szCs w:val="24"/>
          <w:lang w:eastAsia="it-IT"/>
        </w:rPr>
        <w:t xml:space="preserve">: 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Dispositivi di monitoraggio dei parametri vitali e piattaforme di telemedicina</w:t>
      </w:r>
    </w:p>
    <w:p w:rsidR="00496375" w:rsidRPr="007E1836" w:rsidRDefault="00496375" w:rsidP="0049637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Trend</w:t>
      </w:r>
      <w:r w:rsidRPr="007E1836">
        <w:rPr>
          <w:rFonts w:ascii="Aptos" w:eastAsia="Times New Roman" w:hAnsi="Aptos" w:cs="Times New Roman"/>
          <w:color w:val="1F4E79" w:themeColor="accent1" w:themeShade="80"/>
          <w:sz w:val="24"/>
          <w:szCs w:val="24"/>
          <w:lang w:eastAsia="it-IT"/>
        </w:rPr>
        <w:t>: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 Crescita della domanda di soluzioni di telemedicina e dispositivi indossabili per la gestione delle emergenze</w:t>
      </w:r>
    </w:p>
    <w:p w:rsidR="00496375" w:rsidRPr="007E1836" w:rsidRDefault="00496375" w:rsidP="0049637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Opportunità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: Collaborazioni con ospedali e cliniche private per migliorare la gestione delle emergenze e la telemedicina</w:t>
      </w:r>
    </w:p>
    <w:p w:rsidR="00496375" w:rsidRPr="007E1836" w:rsidRDefault="00496375" w:rsidP="004963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color w:val="1F4E79" w:themeColor="accent1" w:themeShade="80"/>
          <w:sz w:val="28"/>
          <w:szCs w:val="28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8"/>
          <w:szCs w:val="28"/>
          <w:bdr w:val="single" w:sz="2" w:space="0" w:color="E5E7EB" w:frame="1"/>
          <w:lang w:eastAsia="it-IT"/>
        </w:rPr>
        <w:t>Strategia di marketing</w:t>
      </w:r>
    </w:p>
    <w:p w:rsidR="00496375" w:rsidRPr="007E1836" w:rsidRDefault="00496375" w:rsidP="004963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ptos" w:eastAsia="Times New Roman" w:hAnsi="Aptos" w:cs="Arial"/>
          <w:b/>
          <w:bCs/>
          <w:sz w:val="30"/>
          <w:szCs w:val="30"/>
          <w:lang w:eastAsia="it-IT"/>
        </w:rPr>
      </w:pPr>
      <w:r w:rsidRPr="007E1836">
        <w:rPr>
          <w:rFonts w:ascii="Aptos" w:eastAsia="Times New Roman" w:hAnsi="Aptos" w:cs="Arial"/>
          <w:b/>
          <w:bCs/>
          <w:sz w:val="30"/>
          <w:szCs w:val="30"/>
          <w:lang w:eastAsia="it-IT"/>
        </w:rPr>
        <w:t>1</w:t>
      </w:r>
      <w:r w:rsidRPr="007E1836">
        <w:rPr>
          <w:rFonts w:ascii="Aptos" w:eastAsia="Times New Roman" w:hAnsi="Aptos" w:cs="Arial"/>
          <w:b/>
          <w:bCs/>
          <w:color w:val="1F4E79" w:themeColor="accent1" w:themeShade="80"/>
          <w:sz w:val="30"/>
          <w:szCs w:val="30"/>
          <w:lang w:eastAsia="it-IT"/>
        </w:rPr>
        <w:t>. Creazione di consapevolezza del brand</w:t>
      </w:r>
    </w:p>
    <w:p w:rsidR="00496375" w:rsidRPr="007E1836" w:rsidRDefault="00496375" w:rsidP="0049637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Campioni di prova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: Offrire campioni di prova di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 agli ospedali e cliniche private per dimostrare la sua efficacia</w:t>
      </w:r>
    </w:p>
    <w:p w:rsidR="00496375" w:rsidRPr="007E1836" w:rsidRDefault="00496375" w:rsidP="0049637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Influencer</w:t>
      </w:r>
      <w:proofErr w:type="spellEnd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: Collaborare con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influencer</w:t>
      </w:r>
      <w:proofErr w:type="spellEnd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settore sanitario per promuovere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 e creare consapevolezza del brand</w:t>
      </w:r>
    </w:p>
    <w:p w:rsidR="00496375" w:rsidRPr="007E1836" w:rsidRDefault="00496375" w:rsidP="0049637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Pubbliche relazioni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: Creare comunicati stampa e rilasciare interviste ai media per promuovere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496375" w:rsidRPr="007E1836" w:rsidRDefault="00496375" w:rsidP="0049637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Social Media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: Creare una presenza online su piattaforme come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LinkedIn</w:t>
      </w:r>
      <w:proofErr w:type="spellEnd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,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Twitter</w:t>
      </w:r>
      <w:proofErr w:type="spellEnd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Facebook</w:t>
      </w:r>
      <w:proofErr w:type="spellEnd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condividere contenuti e creare consapevolezza del brand</w:t>
      </w:r>
    </w:p>
    <w:p w:rsidR="00496375" w:rsidRPr="007E1836" w:rsidRDefault="00496375" w:rsidP="004963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ptos" w:eastAsia="Times New Roman" w:hAnsi="Aptos" w:cs="Arial"/>
          <w:b/>
          <w:bCs/>
          <w:color w:val="1F4E79" w:themeColor="accent1" w:themeShade="80"/>
          <w:sz w:val="30"/>
          <w:szCs w:val="30"/>
          <w:lang w:eastAsia="it-IT"/>
        </w:rPr>
      </w:pPr>
      <w:r w:rsidRPr="007E1836">
        <w:rPr>
          <w:rFonts w:ascii="Aptos" w:eastAsia="Times New Roman" w:hAnsi="Aptos" w:cs="Arial"/>
          <w:b/>
          <w:bCs/>
          <w:color w:val="1F4E79" w:themeColor="accent1" w:themeShade="80"/>
          <w:sz w:val="30"/>
          <w:szCs w:val="30"/>
          <w:lang w:eastAsia="it-IT"/>
        </w:rPr>
        <w:lastRenderedPageBreak/>
        <w:t>2. Avvio di partnership pilota</w:t>
      </w:r>
    </w:p>
    <w:p w:rsidR="00496375" w:rsidRPr="007E1836" w:rsidRDefault="00496375" w:rsidP="0049637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Identificazione degli ospedali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: Identificare gli ospedali e cliniche private più adatti per avviare partnership pilota</w:t>
      </w:r>
    </w:p>
    <w:p w:rsidR="00496375" w:rsidRPr="007E1836" w:rsidRDefault="00496375" w:rsidP="0049637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Proposte personalizzate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: Creare proposte personalizzate per ogni ospedale o clinica privata per dimostrare come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 possa migliorare la gestione delle emergenze e la telemedicina</w:t>
      </w:r>
    </w:p>
    <w:p w:rsidR="00496375" w:rsidRPr="007E1836" w:rsidRDefault="00496375" w:rsidP="0049637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Supporto tecnico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: Offrire supporto tecnico e assistenza per garantire una implementazione efficace di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496375" w:rsidRPr="007E1836" w:rsidRDefault="00496375" w:rsidP="004963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ptos" w:eastAsia="Times New Roman" w:hAnsi="Aptos" w:cs="Arial"/>
          <w:b/>
          <w:bCs/>
          <w:sz w:val="30"/>
          <w:szCs w:val="30"/>
          <w:lang w:eastAsia="it-IT"/>
        </w:rPr>
      </w:pPr>
      <w:r w:rsidRPr="007E1836">
        <w:rPr>
          <w:rFonts w:ascii="Aptos" w:eastAsia="Times New Roman" w:hAnsi="Aptos" w:cs="Arial"/>
          <w:b/>
          <w:bCs/>
          <w:color w:val="1F4E79" w:themeColor="accent1" w:themeShade="80"/>
          <w:sz w:val="30"/>
          <w:szCs w:val="30"/>
          <w:lang w:eastAsia="it-IT"/>
        </w:rPr>
        <w:t>3. Espansione della rete di utilizzatori</w:t>
      </w:r>
    </w:p>
    <w:p w:rsidR="00496375" w:rsidRPr="007E1836" w:rsidRDefault="00496375" w:rsidP="0049637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Formazione e supporto</w:t>
      </w:r>
      <w:r w:rsidRPr="007E1836">
        <w:rPr>
          <w:rFonts w:ascii="Aptos" w:eastAsia="Times New Roman" w:hAnsi="Aptos" w:cs="Times New Roman"/>
          <w:color w:val="1F4E79" w:themeColor="accent1" w:themeShade="80"/>
          <w:sz w:val="24"/>
          <w:szCs w:val="24"/>
          <w:lang w:eastAsia="it-IT"/>
        </w:rPr>
        <w:t xml:space="preserve">: 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Offrire formazione e supporto ai medici e al personale sanitario per utilizzare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 in modo efficace</w:t>
      </w:r>
    </w:p>
    <w:p w:rsidR="00496375" w:rsidRPr="007E1836" w:rsidRDefault="00496375" w:rsidP="0049637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Community di utilizzatori</w:t>
      </w:r>
      <w:r w:rsidRPr="007E1836">
        <w:rPr>
          <w:rFonts w:ascii="Aptos" w:eastAsia="Times New Roman" w:hAnsi="Aptos" w:cs="Times New Roman"/>
          <w:color w:val="1F4E79" w:themeColor="accent1" w:themeShade="80"/>
          <w:sz w:val="24"/>
          <w:szCs w:val="24"/>
          <w:lang w:eastAsia="it-IT"/>
        </w:rPr>
        <w:t xml:space="preserve">: 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Creare una community di utilizzatori per condividere esperienze e best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practice</w:t>
      </w:r>
      <w:proofErr w:type="spellEnd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 sull'utilizzo di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496375" w:rsidRPr="007E1836" w:rsidRDefault="00496375" w:rsidP="0049637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Eventi e conferenze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: Partecipare a eventi e conferenze del settore sanitario per promuovere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 e espandere la rete di utilizzatori</w:t>
      </w:r>
    </w:p>
    <w:p w:rsidR="00496375" w:rsidRPr="007E1836" w:rsidRDefault="00496375" w:rsidP="004963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ptos" w:eastAsia="Times New Roman" w:hAnsi="Aptos" w:cs="Arial"/>
          <w:b/>
          <w:bCs/>
          <w:color w:val="1F4E79" w:themeColor="accent1" w:themeShade="80"/>
          <w:sz w:val="30"/>
          <w:szCs w:val="30"/>
          <w:lang w:eastAsia="it-IT"/>
        </w:rPr>
      </w:pPr>
      <w:r w:rsidRPr="007E1836">
        <w:rPr>
          <w:rFonts w:ascii="Aptos" w:eastAsia="Times New Roman" w:hAnsi="Aptos" w:cs="Arial"/>
          <w:b/>
          <w:bCs/>
          <w:color w:val="1F4E79" w:themeColor="accent1" w:themeShade="80"/>
          <w:sz w:val="30"/>
          <w:szCs w:val="30"/>
          <w:lang w:eastAsia="it-IT"/>
        </w:rPr>
        <w:t>4. Creazione di un riferimento nella telemedicina e nell'assistenza sanitaria indossabile</w:t>
      </w:r>
    </w:p>
    <w:p w:rsidR="00496375" w:rsidRPr="007E1836" w:rsidRDefault="00496375" w:rsidP="0049637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Certificazioni e standard</w:t>
      </w:r>
      <w:r w:rsidRPr="007E1836">
        <w:rPr>
          <w:rFonts w:ascii="Aptos" w:eastAsia="Times New Roman" w:hAnsi="Aptos" w:cs="Times New Roman"/>
          <w:color w:val="1F4E79" w:themeColor="accent1" w:themeShade="80"/>
          <w:sz w:val="24"/>
          <w:szCs w:val="24"/>
          <w:lang w:eastAsia="it-IT"/>
        </w:rPr>
        <w:t xml:space="preserve">: 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Ottenere certificazioni e rispettare gli standard del settore per garantire la qualità e la sicurezza di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496375" w:rsidRPr="007E1836" w:rsidRDefault="00496375" w:rsidP="0049637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Collaborazioni con università e centri di ricerca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: Collaborare con università e centri di ricerca per sviluppare nuove funzionalità e migliorare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496375" w:rsidRPr="007E1836" w:rsidRDefault="00496375" w:rsidP="0049637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Pubblicazioni scientifiche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: Pubblicare articoli scientifici e studi sull'efficacia di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promuovere la sua adozione</w:t>
      </w:r>
    </w:p>
    <w:p w:rsidR="00496375" w:rsidRPr="007E1836" w:rsidRDefault="00496375" w:rsidP="0049637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Budget</w:t>
      </w:r>
      <w:r w:rsidRPr="007E1836">
        <w:rPr>
          <w:rFonts w:ascii="Aptos" w:eastAsia="Times New Roman" w:hAnsi="Aptos" w:cs="Times New Roman"/>
          <w:color w:val="1F4E79" w:themeColor="accent1" w:themeShade="80"/>
          <w:sz w:val="24"/>
          <w:szCs w:val="24"/>
          <w:lang w:eastAsia="it-IT"/>
        </w:rPr>
        <w:t xml:space="preserve">: 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€ 100.000 (€ 20.000 per la creazione di consapevolezza del brand, € 30.000 per l'avvio di partnership pilota, € 20.000 per l'espansione della rete di utilizzatori, € 30.000 per la creazione di un riferimento nella telemedicina e nell'assistenza sanitaria indossabile)</w:t>
      </w:r>
    </w:p>
    <w:p w:rsidR="00496375" w:rsidRPr="007E1836" w:rsidRDefault="00496375" w:rsidP="0049637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lastRenderedPageBreak/>
        <w:t>Timeline</w:t>
      </w:r>
      <w:proofErr w:type="spellEnd"/>
      <w:r w:rsidRPr="007E1836">
        <w:rPr>
          <w:rFonts w:ascii="Aptos" w:eastAsia="Times New Roman" w:hAnsi="Aptos" w:cs="Times New Roman"/>
          <w:color w:val="1F4E79" w:themeColor="accent1" w:themeShade="80"/>
          <w:sz w:val="24"/>
          <w:szCs w:val="24"/>
          <w:lang w:eastAsia="it-IT"/>
        </w:rPr>
        <w:t xml:space="preserve">: </w:t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12 mesi (3 mesi per la creazione di consapevolezza del brand, 4 mesi per l'avvio di partnership pilota, 3 mesi per l'espansione della rete di utilizzatori, 2 mesi per la creazione di un riferimento nella telemedicina e nell'assistenza sanitaria indossabile)</w:t>
      </w:r>
    </w:p>
    <w:p w:rsidR="00496375" w:rsidRPr="007E1836" w:rsidRDefault="00496375" w:rsidP="0049637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7E1836">
        <w:rPr>
          <w:rFonts w:ascii="Aptos" w:eastAsia="Times New Roman" w:hAnsi="Aptos" w:cs="Times New Roman"/>
          <w:b/>
          <w:bCs/>
          <w:color w:val="1F4E79" w:themeColor="accent1" w:themeShade="80"/>
          <w:sz w:val="24"/>
          <w:szCs w:val="24"/>
          <w:bdr w:val="single" w:sz="2" w:space="0" w:color="E5E7EB" w:frame="1"/>
          <w:lang w:eastAsia="it-IT"/>
        </w:rPr>
        <w:t>Conclusioni</w:t>
      </w:r>
      <w:r w:rsidRPr="007E1836">
        <w:rPr>
          <w:rFonts w:ascii="Aptos" w:eastAsia="Times New Roman" w:hAnsi="Aptos" w:cs="Times New Roman"/>
          <w:color w:val="1F4E79" w:themeColor="accent1" w:themeShade="80"/>
          <w:sz w:val="24"/>
          <w:szCs w:val="24"/>
          <w:lang w:eastAsia="it-IT"/>
        </w:rPr>
        <w:br/>
      </w:r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Il piano di marketing di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 mira a creare consapevolezza del brand e avviare partnership pilota con ospedali e cliniche private per migliorare la gestione delle emergenze e la telemedicina. Il piano si concentra sulla creazione di una rete di utilizzatori, diventando un riferimento nella telemedicina e nell'assistenza sanitaria indossabile. Con un budget di € 100.000 e un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timeline</w:t>
      </w:r>
      <w:proofErr w:type="spellEnd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 di 12 mesi, </w:t>
      </w:r>
      <w:proofErr w:type="spellStart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7E1836">
        <w:rPr>
          <w:rFonts w:ascii="Aptos" w:eastAsia="Times New Roman" w:hAnsi="Aptos" w:cs="Times New Roman"/>
          <w:sz w:val="24"/>
          <w:szCs w:val="24"/>
          <w:lang w:eastAsia="it-IT"/>
        </w:rPr>
        <w:t xml:space="preserve"> potrà aumentare la sua visibilità e adozione nel mercato sanitario.</w:t>
      </w:r>
    </w:p>
    <w:p w:rsidR="00A3312F" w:rsidRPr="007E1836" w:rsidRDefault="00496375" w:rsidP="00496375">
      <w:pPr>
        <w:rPr>
          <w:rFonts w:ascii="Aptos" w:hAnsi="Aptos"/>
        </w:rPr>
      </w:pPr>
      <w:r w:rsidRPr="007E1836">
        <w:rPr>
          <w:rFonts w:ascii="Aptos" w:eastAsia="Times New Roman" w:hAnsi="Aptos" w:cs="Times New Roman"/>
          <w:sz w:val="24"/>
          <w:szCs w:val="24"/>
          <w:bdr w:val="single" w:sz="2" w:space="0" w:color="E5E7EB" w:frame="1"/>
          <w:lang w:eastAsia="it-IT"/>
        </w:rPr>
        <w:br/>
      </w:r>
    </w:p>
    <w:sectPr w:rsidR="00A3312F" w:rsidRPr="007E18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F4AF6"/>
    <w:multiLevelType w:val="multilevel"/>
    <w:tmpl w:val="0272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DC0BA3"/>
    <w:multiLevelType w:val="multilevel"/>
    <w:tmpl w:val="2A46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A7072F"/>
    <w:multiLevelType w:val="multilevel"/>
    <w:tmpl w:val="AA4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CC2A30"/>
    <w:multiLevelType w:val="multilevel"/>
    <w:tmpl w:val="72B2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E1038D"/>
    <w:multiLevelType w:val="multilevel"/>
    <w:tmpl w:val="A8DE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527B40"/>
    <w:multiLevelType w:val="multilevel"/>
    <w:tmpl w:val="148C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75"/>
    <w:rsid w:val="00496375"/>
    <w:rsid w:val="005E5725"/>
    <w:rsid w:val="007E1836"/>
    <w:rsid w:val="00A3312F"/>
    <w:rsid w:val="00DA17F6"/>
    <w:rsid w:val="00DA690D"/>
    <w:rsid w:val="00F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75050-AFEE-41EE-8019-0927740F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496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49637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49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96375"/>
    <w:rPr>
      <w:b/>
      <w:bCs/>
    </w:rPr>
  </w:style>
  <w:style w:type="paragraph" w:customStyle="1" w:styleId="my-0">
    <w:name w:val="my-0"/>
    <w:basedOn w:val="Normale"/>
    <w:rsid w:val="0049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47771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Luigi Tanzillo</cp:lastModifiedBy>
  <cp:revision>3</cp:revision>
  <dcterms:created xsi:type="dcterms:W3CDTF">2025-01-23T17:47:00Z</dcterms:created>
  <dcterms:modified xsi:type="dcterms:W3CDTF">2025-01-23T23:50:00Z</dcterms:modified>
</cp:coreProperties>
</file>