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633EF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 </w:t>
      </w:r>
    </w:p>
    <w:p w:rsidR="00000000" w:rsidRDefault="004633E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8, 2016</w:t>
      </w:r>
    </w:p>
    <w:p w:rsidR="00000000" w:rsidRDefault="004633E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12:27 PM</w:t>
      </w:r>
    </w:p>
    <w:p w:rsidR="00000000" w:rsidRDefault="004633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UPDRS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International Parkinson and movement Disorder Society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objective and mission of the Society shall be to: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Advance the neurological sciences pertaining to Movement Disorders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 xml:space="preserve">Improve the </w:t>
      </w: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diagnosis and treatment of patients; to operate exclusively for scientific, scholarly and educational purposes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Encourage research; to provide forums, such as medical journals, scientific symposia and International Congresses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 xml:space="preserve">Share ideas and to advance the </w:t>
      </w: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related clinical and scientific disciplines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Encourage interest and participation in the activities of the Society among healthcare and allied professionals and scientists</w:t>
      </w:r>
    </w:p>
    <w:p w:rsidR="00000000" w:rsidRDefault="004633EF">
      <w:pPr>
        <w:numPr>
          <w:ilvl w:val="1"/>
          <w:numId w:val="1"/>
        </w:numPr>
        <w:ind w:left="387"/>
        <w:textAlignment w:val="center"/>
        <w:rPr>
          <w:rFonts w:ascii="Calibri" w:eastAsia="Times New Roman" w:hAnsi="Calibri"/>
          <w:color w:val="444444"/>
          <w:sz w:val="22"/>
          <w:szCs w:val="22"/>
        </w:rPr>
      </w:pPr>
      <w:r>
        <w:rPr>
          <w:rFonts w:ascii="Calibri" w:eastAsia="Times New Roman" w:hAnsi="Calibri"/>
          <w:color w:val="444444"/>
          <w:sz w:val="21"/>
          <w:szCs w:val="21"/>
          <w:shd w:val="clear" w:color="auto" w:fill="FFFFFF"/>
        </w:rPr>
        <w:t>Collaborate with other related professional and lay organizations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/>
            <w:sz w:val="18"/>
            <w:szCs w:val="18"/>
          </w:rPr>
          <w:t>http://www.movementdisorders.org/MDS/About/Who-We-Are/Purpose-Mission--Goals.htm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Parkinson’s disease (PD) is the most common neurodegenerative cause of parkinsonism, </w:t>
      </w:r>
      <w:r>
        <w:rPr>
          <w:rFonts w:ascii="Calibri" w:hAnsi="Calibri"/>
          <w:color w:val="000000"/>
          <w:sz w:val="22"/>
          <w:szCs w:val="22"/>
        </w:rPr>
        <w:t>a clinical syndrome characterized by lesions in the basal ganglia, predominantly in the substantia nigra. PD makes up approximately 80% of cases of parkinsonism.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 a rule, PD begins between the ages of 40 and 70 years, with peak age onset in the seventh d</w:t>
      </w:r>
      <w:r>
        <w:rPr>
          <w:rFonts w:ascii="Calibri" w:hAnsi="Calibri"/>
          <w:color w:val="000000"/>
          <w:sz w:val="22"/>
          <w:szCs w:val="22"/>
        </w:rPr>
        <w:t>ecade.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The prevalence of PD is approximately 160 cases per 100,000 population, and the incidence is about 20 cases per 100,000 population.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pathological changes of PD may appear as early as three decades before the appearance of clinical signs.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cau</w:t>
      </w:r>
      <w:r>
        <w:rPr>
          <w:rFonts w:ascii="Calibri" w:hAnsi="Calibri"/>
          <w:color w:val="000000"/>
          <w:sz w:val="22"/>
          <w:szCs w:val="22"/>
        </w:rPr>
        <w:t>se of PD is probably multifactorial, with contributions from hereditary predisposition, environmental toxins, and aging.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Several studies have indicated that PD is more common among relatives of index cases. When all studies are analyzed, first degree relat</w:t>
      </w:r>
      <w:r>
        <w:rPr>
          <w:rFonts w:ascii="Calibri" w:hAnsi="Calibri"/>
          <w:color w:val="000000"/>
          <w:sz w:val="22"/>
          <w:szCs w:val="22"/>
        </w:rPr>
        <w:t>ives of probands are two to three times more likely to develop PD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cardinal motor signs and symptoms of PD, include the characteristic clinical picture of resting tremor, rigidity, akinesia, and impairment of postural reflexes.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It evolves slowly.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Although preclinical detection of PD have been investigated, a practical, inexpensive, sensitive and specific screening test has yet to be made available.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Before the introduction of levodopa, PD caused severe disability in 16% of patients within five years</w:t>
      </w:r>
      <w:r>
        <w:rPr>
          <w:rFonts w:ascii="Calibri" w:hAnsi="Calibri"/>
          <w:color w:val="000000"/>
          <w:sz w:val="22"/>
          <w:szCs w:val="22"/>
        </w:rPr>
        <w:t xml:space="preserve"> of onset, in 37% during the next five years, and in 42% of those surviving for 15 years.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introduction of </w:t>
      </w:r>
      <w:r>
        <w:rPr>
          <w:rFonts w:ascii="Calibri" w:hAnsi="Calibri"/>
          <w:b/>
          <w:bCs/>
          <w:color w:val="000000"/>
          <w:sz w:val="22"/>
          <w:szCs w:val="22"/>
        </w:rPr>
        <w:t>levodopa</w:t>
      </w:r>
      <w:r>
        <w:rPr>
          <w:rFonts w:ascii="Calibri" w:hAnsi="Calibri"/>
          <w:color w:val="000000"/>
          <w:sz w:val="22"/>
          <w:szCs w:val="22"/>
        </w:rPr>
        <w:t xml:space="preserve"> has been considered one of the success stories of modern medicine.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It remains the most effecacious drug available for the relief of sym</w:t>
      </w:r>
      <w:r>
        <w:rPr>
          <w:rFonts w:ascii="Calibri" w:hAnsi="Calibri"/>
          <w:color w:val="000000"/>
          <w:sz w:val="22"/>
          <w:szCs w:val="22"/>
        </w:rPr>
        <w:t>ptoms in PD since its first introduction in the 1960s.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Currently the most popular techniques are: </w:t>
      </w:r>
    </w:p>
    <w:p w:rsidR="00000000" w:rsidRDefault="004633EF">
      <w:pPr>
        <w:pStyle w:val="NormalWeb"/>
        <w:spacing w:before="0" w:beforeAutospacing="0" w:after="0" w:afterAutospacing="0"/>
        <w:ind w:left="92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pallidotomy, </w:t>
      </w:r>
    </w:p>
    <w:p w:rsidR="00000000" w:rsidRDefault="004633EF">
      <w:pPr>
        <w:pStyle w:val="NormalWeb"/>
        <w:spacing w:before="0" w:beforeAutospacing="0" w:after="0" w:afterAutospacing="0"/>
        <w:ind w:left="92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chronic deep-brain stimulation (DBS) of the subthalamic nucleus (STN) </w:t>
      </w:r>
    </w:p>
    <w:p w:rsidR="00000000" w:rsidRDefault="004633EF">
      <w:pPr>
        <w:pStyle w:val="NormalWeb"/>
        <w:spacing w:before="0" w:beforeAutospacing="0" w:after="0" w:afterAutospacing="0"/>
        <w:ind w:left="92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and globus pallidus internus (Gpi) using an implantable pulse generator</w:t>
      </w:r>
      <w:r>
        <w:rPr>
          <w:rFonts w:ascii="Calibri" w:hAnsi="Calibri"/>
          <w:color w:val="000000"/>
          <w:sz w:val="22"/>
          <w:szCs w:val="22"/>
        </w:rPr>
        <w:t xml:space="preserve"> (IPG)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AF2626"/>
          <w:sz w:val="36"/>
          <w:szCs w:val="36"/>
        </w:rPr>
      </w:pPr>
      <w:r>
        <w:rPr>
          <w:rFonts w:ascii="Calibri" w:hAnsi="Calibri"/>
          <w:color w:val="AF2626"/>
          <w:sz w:val="36"/>
          <w:szCs w:val="36"/>
          <w:shd w:val="clear" w:color="auto" w:fill="FFFFFF"/>
        </w:rPr>
        <w:t>Parkinsonism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defining feature of parkinsonism is bradykinesia, or slowness with decrement and degradation of repetitive movements (“fatigue”).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Subtle “bradykinesia” has been reported to occur in the “normal elderly” population, but this may r</w:t>
      </w:r>
      <w:r>
        <w:rPr>
          <w:rFonts w:ascii="Calibri" w:hAnsi="Calibri"/>
          <w:color w:val="000000"/>
          <w:sz w:val="22"/>
          <w:szCs w:val="22"/>
        </w:rPr>
        <w:t>eflect a non-specific slowness rather than bradykinesia as defined above. 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Parkinson’s disease is the most common neurodegenerative cause of parkinsonism. 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Other causes include multiple system atrophy, </w:t>
      </w:r>
      <w:r>
        <w:rPr>
          <w:rFonts w:ascii="Calibri" w:hAnsi="Calibri"/>
          <w:b/>
          <w:bCs/>
          <w:color w:val="000000"/>
          <w:sz w:val="22"/>
          <w:szCs w:val="22"/>
        </w:rPr>
        <w:t>progressive supranuclear palsy and corticobasal degeneration.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These other neurodegenerative conditions are sometimes grouped together under term of “atypical parkinsonism” or “parkinson-plus syndromes”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They do not respond as well to  dopaminergic treatm</w:t>
      </w:r>
      <w:r>
        <w:rPr>
          <w:rFonts w:ascii="Calibri" w:hAnsi="Calibri"/>
          <w:color w:val="000000"/>
          <w:sz w:val="22"/>
          <w:szCs w:val="22"/>
        </w:rPr>
        <w:t>ents and generally have a worse prognosis compared to typical Parkinson’s disease.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Degenerative causes of parkinsonism may be difficult to diagnose in the earliest stages and ancillary investigations may be of limited value in this instance.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Parkinsonism c</w:t>
      </w:r>
      <w:r>
        <w:rPr>
          <w:rFonts w:ascii="Calibri" w:hAnsi="Calibri"/>
          <w:color w:val="000000"/>
          <w:sz w:val="22"/>
          <w:szCs w:val="22"/>
        </w:rPr>
        <w:t>an also be symptomatic, as a result of various vascular, drug-related, infectious, toxic, structural and other known secondary causes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6" w:history="1">
        <w:r>
          <w:rPr>
            <w:rStyle w:val="Hyperlink"/>
            <w:rFonts w:ascii="Calibri" w:hAnsi="Calibri"/>
            <w:sz w:val="18"/>
            <w:szCs w:val="18"/>
          </w:rPr>
          <w:t>http://www.movementdisorders.org/MDS/About/Movement-Disorder-Overviews/Parkinsons-Disease--Parkinsonism.htm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 w:line="320" w:lineRule="atLeast"/>
        <w:ind w:left="387"/>
        <w:rPr>
          <w:rFonts w:ascii="Calibri" w:hAnsi="Calibri"/>
          <w:color w:val="AF2626"/>
          <w:sz w:val="20"/>
          <w:szCs w:val="20"/>
        </w:rPr>
      </w:pPr>
      <w:r>
        <w:rPr>
          <w:rFonts w:ascii="Calibri" w:hAnsi="Calibri"/>
          <w:b/>
          <w:bCs/>
          <w:color w:val="AF2626"/>
          <w:sz w:val="20"/>
          <w:szCs w:val="20"/>
          <w:shd w:val="clear" w:color="auto" w:fill="FFFFFF"/>
        </w:rPr>
        <w:t>Welcome to the MDS Video Library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/>
            <w:sz w:val="18"/>
            <w:szCs w:val="18"/>
          </w:rPr>
          <w:t>http://www.movementdisorders.org/MDS/Resources/Videos/Video-Library.htm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AF2626"/>
          <w:sz w:val="40"/>
          <w:szCs w:val="40"/>
        </w:rPr>
      </w:pPr>
      <w:r>
        <w:rPr>
          <w:rFonts w:ascii="Calibri" w:hAnsi="Calibri"/>
          <w:color w:val="AF2626"/>
          <w:sz w:val="40"/>
          <w:szCs w:val="40"/>
          <w:shd w:val="clear" w:color="auto" w:fill="FFFFFF"/>
        </w:rPr>
        <w:t>MDS-Recommended Rating Scales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/>
            <w:sz w:val="18"/>
            <w:szCs w:val="18"/>
          </w:rPr>
          <w:t>http://www.movementdisorders.org/</w:t>
        </w:r>
        <w:r>
          <w:rPr>
            <w:rStyle w:val="Hyperlink"/>
            <w:rFonts w:ascii="Calibri" w:hAnsi="Calibri"/>
            <w:sz w:val="18"/>
            <w:szCs w:val="18"/>
          </w:rPr>
          <w:t>MDS/Education/Rating-Scales/MDS-Recommended-Rating-Scales.htm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Looking Backward to Move Forward: Early Detection of Neurodegenerative Disorders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391025" cy="3076575"/>
            <wp:effectExtent l="0" t="0" r="9525" b="9525"/>
            <wp:docPr id="1" name="Picture 1" descr="C:\EE2C1465\C87ACF74-287F-446D-A604-881ECD25A6CB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E2C1465\C87ACF74-287F-446D-A604-881ECD25A6CB_files\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2/8/2016 5:47 PM - Screen Clipping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Oth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er more recent related work by top paper </w:t>
      </w:r>
      <w:r>
        <w:rPr>
          <w:rFonts w:ascii="Calibri" w:hAnsi="Calibri"/>
          <w:color w:val="000000"/>
          <w:sz w:val="22"/>
          <w:szCs w:val="22"/>
        </w:rPr>
        <w:t>2013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Biomarkers of Parkinson's disease: Present and future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10" w:history="1">
        <w:r>
          <w:rPr>
            <w:rStyle w:val="Hyperlink"/>
            <w:rFonts w:ascii="Calibri" w:hAnsi="Calibri"/>
            <w:sz w:val="18"/>
            <w:szCs w:val="18"/>
          </w:rPr>
          <w:t>http://www.ncbi.nlm.nih.gov/pmc/articles/PMC4721253/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Surgical Treatm</w:t>
        </w:r>
        <w:r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ent of Parkinson's Disease: A Clinical Prospective Study with Six Years Follow up.</w:t>
        </w:r>
      </w:hyperlink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12" w:history="1">
        <w:r>
          <w:rPr>
            <w:rStyle w:val="Hyperlink"/>
            <w:rFonts w:ascii="Calibri" w:hAnsi="Calibri"/>
            <w:sz w:val="18"/>
            <w:szCs w:val="18"/>
          </w:rPr>
          <w:t>https://scholar.google.com/</w:t>
        </w:r>
        <w:r>
          <w:rPr>
            <w:rStyle w:val="Hyperlink"/>
            <w:rFonts w:ascii="Calibri" w:hAnsi="Calibri"/>
            <w:sz w:val="18"/>
            <w:szCs w:val="18"/>
          </w:rPr>
          <w:t>scholar?start=10&amp;hl=en&amp;as_sdt=80005&amp;sciodt=0,11&amp;as_ylo=2015&amp;cites=16959047630667096789&amp;scipsc=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A comparative kinematic analysis of cyclical bending in patients with early stages of Parkinson's disease and in patients with essential tremor.</w:t>
        </w:r>
      </w:hyperlink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14" w:history="1">
        <w:r>
          <w:rPr>
            <w:rStyle w:val="Hyperlink"/>
            <w:rFonts w:ascii="Calibri" w:hAnsi="Calibri"/>
            <w:sz w:val="18"/>
            <w:szCs w:val="18"/>
          </w:rPr>
          <w:t>https://scholar.google.com/scholar?hl=en&amp;as_sdt=80005&amp;sciodt=0%2C11&amp;cites=16959047630667096789&amp;scipsc=&amp;as_ylo=2014&amp;as_yhi=2014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4633EF">
      <w:pPr>
        <w:pStyle w:val="NormalWeb"/>
        <w:spacing w:before="0" w:beforeAutospacing="0" w:after="0" w:afterAutospacing="0"/>
        <w:ind w:left="38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61F30"/>
    <w:multiLevelType w:val="multilevel"/>
    <w:tmpl w:val="31B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633EF"/>
    <w:rsid w:val="004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D3BA-479F-4A9A-93A8-D4900192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vementdisorders.org/MDS/Education/Rating-Scales/MDS-Recommended-Rating-Scales.htm" TargetMode="External"/><Relationship Id="rId13" Type="http://schemas.openxmlformats.org/officeDocument/2006/relationships/hyperlink" Target="http://search.ebscohost.com/login.aspx?direct=true&amp;profile=ehost&amp;scope=site&amp;authtype=crawler&amp;jrnl=10871640&amp;AN=98992696&amp;h=2138RPqnzezJGocXh4o3wSWXsT95WhTIBliIbFTZRs4rPZ%2FqJ0D9IjAUk9lKC9g4Eet0MNZIgDDXn9CX7ViR%2BQ%3D%3D&amp;crl=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vementdisorders.org/MDS/Resources/Videos/Video-Library.htm" TargetMode="External"/><Relationship Id="rId12" Type="http://schemas.openxmlformats.org/officeDocument/2006/relationships/hyperlink" Target="https://scholar.google.com/scholar?start=10&amp;hl=en&amp;as_sdt=80005&amp;sciodt=0,11&amp;as_ylo=2015&amp;cites=16959047630667096789&amp;scipsc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ovementdisorders.org/MDS/About/Movement-Disorder-Overviews/Parkinsons-Disease--Parkinsonism.htm" TargetMode="External"/><Relationship Id="rId11" Type="http://schemas.openxmlformats.org/officeDocument/2006/relationships/hyperlink" Target="http://search.ebscohost.com/login.aspx?direct=true&amp;profile=ehost&amp;scope=site&amp;authtype=crawler&amp;jrnl=16816579&amp;AN=112267904&amp;h=PIC4FQrdzO9Jl2gJK%2BI1sw8pHqBf0pW98fP02Gi9iy0woRIpHEYoByQgkbvVdC1nm8n8jYN94MWy6oSz%2F0GnGA%3D%3D&amp;crl=c" TargetMode="External"/><Relationship Id="rId5" Type="http://schemas.openxmlformats.org/officeDocument/2006/relationships/hyperlink" Target="http://www.movementdisorders.org/MDS/About/Who-We-Are/Purpose-Mission--Goal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mc/articles/PMC472125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cholar.google.com/scholar?hl=en&amp;as_sdt=80005&amp;sciodt=0%2C11&amp;cites=16959047630667096789&amp;scipsc=&amp;as_ylo=2014&amp;as_yhi=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Keshavarzi</dc:creator>
  <cp:keywords/>
  <dc:description/>
  <cp:lastModifiedBy>Abbas Keshavarzi</cp:lastModifiedBy>
  <cp:revision>2</cp:revision>
  <dcterms:created xsi:type="dcterms:W3CDTF">2016-02-15T16:37:00Z</dcterms:created>
  <dcterms:modified xsi:type="dcterms:W3CDTF">2016-02-15T16:37:00Z</dcterms:modified>
</cp:coreProperties>
</file>