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B63B" w14:textId="0262969B" w:rsidR="00BA0383" w:rsidRPr="00966EA6" w:rsidRDefault="00BA0383" w:rsidP="00966EA6">
      <w:pPr>
        <w:spacing w:line="360" w:lineRule="auto"/>
        <w:ind w:firstLine="0"/>
        <w:rPr>
          <w:rFonts w:ascii="Times New Roman" w:hAnsi="Times New Roman" w:cs="Times New Roman"/>
          <w:b/>
          <w:bCs/>
        </w:rPr>
      </w:pPr>
      <w:r w:rsidRPr="00BA0383">
        <w:rPr>
          <w:rFonts w:ascii="Times New Roman" w:hAnsi="Times New Roman" w:cs="Times New Roman"/>
          <w:b/>
          <w:bCs/>
        </w:rPr>
        <w:t>1. Đánh giá Hiệu năng qua Thống kê Mô tả (Descriptive Statistics)</w:t>
      </w:r>
    </w:p>
    <w:p w14:paraId="50198743" w14:textId="77777777" w:rsidR="00BA0383" w:rsidRDefault="00BA0383" w:rsidP="00966EA6">
      <w:pPr>
        <w:spacing w:line="360" w:lineRule="auto"/>
        <w:rPr>
          <w:rFonts w:ascii="Times New Roman" w:hAnsi="Times New Roman" w:cs="Times New Roman"/>
        </w:rPr>
      </w:pPr>
      <w:r w:rsidRPr="00BA0383">
        <w:rPr>
          <w:rFonts w:ascii="Times New Roman" w:hAnsi="Times New Roman" w:cs="Times New Roman"/>
        </w:rPr>
        <w:t>Quá trình phân tích thực nghiệm bắt đầu bằng việc xem xét các chỉ số thống kê mô tả nhằm đánh giá hiệu năng dự báo của các mô hình trên tập dữ liệu kiểm thử gồm 1.566 mẫu. Kết quả cho thấy mô hình BiLSTM_mBERT đạt được độ chính xác vượt trội với sai số tuyệt đối trung bình (MAE) thấp nhất là 4.1230, đánh dấu bước cải thiện đáng kể từ 31.25% đến 39.76% so với các kịch bản sử dụng dữ liệu giá thuần túy hoặc cảm xúc truyền thống. Bên cạnh đó, tính ổn định của hệ thống cũng được củng cố khi độ lệch chuẩn của BiLSTM_mBERT duy trì ở mức thấp nhất là 5.0485, khẳng định khả năng dự báo bền vững trước những biến động mạnh của thị trường chứng khoán trong suốt giai đoạn 2013-2024. Đối với thuật toán XGBoost, mặc dù có sự biến thiên nhất định về giá trị trung bình, nhưng việc ghi nhận mức trung vị (Median) thấp nhất tại 1.7817 cho thấy ưu thế của việc tích hợp đặc trưng mBERT trong việc tiệm cận sát giá trị thực tế tại đa số các phiên giao dịch.</w:t>
      </w:r>
    </w:p>
    <w:p w14:paraId="53F50D8A" w14:textId="77777777" w:rsidR="00BA0383" w:rsidRDefault="00BA0383" w:rsidP="00966EA6">
      <w:pPr>
        <w:spacing w:line="360" w:lineRule="auto"/>
        <w:rPr>
          <w:rFonts w:ascii="Times New Roman" w:hAnsi="Times New Roman" w:cs="Times New Roman"/>
        </w:rPr>
      </w:pPr>
    </w:p>
    <w:p w14:paraId="61B41A72" w14:textId="08BF0176" w:rsidR="00BA0383" w:rsidRDefault="00BA0383" w:rsidP="00966EA6">
      <w:pPr>
        <w:spacing w:line="360" w:lineRule="auto"/>
        <w:rPr>
          <w:rFonts w:ascii="Times New Roman" w:hAnsi="Times New Roman" w:cs="Times New Roman"/>
        </w:rPr>
      </w:pPr>
      <w:r w:rsidRPr="00BA0383">
        <w:rPr>
          <w:rFonts w:ascii="Times New Roman" w:hAnsi="Times New Roman" w:cs="Times New Roman"/>
        </w:rPr>
        <w:t>Bảng</w:t>
      </w:r>
      <w:r w:rsidR="00966EA6">
        <w:rPr>
          <w:rFonts w:ascii="Times New Roman" w:hAnsi="Times New Roman" w:cs="Times New Roman"/>
        </w:rPr>
        <w:t xml:space="preserve"> </w:t>
      </w:r>
      <w:r w:rsidR="00240601">
        <w:rPr>
          <w:rFonts w:ascii="Times New Roman" w:hAnsi="Times New Roman" w:cs="Times New Roman"/>
        </w:rPr>
        <w:t>s</w:t>
      </w:r>
      <w:r w:rsidRPr="00BA0383">
        <w:rPr>
          <w:rFonts w:ascii="Times New Roman" w:hAnsi="Times New Roman" w:cs="Times New Roman"/>
        </w:rPr>
        <w:t>1. Tóm tắt các chỉ số thống kê mô tả của 6 mô hình</w:t>
      </w:r>
    </w:p>
    <w:tbl>
      <w:tblPr>
        <w:tblW w:w="0" w:type="auto"/>
        <w:jc w:val="center"/>
        <w:tblCellSpacing w:w="15" w:type="dxa"/>
        <w:tblCellMar>
          <w:left w:w="0" w:type="dxa"/>
          <w:right w:w="0" w:type="dxa"/>
        </w:tblCellMar>
        <w:tblLook w:val="04A0" w:firstRow="1" w:lastRow="0" w:firstColumn="1" w:lastColumn="0" w:noHBand="0" w:noVBand="1"/>
      </w:tblPr>
      <w:tblGrid>
        <w:gridCol w:w="2196"/>
        <w:gridCol w:w="1632"/>
        <w:gridCol w:w="1559"/>
        <w:gridCol w:w="1417"/>
        <w:gridCol w:w="1525"/>
      </w:tblGrid>
      <w:tr w:rsidR="00BA0383" w:rsidRPr="00BA0383" w14:paraId="037E4DAB" w14:textId="77777777" w:rsidTr="00BA0383">
        <w:trPr>
          <w:tblHeader/>
          <w:tblCellSpacing w:w="15" w:type="dxa"/>
          <w:jc w:val="center"/>
        </w:trPr>
        <w:tc>
          <w:tcPr>
            <w:tcW w:w="2151" w:type="dxa"/>
            <w:tcBorders>
              <w:bottom w:val="single" w:sz="4" w:space="0" w:color="auto"/>
              <w:right w:val="single" w:sz="4" w:space="0" w:color="auto"/>
            </w:tcBorders>
            <w:tcMar>
              <w:top w:w="240" w:type="dxa"/>
              <w:left w:w="0" w:type="dxa"/>
              <w:bottom w:w="240" w:type="dxa"/>
              <w:right w:w="180" w:type="dxa"/>
            </w:tcMar>
            <w:vAlign w:val="center"/>
            <w:hideMark/>
          </w:tcPr>
          <w:p w14:paraId="3745B01A"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b/>
                <w:bCs/>
              </w:rPr>
              <w:t>Model</w:t>
            </w:r>
          </w:p>
        </w:tc>
        <w:tc>
          <w:tcPr>
            <w:tcW w:w="1602" w:type="dxa"/>
            <w:tcBorders>
              <w:bottom w:val="single" w:sz="4" w:space="0" w:color="auto"/>
            </w:tcBorders>
            <w:tcMar>
              <w:top w:w="240" w:type="dxa"/>
              <w:left w:w="0" w:type="dxa"/>
              <w:bottom w:w="240" w:type="dxa"/>
              <w:right w:w="180" w:type="dxa"/>
            </w:tcMar>
            <w:vAlign w:val="center"/>
            <w:hideMark/>
          </w:tcPr>
          <w:p w14:paraId="0781A15A" w14:textId="6362B33E"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b/>
                <w:bCs/>
              </w:rPr>
              <w:t>MAE</w:t>
            </w:r>
          </w:p>
        </w:tc>
        <w:tc>
          <w:tcPr>
            <w:tcW w:w="1529" w:type="dxa"/>
            <w:tcBorders>
              <w:left w:val="single" w:sz="4" w:space="0" w:color="auto"/>
              <w:bottom w:val="single" w:sz="4" w:space="0" w:color="auto"/>
            </w:tcBorders>
            <w:tcMar>
              <w:top w:w="240" w:type="dxa"/>
              <w:left w:w="0" w:type="dxa"/>
              <w:bottom w:w="240" w:type="dxa"/>
              <w:right w:w="180" w:type="dxa"/>
            </w:tcMar>
            <w:vAlign w:val="center"/>
            <w:hideMark/>
          </w:tcPr>
          <w:p w14:paraId="1317AD4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b/>
                <w:bCs/>
              </w:rPr>
              <w:t>Median</w:t>
            </w:r>
          </w:p>
        </w:tc>
        <w:tc>
          <w:tcPr>
            <w:tcW w:w="1387" w:type="dxa"/>
            <w:tcBorders>
              <w:left w:val="single" w:sz="4" w:space="0" w:color="auto"/>
              <w:bottom w:val="single" w:sz="4" w:space="0" w:color="auto"/>
            </w:tcBorders>
            <w:tcMar>
              <w:top w:w="240" w:type="dxa"/>
              <w:left w:w="0" w:type="dxa"/>
              <w:bottom w:w="240" w:type="dxa"/>
              <w:right w:w="180" w:type="dxa"/>
            </w:tcMar>
            <w:vAlign w:val="center"/>
            <w:hideMark/>
          </w:tcPr>
          <w:p w14:paraId="0E5E2288"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b/>
                <w:bCs/>
              </w:rPr>
              <w:t>Std Dev</w:t>
            </w:r>
          </w:p>
        </w:tc>
        <w:tc>
          <w:tcPr>
            <w:tcW w:w="1480" w:type="dxa"/>
            <w:tcBorders>
              <w:left w:val="single" w:sz="4" w:space="0" w:color="auto"/>
              <w:bottom w:val="single" w:sz="4" w:space="0" w:color="auto"/>
            </w:tcBorders>
            <w:tcMar>
              <w:top w:w="240" w:type="dxa"/>
              <w:left w:w="0" w:type="dxa"/>
              <w:bottom w:w="240" w:type="dxa"/>
              <w:right w:w="0" w:type="dxa"/>
            </w:tcMar>
            <w:vAlign w:val="center"/>
            <w:hideMark/>
          </w:tcPr>
          <w:p w14:paraId="4C5F6A5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b/>
                <w:bCs/>
              </w:rPr>
              <w:t>Max Error</w:t>
            </w:r>
          </w:p>
        </w:tc>
      </w:tr>
      <w:tr w:rsidR="00BA0383" w:rsidRPr="00BA0383" w14:paraId="513FCFA3" w14:textId="77777777" w:rsidTr="00BA0383">
        <w:trPr>
          <w:tblCellSpacing w:w="15" w:type="dxa"/>
          <w:jc w:val="center"/>
        </w:trPr>
        <w:tc>
          <w:tcPr>
            <w:tcW w:w="2151" w:type="dxa"/>
            <w:tcBorders>
              <w:right w:val="single" w:sz="4" w:space="0" w:color="auto"/>
            </w:tcBorders>
            <w:tcMar>
              <w:top w:w="240" w:type="dxa"/>
              <w:left w:w="0" w:type="dxa"/>
              <w:bottom w:w="240" w:type="dxa"/>
              <w:right w:w="180" w:type="dxa"/>
            </w:tcMar>
            <w:vAlign w:val="center"/>
            <w:hideMark/>
          </w:tcPr>
          <w:p w14:paraId="1F763AFE"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XGB_Pure</w:t>
            </w:r>
          </w:p>
        </w:tc>
        <w:tc>
          <w:tcPr>
            <w:tcW w:w="1602" w:type="dxa"/>
            <w:tcMar>
              <w:top w:w="240" w:type="dxa"/>
              <w:left w:w="0" w:type="dxa"/>
              <w:bottom w:w="240" w:type="dxa"/>
              <w:right w:w="180" w:type="dxa"/>
            </w:tcMar>
            <w:vAlign w:val="center"/>
            <w:hideMark/>
          </w:tcPr>
          <w:p w14:paraId="15C1D9A6"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12.2184</w:t>
            </w:r>
          </w:p>
        </w:tc>
        <w:tc>
          <w:tcPr>
            <w:tcW w:w="1529" w:type="dxa"/>
            <w:tcBorders>
              <w:left w:val="single" w:sz="4" w:space="0" w:color="auto"/>
            </w:tcBorders>
            <w:tcMar>
              <w:top w:w="240" w:type="dxa"/>
              <w:left w:w="0" w:type="dxa"/>
              <w:bottom w:w="240" w:type="dxa"/>
              <w:right w:w="180" w:type="dxa"/>
            </w:tcMar>
            <w:vAlign w:val="center"/>
            <w:hideMark/>
          </w:tcPr>
          <w:p w14:paraId="48C771B2"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1.7938</w:t>
            </w:r>
          </w:p>
        </w:tc>
        <w:tc>
          <w:tcPr>
            <w:tcW w:w="1387" w:type="dxa"/>
            <w:tcBorders>
              <w:left w:val="single" w:sz="4" w:space="0" w:color="auto"/>
            </w:tcBorders>
            <w:tcMar>
              <w:top w:w="240" w:type="dxa"/>
              <w:left w:w="0" w:type="dxa"/>
              <w:bottom w:w="240" w:type="dxa"/>
              <w:right w:w="180" w:type="dxa"/>
            </w:tcMar>
            <w:vAlign w:val="center"/>
            <w:hideMark/>
          </w:tcPr>
          <w:p w14:paraId="2661A2F1"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27.3787</w:t>
            </w:r>
          </w:p>
        </w:tc>
        <w:tc>
          <w:tcPr>
            <w:tcW w:w="1480" w:type="dxa"/>
            <w:tcBorders>
              <w:left w:val="single" w:sz="4" w:space="0" w:color="auto"/>
            </w:tcBorders>
            <w:tcMar>
              <w:top w:w="240" w:type="dxa"/>
              <w:left w:w="0" w:type="dxa"/>
              <w:bottom w:w="240" w:type="dxa"/>
              <w:right w:w="0" w:type="dxa"/>
            </w:tcMar>
            <w:vAlign w:val="center"/>
            <w:hideMark/>
          </w:tcPr>
          <w:p w14:paraId="0AB4B2E6"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142.2616</w:t>
            </w:r>
          </w:p>
        </w:tc>
      </w:tr>
      <w:tr w:rsidR="00BA0383" w:rsidRPr="00BA0383" w14:paraId="67774AE7" w14:textId="77777777" w:rsidTr="00BA0383">
        <w:trPr>
          <w:tblCellSpacing w:w="15" w:type="dxa"/>
          <w:jc w:val="center"/>
        </w:trPr>
        <w:tc>
          <w:tcPr>
            <w:tcW w:w="2151" w:type="dxa"/>
            <w:tcBorders>
              <w:right w:val="single" w:sz="4" w:space="0" w:color="auto"/>
            </w:tcBorders>
            <w:tcMar>
              <w:top w:w="240" w:type="dxa"/>
              <w:left w:w="0" w:type="dxa"/>
              <w:bottom w:w="240" w:type="dxa"/>
              <w:right w:w="180" w:type="dxa"/>
            </w:tcMar>
            <w:vAlign w:val="center"/>
            <w:hideMark/>
          </w:tcPr>
          <w:p w14:paraId="180D6EE4"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BiLSTM_Pure</w:t>
            </w:r>
          </w:p>
        </w:tc>
        <w:tc>
          <w:tcPr>
            <w:tcW w:w="1602" w:type="dxa"/>
            <w:tcMar>
              <w:top w:w="240" w:type="dxa"/>
              <w:left w:w="0" w:type="dxa"/>
              <w:bottom w:w="240" w:type="dxa"/>
              <w:right w:w="180" w:type="dxa"/>
            </w:tcMar>
            <w:vAlign w:val="center"/>
            <w:hideMark/>
          </w:tcPr>
          <w:p w14:paraId="5663F007"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5.9971</w:t>
            </w:r>
          </w:p>
        </w:tc>
        <w:tc>
          <w:tcPr>
            <w:tcW w:w="1529" w:type="dxa"/>
            <w:tcBorders>
              <w:left w:val="single" w:sz="4" w:space="0" w:color="auto"/>
            </w:tcBorders>
            <w:tcMar>
              <w:top w:w="240" w:type="dxa"/>
              <w:left w:w="0" w:type="dxa"/>
              <w:bottom w:w="240" w:type="dxa"/>
              <w:right w:w="180" w:type="dxa"/>
            </w:tcMar>
            <w:vAlign w:val="center"/>
            <w:hideMark/>
          </w:tcPr>
          <w:p w14:paraId="52FC1628"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3.1727</w:t>
            </w:r>
          </w:p>
        </w:tc>
        <w:tc>
          <w:tcPr>
            <w:tcW w:w="1387" w:type="dxa"/>
            <w:tcBorders>
              <w:left w:val="single" w:sz="4" w:space="0" w:color="auto"/>
            </w:tcBorders>
            <w:tcMar>
              <w:top w:w="240" w:type="dxa"/>
              <w:left w:w="0" w:type="dxa"/>
              <w:bottom w:w="240" w:type="dxa"/>
              <w:right w:w="180" w:type="dxa"/>
            </w:tcMar>
            <w:vAlign w:val="center"/>
            <w:hideMark/>
          </w:tcPr>
          <w:p w14:paraId="2BEADFAA"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8.4062</w:t>
            </w:r>
          </w:p>
        </w:tc>
        <w:tc>
          <w:tcPr>
            <w:tcW w:w="1480" w:type="dxa"/>
            <w:tcBorders>
              <w:left w:val="single" w:sz="4" w:space="0" w:color="auto"/>
            </w:tcBorders>
            <w:tcMar>
              <w:top w:w="240" w:type="dxa"/>
              <w:left w:w="0" w:type="dxa"/>
              <w:bottom w:w="240" w:type="dxa"/>
              <w:right w:w="0" w:type="dxa"/>
            </w:tcMar>
            <w:vAlign w:val="center"/>
            <w:hideMark/>
          </w:tcPr>
          <w:p w14:paraId="6C933C25"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72.9071</w:t>
            </w:r>
          </w:p>
        </w:tc>
      </w:tr>
      <w:tr w:rsidR="00BA0383" w:rsidRPr="00BA0383" w14:paraId="4F085015" w14:textId="77777777" w:rsidTr="00BA0383">
        <w:trPr>
          <w:tblCellSpacing w:w="15" w:type="dxa"/>
          <w:jc w:val="center"/>
        </w:trPr>
        <w:tc>
          <w:tcPr>
            <w:tcW w:w="2151" w:type="dxa"/>
            <w:tcBorders>
              <w:right w:val="single" w:sz="4" w:space="0" w:color="auto"/>
            </w:tcBorders>
            <w:tcMar>
              <w:top w:w="240" w:type="dxa"/>
              <w:left w:w="0" w:type="dxa"/>
              <w:bottom w:w="240" w:type="dxa"/>
              <w:right w:w="180" w:type="dxa"/>
            </w:tcMar>
            <w:vAlign w:val="center"/>
            <w:hideMark/>
          </w:tcPr>
          <w:p w14:paraId="66817CAC"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XGB_Sentiment</w:t>
            </w:r>
          </w:p>
        </w:tc>
        <w:tc>
          <w:tcPr>
            <w:tcW w:w="1602" w:type="dxa"/>
            <w:tcMar>
              <w:top w:w="240" w:type="dxa"/>
              <w:left w:w="0" w:type="dxa"/>
              <w:bottom w:w="240" w:type="dxa"/>
              <w:right w:w="180" w:type="dxa"/>
            </w:tcMar>
            <w:vAlign w:val="center"/>
            <w:hideMark/>
          </w:tcPr>
          <w:p w14:paraId="1098BCE3"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12.2184</w:t>
            </w:r>
          </w:p>
        </w:tc>
        <w:tc>
          <w:tcPr>
            <w:tcW w:w="1529" w:type="dxa"/>
            <w:tcBorders>
              <w:left w:val="single" w:sz="4" w:space="0" w:color="auto"/>
            </w:tcBorders>
            <w:tcMar>
              <w:top w:w="240" w:type="dxa"/>
              <w:left w:w="0" w:type="dxa"/>
              <w:bottom w:w="240" w:type="dxa"/>
              <w:right w:w="180" w:type="dxa"/>
            </w:tcMar>
            <w:vAlign w:val="center"/>
            <w:hideMark/>
          </w:tcPr>
          <w:p w14:paraId="4E93013E"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1.7938</w:t>
            </w:r>
          </w:p>
        </w:tc>
        <w:tc>
          <w:tcPr>
            <w:tcW w:w="1387" w:type="dxa"/>
            <w:tcBorders>
              <w:left w:val="single" w:sz="4" w:space="0" w:color="auto"/>
            </w:tcBorders>
            <w:tcMar>
              <w:top w:w="240" w:type="dxa"/>
              <w:left w:w="0" w:type="dxa"/>
              <w:bottom w:w="240" w:type="dxa"/>
              <w:right w:w="180" w:type="dxa"/>
            </w:tcMar>
            <w:vAlign w:val="center"/>
            <w:hideMark/>
          </w:tcPr>
          <w:p w14:paraId="78A38AE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27.3787</w:t>
            </w:r>
          </w:p>
        </w:tc>
        <w:tc>
          <w:tcPr>
            <w:tcW w:w="1480" w:type="dxa"/>
            <w:tcBorders>
              <w:left w:val="single" w:sz="4" w:space="0" w:color="auto"/>
            </w:tcBorders>
            <w:tcMar>
              <w:top w:w="240" w:type="dxa"/>
              <w:left w:w="0" w:type="dxa"/>
              <w:bottom w:w="240" w:type="dxa"/>
              <w:right w:w="0" w:type="dxa"/>
            </w:tcMar>
            <w:vAlign w:val="center"/>
            <w:hideMark/>
          </w:tcPr>
          <w:p w14:paraId="3513AE09"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142.2616</w:t>
            </w:r>
          </w:p>
        </w:tc>
      </w:tr>
      <w:tr w:rsidR="00BA0383" w:rsidRPr="00BA0383" w14:paraId="0F855865" w14:textId="77777777" w:rsidTr="00BA0383">
        <w:trPr>
          <w:tblCellSpacing w:w="15" w:type="dxa"/>
          <w:jc w:val="center"/>
        </w:trPr>
        <w:tc>
          <w:tcPr>
            <w:tcW w:w="2151" w:type="dxa"/>
            <w:tcBorders>
              <w:right w:val="single" w:sz="4" w:space="0" w:color="auto"/>
            </w:tcBorders>
            <w:tcMar>
              <w:top w:w="240" w:type="dxa"/>
              <w:left w:w="0" w:type="dxa"/>
              <w:bottom w:w="240" w:type="dxa"/>
              <w:right w:w="180" w:type="dxa"/>
            </w:tcMar>
            <w:vAlign w:val="center"/>
            <w:hideMark/>
          </w:tcPr>
          <w:p w14:paraId="0CF5140B"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BiLSTM_Sentiment</w:t>
            </w:r>
          </w:p>
        </w:tc>
        <w:tc>
          <w:tcPr>
            <w:tcW w:w="1602" w:type="dxa"/>
            <w:tcMar>
              <w:top w:w="240" w:type="dxa"/>
              <w:left w:w="0" w:type="dxa"/>
              <w:bottom w:w="240" w:type="dxa"/>
              <w:right w:w="180" w:type="dxa"/>
            </w:tcMar>
            <w:vAlign w:val="center"/>
            <w:hideMark/>
          </w:tcPr>
          <w:p w14:paraId="310E9861"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6.8438</w:t>
            </w:r>
          </w:p>
        </w:tc>
        <w:tc>
          <w:tcPr>
            <w:tcW w:w="1529" w:type="dxa"/>
            <w:tcBorders>
              <w:left w:val="single" w:sz="4" w:space="0" w:color="auto"/>
            </w:tcBorders>
            <w:tcMar>
              <w:top w:w="240" w:type="dxa"/>
              <w:left w:w="0" w:type="dxa"/>
              <w:bottom w:w="240" w:type="dxa"/>
              <w:right w:w="180" w:type="dxa"/>
            </w:tcMar>
            <w:vAlign w:val="center"/>
            <w:hideMark/>
          </w:tcPr>
          <w:p w14:paraId="17F8856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3.1796</w:t>
            </w:r>
          </w:p>
        </w:tc>
        <w:tc>
          <w:tcPr>
            <w:tcW w:w="1387" w:type="dxa"/>
            <w:tcBorders>
              <w:left w:val="single" w:sz="4" w:space="0" w:color="auto"/>
            </w:tcBorders>
            <w:tcMar>
              <w:top w:w="240" w:type="dxa"/>
              <w:left w:w="0" w:type="dxa"/>
              <w:bottom w:w="240" w:type="dxa"/>
              <w:right w:w="180" w:type="dxa"/>
            </w:tcMar>
            <w:vAlign w:val="center"/>
            <w:hideMark/>
          </w:tcPr>
          <w:p w14:paraId="3423655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9.2450</w:t>
            </w:r>
          </w:p>
        </w:tc>
        <w:tc>
          <w:tcPr>
            <w:tcW w:w="1480" w:type="dxa"/>
            <w:tcBorders>
              <w:left w:val="single" w:sz="4" w:space="0" w:color="auto"/>
            </w:tcBorders>
            <w:tcMar>
              <w:top w:w="240" w:type="dxa"/>
              <w:left w:w="0" w:type="dxa"/>
              <w:bottom w:w="240" w:type="dxa"/>
              <w:right w:w="0" w:type="dxa"/>
            </w:tcMar>
            <w:vAlign w:val="center"/>
            <w:hideMark/>
          </w:tcPr>
          <w:p w14:paraId="4CF2892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64.3976</w:t>
            </w:r>
          </w:p>
        </w:tc>
      </w:tr>
      <w:tr w:rsidR="00BA0383" w:rsidRPr="00BA0383" w14:paraId="7050180C" w14:textId="77777777" w:rsidTr="00BA0383">
        <w:trPr>
          <w:tblCellSpacing w:w="15" w:type="dxa"/>
          <w:jc w:val="center"/>
        </w:trPr>
        <w:tc>
          <w:tcPr>
            <w:tcW w:w="2151" w:type="dxa"/>
            <w:tcBorders>
              <w:right w:val="single" w:sz="4" w:space="0" w:color="auto"/>
            </w:tcBorders>
            <w:tcMar>
              <w:top w:w="240" w:type="dxa"/>
              <w:left w:w="0" w:type="dxa"/>
              <w:bottom w:w="240" w:type="dxa"/>
              <w:right w:w="180" w:type="dxa"/>
            </w:tcMar>
            <w:vAlign w:val="center"/>
            <w:hideMark/>
          </w:tcPr>
          <w:p w14:paraId="099CD464"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XGB_mBERT</w:t>
            </w:r>
          </w:p>
        </w:tc>
        <w:tc>
          <w:tcPr>
            <w:tcW w:w="1602" w:type="dxa"/>
            <w:tcMar>
              <w:top w:w="240" w:type="dxa"/>
              <w:left w:w="0" w:type="dxa"/>
              <w:bottom w:w="240" w:type="dxa"/>
              <w:right w:w="180" w:type="dxa"/>
            </w:tcMar>
            <w:vAlign w:val="center"/>
            <w:hideMark/>
          </w:tcPr>
          <w:p w14:paraId="608CAE8F"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12.3180</w:t>
            </w:r>
          </w:p>
        </w:tc>
        <w:tc>
          <w:tcPr>
            <w:tcW w:w="1529" w:type="dxa"/>
            <w:tcBorders>
              <w:left w:val="single" w:sz="4" w:space="0" w:color="auto"/>
            </w:tcBorders>
            <w:tcMar>
              <w:top w:w="240" w:type="dxa"/>
              <w:left w:w="0" w:type="dxa"/>
              <w:bottom w:w="240" w:type="dxa"/>
              <w:right w:w="180" w:type="dxa"/>
            </w:tcMar>
            <w:vAlign w:val="center"/>
            <w:hideMark/>
          </w:tcPr>
          <w:p w14:paraId="1011809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1.7817</w:t>
            </w:r>
          </w:p>
        </w:tc>
        <w:tc>
          <w:tcPr>
            <w:tcW w:w="1387" w:type="dxa"/>
            <w:tcBorders>
              <w:left w:val="single" w:sz="4" w:space="0" w:color="auto"/>
            </w:tcBorders>
            <w:tcMar>
              <w:top w:w="240" w:type="dxa"/>
              <w:left w:w="0" w:type="dxa"/>
              <w:bottom w:w="240" w:type="dxa"/>
              <w:right w:w="180" w:type="dxa"/>
            </w:tcMar>
            <w:vAlign w:val="center"/>
            <w:hideMark/>
          </w:tcPr>
          <w:p w14:paraId="0A7DDB46"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27.5477</w:t>
            </w:r>
          </w:p>
        </w:tc>
        <w:tc>
          <w:tcPr>
            <w:tcW w:w="1480" w:type="dxa"/>
            <w:tcBorders>
              <w:left w:val="single" w:sz="4" w:space="0" w:color="auto"/>
            </w:tcBorders>
            <w:tcMar>
              <w:top w:w="240" w:type="dxa"/>
              <w:left w:w="0" w:type="dxa"/>
              <w:bottom w:w="240" w:type="dxa"/>
              <w:right w:w="0" w:type="dxa"/>
            </w:tcMar>
            <w:vAlign w:val="center"/>
            <w:hideMark/>
          </w:tcPr>
          <w:p w14:paraId="1951C06F"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143.1360</w:t>
            </w:r>
          </w:p>
        </w:tc>
      </w:tr>
      <w:tr w:rsidR="00BA0383" w:rsidRPr="00BA0383" w14:paraId="514B3DE6" w14:textId="77777777" w:rsidTr="00BA0383">
        <w:trPr>
          <w:tblCellSpacing w:w="15" w:type="dxa"/>
          <w:jc w:val="center"/>
        </w:trPr>
        <w:tc>
          <w:tcPr>
            <w:tcW w:w="2151" w:type="dxa"/>
            <w:tcBorders>
              <w:right w:val="single" w:sz="4" w:space="0" w:color="auto"/>
            </w:tcBorders>
            <w:tcMar>
              <w:top w:w="240" w:type="dxa"/>
              <w:left w:w="0" w:type="dxa"/>
              <w:bottom w:w="240" w:type="dxa"/>
              <w:right w:w="180" w:type="dxa"/>
            </w:tcMar>
            <w:vAlign w:val="center"/>
            <w:hideMark/>
          </w:tcPr>
          <w:p w14:paraId="4BB76744"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BiLSTM_mBERT</w:t>
            </w:r>
          </w:p>
        </w:tc>
        <w:tc>
          <w:tcPr>
            <w:tcW w:w="1602" w:type="dxa"/>
            <w:tcMar>
              <w:top w:w="240" w:type="dxa"/>
              <w:left w:w="0" w:type="dxa"/>
              <w:bottom w:w="240" w:type="dxa"/>
              <w:right w:w="180" w:type="dxa"/>
            </w:tcMar>
            <w:vAlign w:val="center"/>
            <w:hideMark/>
          </w:tcPr>
          <w:p w14:paraId="56016C8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4.1230</w:t>
            </w:r>
          </w:p>
        </w:tc>
        <w:tc>
          <w:tcPr>
            <w:tcW w:w="1529" w:type="dxa"/>
            <w:tcBorders>
              <w:left w:val="single" w:sz="4" w:space="0" w:color="auto"/>
            </w:tcBorders>
            <w:tcMar>
              <w:top w:w="240" w:type="dxa"/>
              <w:left w:w="0" w:type="dxa"/>
              <w:bottom w:w="240" w:type="dxa"/>
              <w:right w:w="180" w:type="dxa"/>
            </w:tcMar>
            <w:vAlign w:val="center"/>
            <w:hideMark/>
          </w:tcPr>
          <w:p w14:paraId="0FAE36B1"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2.1963</w:t>
            </w:r>
          </w:p>
        </w:tc>
        <w:tc>
          <w:tcPr>
            <w:tcW w:w="1387" w:type="dxa"/>
            <w:tcBorders>
              <w:left w:val="single" w:sz="4" w:space="0" w:color="auto"/>
            </w:tcBorders>
            <w:tcMar>
              <w:top w:w="240" w:type="dxa"/>
              <w:left w:w="0" w:type="dxa"/>
              <w:bottom w:w="240" w:type="dxa"/>
              <w:right w:w="180" w:type="dxa"/>
            </w:tcMar>
            <w:vAlign w:val="center"/>
            <w:hideMark/>
          </w:tcPr>
          <w:p w14:paraId="2974D322"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5.0485</w:t>
            </w:r>
          </w:p>
        </w:tc>
        <w:tc>
          <w:tcPr>
            <w:tcW w:w="1480" w:type="dxa"/>
            <w:tcBorders>
              <w:left w:val="single" w:sz="4" w:space="0" w:color="auto"/>
            </w:tcBorders>
            <w:tcMar>
              <w:top w:w="240" w:type="dxa"/>
              <w:left w:w="0" w:type="dxa"/>
              <w:bottom w:w="240" w:type="dxa"/>
              <w:right w:w="0" w:type="dxa"/>
            </w:tcMar>
            <w:vAlign w:val="center"/>
            <w:hideMark/>
          </w:tcPr>
          <w:p w14:paraId="01D486F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66.6166</w:t>
            </w:r>
          </w:p>
        </w:tc>
      </w:tr>
    </w:tbl>
    <w:p w14:paraId="509EAA9A" w14:textId="77777777" w:rsidR="00BA0383" w:rsidRDefault="00BA0383" w:rsidP="00966EA6">
      <w:pPr>
        <w:spacing w:line="360" w:lineRule="auto"/>
        <w:rPr>
          <w:rFonts w:ascii="Times New Roman" w:hAnsi="Times New Roman" w:cs="Times New Roman"/>
        </w:rPr>
      </w:pPr>
    </w:p>
    <w:p w14:paraId="0C51B314" w14:textId="77777777" w:rsidR="00BA0383" w:rsidRDefault="00BA0383" w:rsidP="00966EA6">
      <w:pPr>
        <w:spacing w:line="360" w:lineRule="auto"/>
        <w:ind w:firstLine="0"/>
        <w:rPr>
          <w:rFonts w:ascii="Times New Roman" w:hAnsi="Times New Roman" w:cs="Times New Roman"/>
          <w:b/>
          <w:bCs/>
        </w:rPr>
      </w:pPr>
    </w:p>
    <w:p w14:paraId="296E216D" w14:textId="170C1C1C" w:rsidR="00BA0383" w:rsidRPr="00BA0383" w:rsidRDefault="00BA0383" w:rsidP="00966EA6">
      <w:pPr>
        <w:spacing w:line="360" w:lineRule="auto"/>
        <w:ind w:firstLine="0"/>
        <w:rPr>
          <w:rFonts w:ascii="Times New Roman" w:hAnsi="Times New Roman" w:cs="Times New Roman"/>
          <w:b/>
          <w:bCs/>
        </w:rPr>
      </w:pPr>
      <w:r w:rsidRPr="00BA0383">
        <w:rPr>
          <w:rFonts w:ascii="Times New Roman" w:hAnsi="Times New Roman" w:cs="Times New Roman"/>
          <w:b/>
          <w:bCs/>
        </w:rPr>
        <w:t>2. Trực quan hóa Phân phối Sai số (Error Distribution Analysis)</w:t>
      </w:r>
    </w:p>
    <w:p w14:paraId="010529AB" w14:textId="77777777" w:rsidR="00BA0383" w:rsidRDefault="00BA0383" w:rsidP="00966EA6">
      <w:pPr>
        <w:spacing w:line="360" w:lineRule="auto"/>
        <w:rPr>
          <w:rFonts w:ascii="Times New Roman" w:hAnsi="Times New Roman" w:cs="Times New Roman"/>
        </w:rPr>
      </w:pPr>
      <w:r w:rsidRPr="00BA0383">
        <w:rPr>
          <w:rFonts w:ascii="Times New Roman" w:hAnsi="Times New Roman" w:cs="Times New Roman"/>
        </w:rPr>
        <w:t>Để trực quan hóa sự khác biệt về phân phối sai số giữa các kiến trúc mô hình, nghiên cứu thực hiện biểu diễn dữ liệu thông qua biểu đồ hộp (Boxplot) trên thang đo Logarit. Quan sát đồ thị cho thấy vùng tập trung sai số của BiLSTM_mBERT được định vị tại mức thấp nhất và có dải biến thiên hẹp nhất, một minh chứng trực quan cho hiệu suất dự báo tối ưu của việc kết hợp học sâu hai chiều với phân tích cảm xúc đa phương thức. Hơn nữa, khả năng kiểm soát các giá trị ngoại lai (outliers) của mô hình mBERT cũng tỏ ra hiệu quả hơn, khi các đặc trưng chuyên sâu như độ tin cậy và mức độ liên quan của tin tức đã hỗ trợ mô hình lọc bỏ các nhiễu động tâm lý ngắn hạn. Điều này giúp hệ thống thu hẹp đáng kể khoảng cách sai số ngay cả trong những giai đoạn thị trường xuất hiện các cú sốc bất thường, từ đó nâng cao tính tin cậy cho các quyết định đầu tư.</w:t>
      </w:r>
    </w:p>
    <w:p w14:paraId="4637D85B" w14:textId="77777777" w:rsidR="00BA0383" w:rsidRPr="00BA0383" w:rsidRDefault="00BA0383" w:rsidP="00966EA6">
      <w:pPr>
        <w:spacing w:line="360" w:lineRule="auto"/>
        <w:rPr>
          <w:rFonts w:ascii="Times New Roman" w:hAnsi="Times New Roman" w:cs="Times New Roman"/>
        </w:rPr>
      </w:pPr>
    </w:p>
    <w:p w14:paraId="5C15D2DB" w14:textId="3BDB049A" w:rsidR="00BA0383" w:rsidRPr="00BA0383" w:rsidRDefault="00BA0383" w:rsidP="00966EA6">
      <w:pPr>
        <w:spacing w:line="360" w:lineRule="auto"/>
        <w:ind w:firstLine="0"/>
        <w:rPr>
          <w:rFonts w:ascii="Times New Roman" w:hAnsi="Times New Roman" w:cs="Times New Roman"/>
        </w:rPr>
      </w:pPr>
      <w:r>
        <w:rPr>
          <w:noProof/>
        </w:rPr>
        <w:drawing>
          <wp:inline distT="0" distB="0" distL="0" distR="0" wp14:anchorId="5C4C5665" wp14:editId="4B56A222">
            <wp:extent cx="5943600" cy="1873250"/>
            <wp:effectExtent l="0" t="0" r="0" b="0"/>
            <wp:docPr id="187166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65149" name=""/>
                    <pic:cNvPicPr/>
                  </pic:nvPicPr>
                  <pic:blipFill>
                    <a:blip r:embed="rId6"/>
                    <a:stretch>
                      <a:fillRect/>
                    </a:stretch>
                  </pic:blipFill>
                  <pic:spPr>
                    <a:xfrm>
                      <a:off x="0" y="0"/>
                      <a:ext cx="5943600" cy="1873250"/>
                    </a:xfrm>
                    <a:prstGeom prst="rect">
                      <a:avLst/>
                    </a:prstGeom>
                  </pic:spPr>
                </pic:pic>
              </a:graphicData>
            </a:graphic>
          </wp:inline>
        </w:drawing>
      </w:r>
      <w:r w:rsidRPr="00BA0383">
        <w:rPr>
          <w:rFonts w:ascii="Times New Roman" w:hAnsi="Times New Roman" w:cs="Times New Roman"/>
        </w:rPr>
        <w:t>Hình 1. Biểu đồ phân phối sai số tuyệt đối hàng ngày (Daily Absolute Error Distribution).</w:t>
      </w:r>
    </w:p>
    <w:p w14:paraId="6789A196" w14:textId="77777777" w:rsidR="00BA0383" w:rsidRDefault="00BA0383" w:rsidP="00966EA6">
      <w:pPr>
        <w:spacing w:line="360" w:lineRule="auto"/>
        <w:ind w:firstLine="0"/>
        <w:rPr>
          <w:rFonts w:ascii="Times New Roman" w:hAnsi="Times New Roman" w:cs="Times New Roman"/>
          <w:b/>
          <w:bCs/>
        </w:rPr>
      </w:pPr>
    </w:p>
    <w:p w14:paraId="5CE751B2" w14:textId="60779356" w:rsidR="00BA0383" w:rsidRPr="00BA0383" w:rsidRDefault="00BA0383" w:rsidP="00966EA6">
      <w:pPr>
        <w:spacing w:line="360" w:lineRule="auto"/>
        <w:ind w:firstLine="0"/>
        <w:rPr>
          <w:rFonts w:ascii="Times New Roman" w:hAnsi="Times New Roman" w:cs="Times New Roman"/>
          <w:b/>
          <w:bCs/>
        </w:rPr>
      </w:pPr>
      <w:r w:rsidRPr="00BA0383">
        <w:rPr>
          <w:rFonts w:ascii="Times New Roman" w:hAnsi="Times New Roman" w:cs="Times New Roman"/>
          <w:b/>
          <w:bCs/>
        </w:rPr>
        <w:t>3. Kiểm định Ý nghĩa Thống kê Wilcoxon (Statistical Significance Testing)</w:t>
      </w:r>
    </w:p>
    <w:p w14:paraId="1AC0E444" w14:textId="64D46AA2" w:rsidR="00BA0383" w:rsidRDefault="00BA0383" w:rsidP="00966EA6">
      <w:pPr>
        <w:spacing w:line="360" w:lineRule="auto"/>
        <w:rPr>
          <w:rFonts w:ascii="Times New Roman" w:hAnsi="Times New Roman" w:cs="Times New Roman"/>
        </w:rPr>
      </w:pPr>
      <w:r w:rsidRPr="00BA0383">
        <w:rPr>
          <w:rFonts w:ascii="Times New Roman" w:hAnsi="Times New Roman" w:cs="Times New Roman"/>
        </w:rPr>
        <w:t xml:space="preserve">Nhằm xác lập tính vững chắc về mặt toán học cho các kết quả nêu trên, nghiên cứu tiến hành kiểm định phi tham số Wilcoxon Signed-Rank trên toàn bộ mẫu thử nghiệm. Việc lựa chọn kiểm định này là thiết yếu do đặc thù của sai số dự báo tài chính thường không tuân theo quy luật phân phối chuẩn, đòi hỏi một phương pháp so sánh dựa trên thứ hạng để đảm bảo tính khách quan tối đa. Kết quả thực nghiệm trả về các giá trị p-value cực thấp, cụ thể là 1.46e-69 đối với BiLSTM_mBERT và 3.76e-13 đối với XGB_mBERT, đều thấp hơn ngưỡng ý nghĩa tiêu chuẩn 0.05 hàng tỷ lần. Những bằng chứng thống kê đanh thép này cho phép bác bỏ hoàn toàn giả thuyết về sự tương đồng ngẫu nhiên, khẳng định rằng việc tích hợp 8 đặc trưng cảm xúc từ mBERT đóng </w:t>
      </w:r>
      <w:r w:rsidRPr="00BA0383">
        <w:rPr>
          <w:rFonts w:ascii="Times New Roman" w:hAnsi="Times New Roman" w:cs="Times New Roman"/>
        </w:rPr>
        <w:lastRenderedPageBreak/>
        <w:t>vai trò then chốt và có ý nghĩa tuyệt đối trong việc nâng cao năng lực dự báo cho hệ thống trong bối cảnh thị trường chứng khoán hiện đại.</w:t>
      </w:r>
    </w:p>
    <w:p w14:paraId="5C225957" w14:textId="3F6F8104" w:rsidR="00336260" w:rsidRPr="00BA0383" w:rsidRDefault="00336260" w:rsidP="00966EA6">
      <w:pPr>
        <w:spacing w:line="360" w:lineRule="auto"/>
        <w:ind w:firstLine="0"/>
        <w:rPr>
          <w:rFonts w:ascii="Times New Roman" w:hAnsi="Times New Roman" w:cs="Times New Roman"/>
        </w:rPr>
      </w:pPr>
      <w:r w:rsidRPr="00BA0383">
        <w:rPr>
          <w:rFonts w:ascii="Times New Roman" w:hAnsi="Times New Roman" w:cs="Times New Roman"/>
        </w:rPr>
        <w:t>Bảng 2. Kết quả kiểm định Wilcoxon Signed-Rank.</w:t>
      </w:r>
    </w:p>
    <w:p w14:paraId="440BBAD1" w14:textId="33B54128" w:rsidR="00336260" w:rsidRDefault="00336260" w:rsidP="00966EA6">
      <w:pPr>
        <w:spacing w:line="360" w:lineRule="auto"/>
        <w:rPr>
          <w:rFonts w:ascii="Times New Roman" w:hAnsi="Times New Roman" w:cs="Times New Roman"/>
        </w:rPr>
      </w:pPr>
      <w:r>
        <w:rPr>
          <w:rFonts w:ascii="Times New Roman" w:hAnsi="Times New Roman" w:cs="Times New Roman"/>
        </w:rPr>
        <w:br w:type="page"/>
      </w:r>
    </w:p>
    <w:p w14:paraId="4B91790B" w14:textId="77777777" w:rsidR="00BA0383" w:rsidRDefault="00BA0383" w:rsidP="00966EA6">
      <w:pPr>
        <w:spacing w:line="360" w:lineRule="auto"/>
        <w:rPr>
          <w:rFonts w:ascii="Times New Roman" w:hAnsi="Times New Roman" w:cs="Times New Roman"/>
        </w:rPr>
      </w:pPr>
    </w:p>
    <w:p w14:paraId="2B04739F" w14:textId="77777777" w:rsidR="00BA0383" w:rsidRPr="00BA0383" w:rsidRDefault="00BA0383" w:rsidP="00966EA6">
      <w:pPr>
        <w:spacing w:line="360" w:lineRule="auto"/>
        <w:rPr>
          <w:rFonts w:ascii="Times New Roman" w:hAnsi="Times New Roman" w:cs="Times New Roman"/>
        </w:rPr>
      </w:pPr>
    </w:p>
    <w:tbl>
      <w:tblPr>
        <w:tblW w:w="9410" w:type="dxa"/>
        <w:tblCellSpacing w:w="15" w:type="dxa"/>
        <w:tblCellMar>
          <w:left w:w="0" w:type="dxa"/>
          <w:right w:w="0" w:type="dxa"/>
        </w:tblCellMar>
        <w:tblLook w:val="04A0" w:firstRow="1" w:lastRow="0" w:firstColumn="1" w:lastColumn="0" w:noHBand="0" w:noVBand="1"/>
      </w:tblPr>
      <w:tblGrid>
        <w:gridCol w:w="2522"/>
        <w:gridCol w:w="1644"/>
        <w:gridCol w:w="1631"/>
        <w:gridCol w:w="1503"/>
        <w:gridCol w:w="2110"/>
      </w:tblGrid>
      <w:tr w:rsidR="00336260" w:rsidRPr="00BA0383" w14:paraId="4BED789B" w14:textId="77777777" w:rsidTr="00336260">
        <w:trPr>
          <w:tblHeader/>
          <w:tblCellSpacing w:w="15" w:type="dxa"/>
        </w:trPr>
        <w:tc>
          <w:tcPr>
            <w:tcW w:w="2507" w:type="dxa"/>
            <w:tcBorders>
              <w:bottom w:val="single" w:sz="4" w:space="0" w:color="auto"/>
            </w:tcBorders>
            <w:tcMar>
              <w:top w:w="240" w:type="dxa"/>
              <w:left w:w="0" w:type="dxa"/>
              <w:bottom w:w="240" w:type="dxa"/>
              <w:right w:w="180" w:type="dxa"/>
            </w:tcMar>
            <w:vAlign w:val="center"/>
            <w:hideMark/>
          </w:tcPr>
          <w:p w14:paraId="0444CDBC"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Comparison</w:t>
            </w:r>
          </w:p>
        </w:tc>
        <w:tc>
          <w:tcPr>
            <w:tcW w:w="1671" w:type="dxa"/>
            <w:tcBorders>
              <w:left w:val="single" w:sz="4" w:space="0" w:color="auto"/>
              <w:bottom w:val="single" w:sz="4" w:space="0" w:color="auto"/>
              <w:right w:val="single" w:sz="4" w:space="0" w:color="auto"/>
            </w:tcBorders>
            <w:tcMar>
              <w:top w:w="240" w:type="dxa"/>
              <w:left w:w="0" w:type="dxa"/>
              <w:bottom w:w="240" w:type="dxa"/>
              <w:right w:w="180" w:type="dxa"/>
            </w:tcMar>
            <w:vAlign w:val="center"/>
            <w:hideMark/>
          </w:tcPr>
          <w:p w14:paraId="5E95461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Mean Error A</w:t>
            </w:r>
          </w:p>
        </w:tc>
        <w:tc>
          <w:tcPr>
            <w:tcW w:w="1658" w:type="dxa"/>
            <w:tcBorders>
              <w:bottom w:val="single" w:sz="4" w:space="0" w:color="auto"/>
              <w:right w:val="single" w:sz="4" w:space="0" w:color="auto"/>
            </w:tcBorders>
            <w:tcMar>
              <w:top w:w="240" w:type="dxa"/>
              <w:left w:w="0" w:type="dxa"/>
              <w:bottom w:w="240" w:type="dxa"/>
              <w:right w:w="180" w:type="dxa"/>
            </w:tcMar>
            <w:vAlign w:val="center"/>
            <w:hideMark/>
          </w:tcPr>
          <w:p w14:paraId="1FAFB5CE"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Mean Error B</w:t>
            </w:r>
          </w:p>
        </w:tc>
        <w:tc>
          <w:tcPr>
            <w:tcW w:w="1259" w:type="dxa"/>
            <w:tcBorders>
              <w:bottom w:val="single" w:sz="4" w:space="0" w:color="auto"/>
            </w:tcBorders>
            <w:tcMar>
              <w:top w:w="240" w:type="dxa"/>
              <w:left w:w="0" w:type="dxa"/>
              <w:bottom w:w="240" w:type="dxa"/>
              <w:right w:w="180" w:type="dxa"/>
            </w:tcMar>
            <w:vAlign w:val="center"/>
            <w:hideMark/>
          </w:tcPr>
          <w:p w14:paraId="32DE6F9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Improvement (%)</w:t>
            </w:r>
          </w:p>
        </w:tc>
        <w:tc>
          <w:tcPr>
            <w:tcW w:w="2135" w:type="dxa"/>
            <w:tcBorders>
              <w:left w:val="single" w:sz="4" w:space="0" w:color="auto"/>
              <w:bottom w:val="single" w:sz="4" w:space="0" w:color="auto"/>
            </w:tcBorders>
            <w:tcMar>
              <w:top w:w="240" w:type="dxa"/>
              <w:left w:w="0" w:type="dxa"/>
              <w:bottom w:w="240" w:type="dxa"/>
              <w:right w:w="180" w:type="dxa"/>
            </w:tcMar>
            <w:vAlign w:val="center"/>
            <w:hideMark/>
          </w:tcPr>
          <w:p w14:paraId="1A6AA4FB"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p-value (Wilcoxon)</w:t>
            </w:r>
          </w:p>
        </w:tc>
      </w:tr>
      <w:tr w:rsidR="00336260" w:rsidRPr="00BA0383" w14:paraId="2BA75156" w14:textId="77777777" w:rsidTr="00336260">
        <w:trPr>
          <w:tblCellSpacing w:w="15" w:type="dxa"/>
        </w:trPr>
        <w:tc>
          <w:tcPr>
            <w:tcW w:w="2507" w:type="dxa"/>
            <w:tcMar>
              <w:top w:w="240" w:type="dxa"/>
              <w:left w:w="0" w:type="dxa"/>
              <w:bottom w:w="240" w:type="dxa"/>
              <w:right w:w="180" w:type="dxa"/>
            </w:tcMar>
            <w:vAlign w:val="center"/>
            <w:hideMark/>
          </w:tcPr>
          <w:p w14:paraId="7038AD1E" w14:textId="4C0D5063"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XGB_Pure</w:t>
            </w:r>
            <w:r>
              <w:rPr>
                <w:rFonts w:ascii="Times New Roman" w:hAnsi="Times New Roman" w:cs="Times New Roman"/>
              </w:rPr>
              <w:t xml:space="preserve"> </w:t>
            </w:r>
            <w:r w:rsidRPr="00BA0383">
              <w:rPr>
                <w:rFonts w:ascii="Times New Roman" w:hAnsi="Times New Roman" w:cs="Times New Roman"/>
              </w:rPr>
              <w:t>vs XGB_mBERT</w:t>
            </w:r>
          </w:p>
        </w:tc>
        <w:tc>
          <w:tcPr>
            <w:tcW w:w="1671" w:type="dxa"/>
            <w:tcBorders>
              <w:left w:val="single" w:sz="4" w:space="0" w:color="auto"/>
              <w:right w:val="single" w:sz="4" w:space="0" w:color="auto"/>
            </w:tcBorders>
            <w:tcMar>
              <w:top w:w="240" w:type="dxa"/>
              <w:left w:w="0" w:type="dxa"/>
              <w:bottom w:w="240" w:type="dxa"/>
              <w:right w:w="180" w:type="dxa"/>
            </w:tcMar>
            <w:vAlign w:val="center"/>
            <w:hideMark/>
          </w:tcPr>
          <w:p w14:paraId="49565DCC"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12.2184</w:t>
            </w:r>
          </w:p>
        </w:tc>
        <w:tc>
          <w:tcPr>
            <w:tcW w:w="1658" w:type="dxa"/>
            <w:tcBorders>
              <w:right w:val="single" w:sz="4" w:space="0" w:color="auto"/>
            </w:tcBorders>
            <w:tcMar>
              <w:top w:w="240" w:type="dxa"/>
              <w:left w:w="0" w:type="dxa"/>
              <w:bottom w:w="240" w:type="dxa"/>
              <w:right w:w="180" w:type="dxa"/>
            </w:tcMar>
            <w:vAlign w:val="center"/>
            <w:hideMark/>
          </w:tcPr>
          <w:p w14:paraId="1159255E"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12.3180</w:t>
            </w:r>
          </w:p>
        </w:tc>
        <w:tc>
          <w:tcPr>
            <w:tcW w:w="1259" w:type="dxa"/>
            <w:tcMar>
              <w:top w:w="240" w:type="dxa"/>
              <w:left w:w="0" w:type="dxa"/>
              <w:bottom w:w="240" w:type="dxa"/>
              <w:right w:w="180" w:type="dxa"/>
            </w:tcMar>
            <w:vAlign w:val="center"/>
            <w:hideMark/>
          </w:tcPr>
          <w:p w14:paraId="23FB3ADA"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-0.82%</w:t>
            </w:r>
          </w:p>
        </w:tc>
        <w:tc>
          <w:tcPr>
            <w:tcW w:w="2135" w:type="dxa"/>
            <w:tcBorders>
              <w:left w:val="single" w:sz="4" w:space="0" w:color="auto"/>
            </w:tcBorders>
            <w:tcMar>
              <w:top w:w="240" w:type="dxa"/>
              <w:left w:w="0" w:type="dxa"/>
              <w:bottom w:w="240" w:type="dxa"/>
              <w:right w:w="180" w:type="dxa"/>
            </w:tcMar>
            <w:vAlign w:val="center"/>
            <w:hideMark/>
          </w:tcPr>
          <w:p w14:paraId="780D7D68"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3.7676e-13</w:t>
            </w:r>
          </w:p>
        </w:tc>
      </w:tr>
      <w:tr w:rsidR="00336260" w:rsidRPr="00BA0383" w14:paraId="3BEE417B" w14:textId="77777777" w:rsidTr="00336260">
        <w:trPr>
          <w:tblCellSpacing w:w="15" w:type="dxa"/>
        </w:trPr>
        <w:tc>
          <w:tcPr>
            <w:tcW w:w="2507" w:type="dxa"/>
            <w:tcMar>
              <w:top w:w="240" w:type="dxa"/>
              <w:left w:w="0" w:type="dxa"/>
              <w:bottom w:w="240" w:type="dxa"/>
              <w:right w:w="180" w:type="dxa"/>
            </w:tcMar>
            <w:vAlign w:val="center"/>
            <w:hideMark/>
          </w:tcPr>
          <w:p w14:paraId="4CE8116E"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BiLSTM_Pure vs BiLSTM_mBERT</w:t>
            </w:r>
          </w:p>
        </w:tc>
        <w:tc>
          <w:tcPr>
            <w:tcW w:w="1671" w:type="dxa"/>
            <w:tcBorders>
              <w:left w:val="single" w:sz="4" w:space="0" w:color="auto"/>
              <w:right w:val="single" w:sz="4" w:space="0" w:color="auto"/>
            </w:tcBorders>
            <w:tcMar>
              <w:top w:w="240" w:type="dxa"/>
              <w:left w:w="0" w:type="dxa"/>
              <w:bottom w:w="240" w:type="dxa"/>
              <w:right w:w="180" w:type="dxa"/>
            </w:tcMar>
            <w:vAlign w:val="center"/>
            <w:hideMark/>
          </w:tcPr>
          <w:p w14:paraId="7DF183D8"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5.9971</w:t>
            </w:r>
          </w:p>
        </w:tc>
        <w:tc>
          <w:tcPr>
            <w:tcW w:w="1658" w:type="dxa"/>
            <w:tcBorders>
              <w:right w:val="single" w:sz="4" w:space="0" w:color="auto"/>
            </w:tcBorders>
            <w:tcMar>
              <w:top w:w="240" w:type="dxa"/>
              <w:left w:w="0" w:type="dxa"/>
              <w:bottom w:w="240" w:type="dxa"/>
              <w:right w:w="180" w:type="dxa"/>
            </w:tcMar>
            <w:vAlign w:val="center"/>
            <w:hideMark/>
          </w:tcPr>
          <w:p w14:paraId="355C0256"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4.1230</w:t>
            </w:r>
          </w:p>
        </w:tc>
        <w:tc>
          <w:tcPr>
            <w:tcW w:w="1259" w:type="dxa"/>
            <w:tcMar>
              <w:top w:w="240" w:type="dxa"/>
              <w:left w:w="0" w:type="dxa"/>
              <w:bottom w:w="240" w:type="dxa"/>
              <w:right w:w="180" w:type="dxa"/>
            </w:tcMar>
            <w:vAlign w:val="center"/>
            <w:hideMark/>
          </w:tcPr>
          <w:p w14:paraId="25D2634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31.25%</w:t>
            </w:r>
          </w:p>
        </w:tc>
        <w:tc>
          <w:tcPr>
            <w:tcW w:w="2135" w:type="dxa"/>
            <w:tcBorders>
              <w:left w:val="single" w:sz="4" w:space="0" w:color="auto"/>
            </w:tcBorders>
            <w:tcMar>
              <w:top w:w="240" w:type="dxa"/>
              <w:left w:w="0" w:type="dxa"/>
              <w:bottom w:w="240" w:type="dxa"/>
              <w:right w:w="180" w:type="dxa"/>
            </w:tcMar>
            <w:vAlign w:val="center"/>
            <w:hideMark/>
          </w:tcPr>
          <w:p w14:paraId="13385472"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9.6996e-55</w:t>
            </w:r>
          </w:p>
        </w:tc>
      </w:tr>
      <w:tr w:rsidR="00336260" w:rsidRPr="00BA0383" w14:paraId="718347D3" w14:textId="77777777" w:rsidTr="00336260">
        <w:trPr>
          <w:tblCellSpacing w:w="15" w:type="dxa"/>
        </w:trPr>
        <w:tc>
          <w:tcPr>
            <w:tcW w:w="2507" w:type="dxa"/>
            <w:tcMar>
              <w:top w:w="240" w:type="dxa"/>
              <w:left w:w="0" w:type="dxa"/>
              <w:bottom w:w="240" w:type="dxa"/>
              <w:right w:w="180" w:type="dxa"/>
            </w:tcMar>
            <w:vAlign w:val="center"/>
            <w:hideMark/>
          </w:tcPr>
          <w:p w14:paraId="3E52E06E" w14:textId="77777777" w:rsidR="00BA0383" w:rsidRPr="00BA0383" w:rsidRDefault="00BA0383" w:rsidP="00966EA6">
            <w:pPr>
              <w:spacing w:line="360" w:lineRule="auto"/>
              <w:ind w:firstLine="0"/>
              <w:jc w:val="center"/>
              <w:rPr>
                <w:rFonts w:ascii="Times New Roman" w:hAnsi="Times New Roman" w:cs="Times New Roman"/>
                <w:lang w:val="fr-FR"/>
              </w:rPr>
            </w:pPr>
            <w:r w:rsidRPr="00BA0383">
              <w:rPr>
                <w:rFonts w:ascii="Times New Roman" w:hAnsi="Times New Roman" w:cs="Times New Roman"/>
                <w:lang w:val="fr-FR"/>
              </w:rPr>
              <w:t>XGB_Sentiment vs XGB_mBERT</w:t>
            </w:r>
          </w:p>
        </w:tc>
        <w:tc>
          <w:tcPr>
            <w:tcW w:w="1671" w:type="dxa"/>
            <w:tcBorders>
              <w:left w:val="single" w:sz="4" w:space="0" w:color="auto"/>
              <w:right w:val="single" w:sz="4" w:space="0" w:color="auto"/>
            </w:tcBorders>
            <w:tcMar>
              <w:top w:w="240" w:type="dxa"/>
              <w:left w:w="0" w:type="dxa"/>
              <w:bottom w:w="240" w:type="dxa"/>
              <w:right w:w="180" w:type="dxa"/>
            </w:tcMar>
            <w:vAlign w:val="center"/>
            <w:hideMark/>
          </w:tcPr>
          <w:p w14:paraId="0C78A026"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12.2184</w:t>
            </w:r>
          </w:p>
        </w:tc>
        <w:tc>
          <w:tcPr>
            <w:tcW w:w="1658" w:type="dxa"/>
            <w:tcBorders>
              <w:right w:val="single" w:sz="4" w:space="0" w:color="auto"/>
            </w:tcBorders>
            <w:tcMar>
              <w:top w:w="240" w:type="dxa"/>
              <w:left w:w="0" w:type="dxa"/>
              <w:bottom w:w="240" w:type="dxa"/>
              <w:right w:w="180" w:type="dxa"/>
            </w:tcMar>
            <w:vAlign w:val="center"/>
            <w:hideMark/>
          </w:tcPr>
          <w:p w14:paraId="0AA49086"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12.3180</w:t>
            </w:r>
          </w:p>
        </w:tc>
        <w:tc>
          <w:tcPr>
            <w:tcW w:w="1259" w:type="dxa"/>
            <w:tcMar>
              <w:top w:w="240" w:type="dxa"/>
              <w:left w:w="0" w:type="dxa"/>
              <w:bottom w:w="240" w:type="dxa"/>
              <w:right w:w="180" w:type="dxa"/>
            </w:tcMar>
            <w:vAlign w:val="center"/>
            <w:hideMark/>
          </w:tcPr>
          <w:p w14:paraId="6649196D"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-0.82%</w:t>
            </w:r>
          </w:p>
        </w:tc>
        <w:tc>
          <w:tcPr>
            <w:tcW w:w="2135" w:type="dxa"/>
            <w:tcBorders>
              <w:left w:val="single" w:sz="4" w:space="0" w:color="auto"/>
            </w:tcBorders>
            <w:tcMar>
              <w:top w:w="240" w:type="dxa"/>
              <w:left w:w="0" w:type="dxa"/>
              <w:bottom w:w="240" w:type="dxa"/>
              <w:right w:w="180" w:type="dxa"/>
            </w:tcMar>
            <w:vAlign w:val="center"/>
            <w:hideMark/>
          </w:tcPr>
          <w:p w14:paraId="1D616602"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3.7676e-13</w:t>
            </w:r>
          </w:p>
        </w:tc>
      </w:tr>
      <w:tr w:rsidR="00336260" w:rsidRPr="00BA0383" w14:paraId="3CB51459" w14:textId="77777777" w:rsidTr="00336260">
        <w:trPr>
          <w:tblCellSpacing w:w="15" w:type="dxa"/>
        </w:trPr>
        <w:tc>
          <w:tcPr>
            <w:tcW w:w="2507" w:type="dxa"/>
            <w:tcMar>
              <w:top w:w="240" w:type="dxa"/>
              <w:left w:w="0" w:type="dxa"/>
              <w:bottom w:w="240" w:type="dxa"/>
              <w:right w:w="180" w:type="dxa"/>
            </w:tcMar>
            <w:vAlign w:val="center"/>
            <w:hideMark/>
          </w:tcPr>
          <w:p w14:paraId="54676CA0"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BiLSTM_Sentiment vs BiLSTM_mBERT</w:t>
            </w:r>
          </w:p>
        </w:tc>
        <w:tc>
          <w:tcPr>
            <w:tcW w:w="1671" w:type="dxa"/>
            <w:tcBorders>
              <w:left w:val="single" w:sz="4" w:space="0" w:color="auto"/>
              <w:right w:val="single" w:sz="4" w:space="0" w:color="auto"/>
            </w:tcBorders>
            <w:tcMar>
              <w:top w:w="240" w:type="dxa"/>
              <w:left w:w="0" w:type="dxa"/>
              <w:bottom w:w="240" w:type="dxa"/>
              <w:right w:w="180" w:type="dxa"/>
            </w:tcMar>
            <w:vAlign w:val="center"/>
            <w:hideMark/>
          </w:tcPr>
          <w:p w14:paraId="1EBF2373"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6.8438</w:t>
            </w:r>
          </w:p>
        </w:tc>
        <w:tc>
          <w:tcPr>
            <w:tcW w:w="1658" w:type="dxa"/>
            <w:tcBorders>
              <w:right w:val="single" w:sz="4" w:space="0" w:color="auto"/>
            </w:tcBorders>
            <w:tcMar>
              <w:top w:w="240" w:type="dxa"/>
              <w:left w:w="0" w:type="dxa"/>
              <w:bottom w:w="240" w:type="dxa"/>
              <w:right w:w="180" w:type="dxa"/>
            </w:tcMar>
            <w:vAlign w:val="center"/>
            <w:hideMark/>
          </w:tcPr>
          <w:p w14:paraId="25BFA6C8"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4.1230</w:t>
            </w:r>
          </w:p>
        </w:tc>
        <w:tc>
          <w:tcPr>
            <w:tcW w:w="1259" w:type="dxa"/>
            <w:tcMar>
              <w:top w:w="240" w:type="dxa"/>
              <w:left w:w="0" w:type="dxa"/>
              <w:bottom w:w="240" w:type="dxa"/>
              <w:right w:w="180" w:type="dxa"/>
            </w:tcMar>
            <w:vAlign w:val="center"/>
            <w:hideMark/>
          </w:tcPr>
          <w:p w14:paraId="446DFC61"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39.76%</w:t>
            </w:r>
          </w:p>
        </w:tc>
        <w:tc>
          <w:tcPr>
            <w:tcW w:w="2135" w:type="dxa"/>
            <w:tcBorders>
              <w:left w:val="single" w:sz="4" w:space="0" w:color="auto"/>
            </w:tcBorders>
            <w:tcMar>
              <w:top w:w="240" w:type="dxa"/>
              <w:left w:w="0" w:type="dxa"/>
              <w:bottom w:w="240" w:type="dxa"/>
              <w:right w:w="180" w:type="dxa"/>
            </w:tcMar>
            <w:vAlign w:val="center"/>
            <w:hideMark/>
          </w:tcPr>
          <w:p w14:paraId="4A77F825" w14:textId="77777777" w:rsidR="00BA0383" w:rsidRPr="00BA0383" w:rsidRDefault="00BA0383" w:rsidP="00966EA6">
            <w:pPr>
              <w:spacing w:line="360" w:lineRule="auto"/>
              <w:ind w:firstLine="0"/>
              <w:jc w:val="center"/>
              <w:rPr>
                <w:rFonts w:ascii="Times New Roman" w:hAnsi="Times New Roman" w:cs="Times New Roman"/>
              </w:rPr>
            </w:pPr>
            <w:r w:rsidRPr="00BA0383">
              <w:rPr>
                <w:rFonts w:ascii="Times New Roman" w:hAnsi="Times New Roman" w:cs="Times New Roman"/>
              </w:rPr>
              <w:t>1.4597e-69</w:t>
            </w:r>
          </w:p>
        </w:tc>
      </w:tr>
    </w:tbl>
    <w:p w14:paraId="192706F9" w14:textId="77777777" w:rsidR="00336260" w:rsidRDefault="00336260" w:rsidP="00966EA6">
      <w:pPr>
        <w:spacing w:line="360" w:lineRule="auto"/>
        <w:ind w:firstLine="0"/>
        <w:rPr>
          <w:rFonts w:ascii="Times New Roman" w:hAnsi="Times New Roman" w:cs="Times New Roman"/>
        </w:rPr>
      </w:pPr>
    </w:p>
    <w:p w14:paraId="2F90B54D" w14:textId="7FAED927" w:rsidR="00336260" w:rsidRDefault="00336260" w:rsidP="00966EA6">
      <w:pPr>
        <w:spacing w:line="360" w:lineRule="auto"/>
        <w:ind w:firstLine="0"/>
        <w:rPr>
          <w:rFonts w:ascii="Times New Roman" w:hAnsi="Times New Roman" w:cs="Times New Roman"/>
          <w:b/>
          <w:bCs/>
        </w:rPr>
      </w:pPr>
      <w:r w:rsidRPr="00336260">
        <w:rPr>
          <w:rFonts w:ascii="Times New Roman" w:hAnsi="Times New Roman" w:cs="Times New Roman"/>
          <w:b/>
          <w:bCs/>
        </w:rPr>
        <w:t>4. Thảo luận và so sánh</w:t>
      </w:r>
    </w:p>
    <w:p w14:paraId="71626244" w14:textId="27BCF5D4" w:rsidR="00336260" w:rsidRPr="00336260" w:rsidRDefault="00336260" w:rsidP="00966EA6">
      <w:pPr>
        <w:spacing w:line="360" w:lineRule="auto"/>
        <w:rPr>
          <w:rFonts w:ascii="Times New Roman" w:hAnsi="Times New Roman" w:cs="Times New Roman"/>
        </w:rPr>
      </w:pPr>
      <w:r w:rsidRPr="00336260">
        <w:rPr>
          <w:rFonts w:ascii="Times New Roman" w:hAnsi="Times New Roman" w:cs="Times New Roman"/>
        </w:rPr>
        <w:t>Việc đặt nghiên cứu hiện tại vào hệ quy chiếu với các công trình quốc tế không chỉ nhằm kiểm chứng hiệu quả của thuật toán mà còn để xác lập giá trị học thuật của việc tiếp cận dữ liệu theo hướng đa phương thức. Thông qua bảng thống kê đối chiếu dưới đây, chúng ta có thể thấy rõ dòng chảy của các nghiên cứu dự báo chứng khoán hiện đại và vị trí của mô hình mBERT tích hợp BiLSTM trong bức tranh tổng thể của ngành.</w:t>
      </w:r>
    </w:p>
    <w:p w14:paraId="3876F9A3" w14:textId="6660B998" w:rsidR="00336260" w:rsidRPr="00336260" w:rsidRDefault="00336260" w:rsidP="00966EA6">
      <w:pPr>
        <w:spacing w:line="360" w:lineRule="auto"/>
        <w:ind w:firstLine="0"/>
        <w:rPr>
          <w:rFonts w:ascii="Times New Roman" w:hAnsi="Times New Roman" w:cs="Times New Roman"/>
          <w:b/>
          <w:bCs/>
        </w:rPr>
      </w:pPr>
      <w:r w:rsidRPr="00336260">
        <w:rPr>
          <w:rFonts w:ascii="Times New Roman" w:hAnsi="Times New Roman" w:cs="Times New Roman"/>
          <w:b/>
          <w:bCs/>
        </w:rPr>
        <w:t>4.1. Bảng tổng hợp so sánh các nghiên cứu (2023 - 2025)</w:t>
      </w:r>
    </w:p>
    <w:p w14:paraId="492430C4" w14:textId="3B18372B" w:rsidR="00336260" w:rsidRDefault="00336260" w:rsidP="00966EA6">
      <w:pPr>
        <w:spacing w:line="360" w:lineRule="auto"/>
        <w:rPr>
          <w:rFonts w:ascii="Times New Roman" w:hAnsi="Times New Roman" w:cs="Times New Roman"/>
        </w:rPr>
      </w:pPr>
      <w:r w:rsidRPr="00336260">
        <w:rPr>
          <w:rFonts w:ascii="Times New Roman" w:hAnsi="Times New Roman" w:cs="Times New Roman"/>
        </w:rPr>
        <w:t>Dưới đây là bảng thống kê chi tiết so sánh 5 bài báo quốc tế tiêu biểu và nghiên cứu đề xuất:</w:t>
      </w:r>
    </w:p>
    <w:p w14:paraId="2B094EB4" w14:textId="77777777" w:rsidR="00336260" w:rsidRDefault="00336260" w:rsidP="00966EA6">
      <w:pPr>
        <w:spacing w:line="360" w:lineRule="auto"/>
        <w:rPr>
          <w:rFonts w:ascii="Times New Roman" w:hAnsi="Times New Roman" w:cs="Times New Roman"/>
        </w:rPr>
      </w:pPr>
      <w:r>
        <w:rPr>
          <w:rFonts w:ascii="Times New Roman" w:hAnsi="Times New Roman" w:cs="Times New Roman"/>
        </w:rPr>
        <w:br w:type="page"/>
      </w:r>
    </w:p>
    <w:p w14:paraId="5226F1D4" w14:textId="77777777" w:rsidR="00336260" w:rsidRDefault="00336260" w:rsidP="00966EA6">
      <w:pPr>
        <w:spacing w:line="360" w:lineRule="auto"/>
        <w:rPr>
          <w:rFonts w:ascii="Times New Roman" w:hAnsi="Times New Roman" w:cs="Times New Roman"/>
        </w:rPr>
      </w:pPr>
    </w:p>
    <w:tbl>
      <w:tblPr>
        <w:tblStyle w:val="Tablechuan"/>
        <w:tblW w:w="0" w:type="auto"/>
        <w:jc w:val="center"/>
        <w:tblLook w:val="01E0" w:firstRow="1" w:lastRow="1" w:firstColumn="1" w:lastColumn="1" w:noHBand="0" w:noVBand="0"/>
      </w:tblPr>
      <w:tblGrid>
        <w:gridCol w:w="2288"/>
        <w:gridCol w:w="2107"/>
        <w:gridCol w:w="2551"/>
        <w:gridCol w:w="2414"/>
      </w:tblGrid>
      <w:tr w:rsidR="00966EA6" w:rsidRPr="00966EA6" w14:paraId="28C9A973" w14:textId="77777777" w:rsidTr="00966E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07CF73B" w14:textId="77777777" w:rsidR="00336260" w:rsidRPr="00336260" w:rsidRDefault="00336260" w:rsidP="00966EA6">
            <w:pPr>
              <w:spacing w:line="360" w:lineRule="auto"/>
              <w:rPr>
                <w:rFonts w:cs="Times New Roman"/>
                <w:sz w:val="24"/>
              </w:rPr>
            </w:pPr>
            <w:r w:rsidRPr="00336260">
              <w:rPr>
                <w:rFonts w:cs="Times New Roman"/>
                <w:b/>
                <w:bCs/>
                <w:sz w:val="24"/>
              </w:rPr>
              <w:t>Tên bài báo &amp; Năm</w:t>
            </w:r>
          </w:p>
        </w:tc>
        <w:tc>
          <w:tcPr>
            <w:cnfStyle w:val="000010000000" w:firstRow="0" w:lastRow="0" w:firstColumn="0" w:lastColumn="0" w:oddVBand="1" w:evenVBand="0" w:oddHBand="0" w:evenHBand="0" w:firstRowFirstColumn="0" w:firstRowLastColumn="0" w:lastRowFirstColumn="0" w:lastRowLastColumn="0"/>
            <w:tcW w:w="2107" w:type="dxa"/>
            <w:hideMark/>
          </w:tcPr>
          <w:p w14:paraId="35256C6C" w14:textId="77777777" w:rsidR="00336260" w:rsidRPr="00336260" w:rsidRDefault="00336260" w:rsidP="00966EA6">
            <w:pPr>
              <w:spacing w:line="360" w:lineRule="auto"/>
              <w:rPr>
                <w:rFonts w:cs="Times New Roman"/>
                <w:sz w:val="24"/>
              </w:rPr>
            </w:pPr>
            <w:r w:rsidRPr="00336260">
              <w:rPr>
                <w:rFonts w:cs="Times New Roman"/>
                <w:b/>
                <w:bCs/>
                <w:sz w:val="24"/>
              </w:rPr>
              <w:t>Kiến trúc hệ thống (Architecture)</w:t>
            </w:r>
          </w:p>
        </w:tc>
        <w:tc>
          <w:tcPr>
            <w:cnfStyle w:val="000001000000" w:firstRow="0" w:lastRow="0" w:firstColumn="0" w:lastColumn="0" w:oddVBand="0" w:evenVBand="1" w:oddHBand="0" w:evenHBand="0" w:firstRowFirstColumn="0" w:firstRowLastColumn="0" w:lastRowFirstColumn="0" w:lastRowLastColumn="0"/>
            <w:tcW w:w="2551" w:type="dxa"/>
            <w:hideMark/>
          </w:tcPr>
          <w:p w14:paraId="77BD4AD7" w14:textId="77777777" w:rsidR="00336260" w:rsidRPr="00336260" w:rsidRDefault="00336260" w:rsidP="00966EA6">
            <w:pPr>
              <w:spacing w:line="360" w:lineRule="auto"/>
              <w:rPr>
                <w:rFonts w:cs="Times New Roman"/>
                <w:sz w:val="24"/>
              </w:rPr>
            </w:pPr>
            <w:r w:rsidRPr="00336260">
              <w:rPr>
                <w:rFonts w:cs="Times New Roman"/>
                <w:b/>
                <w:bCs/>
                <w:sz w:val="24"/>
              </w:rPr>
              <w:t>Phương pháp nghiên cứu (Methodology)</w:t>
            </w:r>
          </w:p>
        </w:tc>
        <w:tc>
          <w:tcPr>
            <w:cnfStyle w:val="000100000000" w:firstRow="0" w:lastRow="0" w:firstColumn="0" w:lastColumn="1" w:oddVBand="0" w:evenVBand="0" w:oddHBand="0" w:evenHBand="0" w:firstRowFirstColumn="0" w:firstRowLastColumn="0" w:lastRowFirstColumn="0" w:lastRowLastColumn="0"/>
            <w:tcW w:w="2414" w:type="dxa"/>
            <w:hideMark/>
          </w:tcPr>
          <w:p w14:paraId="33ED119E" w14:textId="77777777" w:rsidR="00336260" w:rsidRPr="00336260" w:rsidRDefault="00336260" w:rsidP="00966EA6">
            <w:pPr>
              <w:spacing w:line="360" w:lineRule="auto"/>
              <w:rPr>
                <w:rFonts w:cs="Times New Roman"/>
                <w:sz w:val="24"/>
              </w:rPr>
            </w:pPr>
            <w:r w:rsidRPr="00336260">
              <w:rPr>
                <w:rFonts w:cs="Times New Roman"/>
                <w:b/>
                <w:bCs/>
                <w:sz w:val="24"/>
              </w:rPr>
              <w:t>Chỉ số đánh giá &amp; Kết quả (Evaluation Metrics)</w:t>
            </w:r>
          </w:p>
        </w:tc>
      </w:tr>
      <w:tr w:rsidR="00966EA6" w:rsidRPr="00966EA6" w14:paraId="0564FAF4" w14:textId="77777777" w:rsidTr="00966EA6">
        <w:trPr>
          <w:cnfStyle w:val="000000100000" w:firstRow="0" w:lastRow="0" w:firstColumn="0" w:lastColumn="0" w:oddVBand="0" w:evenVBand="0" w:oddHBand="1" w:evenHBand="0" w:firstRowFirstColumn="0" w:firstRowLastColumn="0" w:lastRowFirstColumn="0" w:lastRowLastColumn="0"/>
          <w:trHeight w:val="30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66C74" w14:textId="77777777" w:rsidR="00336260" w:rsidRPr="00336260" w:rsidRDefault="00336260" w:rsidP="00966EA6">
            <w:pPr>
              <w:spacing w:line="360" w:lineRule="auto"/>
              <w:rPr>
                <w:rFonts w:cs="Times New Roman"/>
                <w:sz w:val="24"/>
              </w:rPr>
            </w:pPr>
            <w:r w:rsidRPr="00336260">
              <w:rPr>
                <w:rFonts w:cs="Times New Roman"/>
                <w:b/>
                <w:bCs/>
                <w:sz w:val="24"/>
              </w:rPr>
              <w:t>A Hybrid PSO–LSTM–PPO Framework...</w:t>
            </w:r>
            <w:r w:rsidRPr="00336260">
              <w:rPr>
                <w:rFonts w:cs="Times New Roman"/>
                <w:sz w:val="24"/>
              </w:rPr>
              <w:t xml:space="preserve"> (IEEE Access, 2024)</w:t>
            </w:r>
          </w:p>
        </w:tc>
        <w:tc>
          <w:tcPr>
            <w:cnfStyle w:val="000010000000" w:firstRow="0" w:lastRow="0" w:firstColumn="0" w:lastColumn="0" w:oddVBand="1" w:evenVBand="0" w:oddHBand="0" w:evenHBand="0" w:firstRowFirstColumn="0" w:firstRowLastColumn="0" w:lastRowFirstColumn="0" w:lastRowLastColumn="0"/>
            <w:tcW w:w="2107" w:type="dxa"/>
            <w:hideMark/>
          </w:tcPr>
          <w:p w14:paraId="692B8983" w14:textId="77777777" w:rsidR="00336260" w:rsidRPr="00336260" w:rsidRDefault="00336260" w:rsidP="00966EA6">
            <w:pPr>
              <w:spacing w:line="360" w:lineRule="auto"/>
              <w:rPr>
                <w:rFonts w:cs="Times New Roman"/>
                <w:sz w:val="24"/>
              </w:rPr>
            </w:pPr>
            <w:r w:rsidRPr="00336260">
              <w:rPr>
                <w:rFonts w:cs="Times New Roman"/>
                <w:sz w:val="24"/>
              </w:rPr>
              <w:t>PSO-LSTM-PPO</w:t>
            </w:r>
          </w:p>
        </w:tc>
        <w:tc>
          <w:tcPr>
            <w:cnfStyle w:val="000001000000" w:firstRow="0" w:lastRow="0" w:firstColumn="0" w:lastColumn="0" w:oddVBand="0" w:evenVBand="1" w:oddHBand="0" w:evenHBand="0" w:firstRowFirstColumn="0" w:firstRowLastColumn="0" w:lastRowFirstColumn="0" w:lastRowLastColumn="0"/>
            <w:tcW w:w="2551" w:type="dxa"/>
            <w:hideMark/>
          </w:tcPr>
          <w:p w14:paraId="46474B98" w14:textId="77777777" w:rsidR="00336260" w:rsidRPr="00336260" w:rsidRDefault="00336260" w:rsidP="00966EA6">
            <w:pPr>
              <w:spacing w:line="360" w:lineRule="auto"/>
              <w:rPr>
                <w:rFonts w:cs="Times New Roman"/>
                <w:sz w:val="24"/>
              </w:rPr>
            </w:pPr>
            <w:r w:rsidRPr="00336260">
              <w:rPr>
                <w:rFonts w:cs="Times New Roman"/>
                <w:sz w:val="24"/>
              </w:rPr>
              <w:t>Sử dụng PSO tối ưu siêu tham số LSTM làm nền tảng cho chính sách giao dịch PPO trên 6 mã cổ phiếu lớn.</w:t>
            </w:r>
          </w:p>
        </w:tc>
        <w:tc>
          <w:tcPr>
            <w:cnfStyle w:val="000100000000" w:firstRow="0" w:lastRow="0" w:firstColumn="0" w:lastColumn="1" w:oddVBand="0" w:evenVBand="0" w:oddHBand="0" w:evenHBand="0" w:firstRowFirstColumn="0" w:firstRowLastColumn="0" w:lastRowFirstColumn="0" w:lastRowLastColumn="0"/>
            <w:tcW w:w="2414" w:type="dxa"/>
            <w:hideMark/>
          </w:tcPr>
          <w:p w14:paraId="382BDA5D" w14:textId="77777777" w:rsidR="00336260" w:rsidRPr="00336260" w:rsidRDefault="00336260" w:rsidP="00966EA6">
            <w:pPr>
              <w:spacing w:line="360" w:lineRule="auto"/>
              <w:rPr>
                <w:rFonts w:cs="Times New Roman"/>
                <w:sz w:val="24"/>
              </w:rPr>
            </w:pPr>
            <w:r w:rsidRPr="00336260">
              <w:rPr>
                <w:rFonts w:cs="Times New Roman"/>
                <w:sz w:val="24"/>
              </w:rPr>
              <w:t>Đạt hiệu suất giao dịch tối ưu với các chỉ số: Sharpe Ratio, Cumulative Return và mức độ hội tụ của chính sách PPO.</w:t>
            </w:r>
          </w:p>
        </w:tc>
      </w:tr>
      <w:tr w:rsidR="00966EA6" w:rsidRPr="00966EA6" w14:paraId="1FCA0DF9" w14:textId="77777777" w:rsidTr="00966EA6">
        <w:trPr>
          <w:trHeight w:val="2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C1BF7" w14:textId="77777777" w:rsidR="00336260" w:rsidRPr="00336260" w:rsidRDefault="00336260" w:rsidP="00966EA6">
            <w:pPr>
              <w:spacing w:line="360" w:lineRule="auto"/>
              <w:rPr>
                <w:rFonts w:cs="Times New Roman"/>
                <w:sz w:val="24"/>
              </w:rPr>
            </w:pPr>
            <w:r w:rsidRPr="00336260">
              <w:rPr>
                <w:rFonts w:cs="Times New Roman"/>
                <w:b/>
                <w:bCs/>
                <w:sz w:val="24"/>
              </w:rPr>
              <w:t>Deep Reinforcement Learning for Stock Trading...</w:t>
            </w:r>
            <w:r w:rsidRPr="00336260">
              <w:rPr>
                <w:rFonts w:cs="Times New Roman"/>
                <w:sz w:val="24"/>
              </w:rPr>
              <w:t xml:space="preserve"> (Expert Systems, 2023)</w:t>
            </w:r>
          </w:p>
        </w:tc>
        <w:tc>
          <w:tcPr>
            <w:cnfStyle w:val="000010000000" w:firstRow="0" w:lastRow="0" w:firstColumn="0" w:lastColumn="0" w:oddVBand="1" w:evenVBand="0" w:oddHBand="0" w:evenHBand="0" w:firstRowFirstColumn="0" w:firstRowLastColumn="0" w:lastRowFirstColumn="0" w:lastRowLastColumn="0"/>
            <w:tcW w:w="2107" w:type="dxa"/>
            <w:hideMark/>
          </w:tcPr>
          <w:p w14:paraId="1BC9847C" w14:textId="77777777" w:rsidR="00336260" w:rsidRPr="00336260" w:rsidRDefault="00336260" w:rsidP="00966EA6">
            <w:pPr>
              <w:spacing w:line="360" w:lineRule="auto"/>
              <w:rPr>
                <w:rFonts w:cs="Times New Roman"/>
                <w:sz w:val="24"/>
              </w:rPr>
            </w:pPr>
            <w:r w:rsidRPr="00336260">
              <w:rPr>
                <w:rFonts w:cs="Times New Roman"/>
                <w:sz w:val="24"/>
              </w:rPr>
              <w:t>PSO-LSTM + PPO</w:t>
            </w:r>
          </w:p>
        </w:tc>
        <w:tc>
          <w:tcPr>
            <w:cnfStyle w:val="000001000000" w:firstRow="0" w:lastRow="0" w:firstColumn="0" w:lastColumn="0" w:oddVBand="0" w:evenVBand="1" w:oddHBand="0" w:evenHBand="0" w:firstRowFirstColumn="0" w:firstRowLastColumn="0" w:lastRowFirstColumn="0" w:lastRowLastColumn="0"/>
            <w:tcW w:w="2551" w:type="dxa"/>
            <w:hideMark/>
          </w:tcPr>
          <w:p w14:paraId="1CEC53E7" w14:textId="77777777" w:rsidR="00336260" w:rsidRPr="00336260" w:rsidRDefault="00336260" w:rsidP="00966EA6">
            <w:pPr>
              <w:spacing w:line="360" w:lineRule="auto"/>
              <w:rPr>
                <w:rFonts w:cs="Times New Roman"/>
                <w:sz w:val="24"/>
              </w:rPr>
            </w:pPr>
            <w:r w:rsidRPr="00336260">
              <w:rPr>
                <w:rFonts w:cs="Times New Roman"/>
                <w:sz w:val="24"/>
              </w:rPr>
              <w:t>Ứng dụng thuật toán tối ưu bầy đàn để tinh chỉnh dự báo của mạng LSTM trước khi đưa vào môi trường học tăng cường.</w:t>
            </w:r>
          </w:p>
        </w:tc>
        <w:tc>
          <w:tcPr>
            <w:cnfStyle w:val="000100000000" w:firstRow="0" w:lastRow="0" w:firstColumn="0" w:lastColumn="1" w:oddVBand="0" w:evenVBand="0" w:oddHBand="0" w:evenHBand="0" w:firstRowFirstColumn="0" w:firstRowLastColumn="0" w:lastRowFirstColumn="0" w:lastRowLastColumn="0"/>
            <w:tcW w:w="2414" w:type="dxa"/>
            <w:hideMark/>
          </w:tcPr>
          <w:p w14:paraId="315B8A01" w14:textId="77777777" w:rsidR="00336260" w:rsidRPr="00336260" w:rsidRDefault="00336260" w:rsidP="00966EA6">
            <w:pPr>
              <w:spacing w:line="360" w:lineRule="auto"/>
              <w:rPr>
                <w:rFonts w:cs="Times New Roman"/>
                <w:sz w:val="24"/>
              </w:rPr>
            </w:pPr>
            <w:r w:rsidRPr="00336260">
              <w:rPr>
                <w:rFonts w:cs="Times New Roman"/>
                <w:sz w:val="24"/>
              </w:rPr>
              <w:t>Báo cáo các chỉ số Accuracy, Precision và Profitability vượt trội trong môi trường mô phỏng thị trường.</w:t>
            </w:r>
          </w:p>
        </w:tc>
      </w:tr>
      <w:tr w:rsidR="00966EA6" w:rsidRPr="00966EA6" w14:paraId="54193E68" w14:textId="77777777" w:rsidTr="00966EA6">
        <w:trPr>
          <w:cnfStyle w:val="000000100000" w:firstRow="0" w:lastRow="0" w:firstColumn="0" w:lastColumn="0" w:oddVBand="0" w:evenVBand="0" w:oddHBand="1" w:evenHBand="0" w:firstRowFirstColumn="0" w:firstRowLastColumn="0" w:lastRowFirstColumn="0" w:lastRowLastColumn="0"/>
          <w:trHeight w:val="28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86D97B" w14:textId="77777777" w:rsidR="00336260" w:rsidRPr="00336260" w:rsidRDefault="00336260" w:rsidP="00966EA6">
            <w:pPr>
              <w:spacing w:line="360" w:lineRule="auto"/>
              <w:rPr>
                <w:rFonts w:cs="Times New Roman"/>
                <w:sz w:val="24"/>
              </w:rPr>
            </w:pPr>
            <w:r w:rsidRPr="00336260">
              <w:rPr>
                <w:rFonts w:cs="Times New Roman"/>
                <w:b/>
                <w:bCs/>
                <w:sz w:val="24"/>
              </w:rPr>
              <w:t>LSTMppo-DRL-StockTrader...</w:t>
            </w:r>
            <w:r w:rsidRPr="00336260">
              <w:rPr>
                <w:rFonts w:cs="Times New Roman"/>
                <w:sz w:val="24"/>
              </w:rPr>
              <w:t xml:space="preserve"> (IEEE ICCKE, 2024)</w:t>
            </w:r>
          </w:p>
        </w:tc>
        <w:tc>
          <w:tcPr>
            <w:cnfStyle w:val="000010000000" w:firstRow="0" w:lastRow="0" w:firstColumn="0" w:lastColumn="0" w:oddVBand="1" w:evenVBand="0" w:oddHBand="0" w:evenHBand="0" w:firstRowFirstColumn="0" w:firstRowLastColumn="0" w:lastRowFirstColumn="0" w:lastRowLastColumn="0"/>
            <w:tcW w:w="2107" w:type="dxa"/>
            <w:hideMark/>
          </w:tcPr>
          <w:p w14:paraId="41521D39" w14:textId="77777777" w:rsidR="00336260" w:rsidRPr="00336260" w:rsidRDefault="00336260" w:rsidP="00966EA6">
            <w:pPr>
              <w:spacing w:line="360" w:lineRule="auto"/>
              <w:rPr>
                <w:rFonts w:cs="Times New Roman"/>
                <w:sz w:val="24"/>
              </w:rPr>
            </w:pPr>
            <w:r w:rsidRPr="00336260">
              <w:rPr>
                <w:rFonts w:cs="Times New Roman"/>
                <w:sz w:val="24"/>
              </w:rPr>
              <w:t>LSTM + PPO + FinBERT</w:t>
            </w:r>
          </w:p>
        </w:tc>
        <w:tc>
          <w:tcPr>
            <w:cnfStyle w:val="000001000000" w:firstRow="0" w:lastRow="0" w:firstColumn="0" w:lastColumn="0" w:oddVBand="0" w:evenVBand="1" w:oddHBand="0" w:evenHBand="0" w:firstRowFirstColumn="0" w:firstRowLastColumn="0" w:lastRowFirstColumn="0" w:lastRowLastColumn="0"/>
            <w:tcW w:w="2551" w:type="dxa"/>
            <w:hideMark/>
          </w:tcPr>
          <w:p w14:paraId="0637EFDF" w14:textId="77777777" w:rsidR="00336260" w:rsidRPr="00336260" w:rsidRDefault="00336260" w:rsidP="00966EA6">
            <w:pPr>
              <w:spacing w:line="360" w:lineRule="auto"/>
              <w:rPr>
                <w:rFonts w:cs="Times New Roman"/>
                <w:sz w:val="24"/>
              </w:rPr>
            </w:pPr>
            <w:r w:rsidRPr="00336260">
              <w:rPr>
                <w:rFonts w:cs="Times New Roman"/>
                <w:sz w:val="24"/>
              </w:rPr>
              <w:t>Tích hợp song song các chỉ báo kỹ thuật và điểm số cảm xúc (Sentiment Score) từ mô hình FinBERT vào quá trình ra quyết định.</w:t>
            </w:r>
          </w:p>
        </w:tc>
        <w:tc>
          <w:tcPr>
            <w:cnfStyle w:val="000100000000" w:firstRow="0" w:lastRow="0" w:firstColumn="0" w:lastColumn="1" w:oddVBand="0" w:evenVBand="0" w:oddHBand="0" w:evenHBand="0" w:firstRowFirstColumn="0" w:firstRowLastColumn="0" w:lastRowFirstColumn="0" w:lastRowLastColumn="0"/>
            <w:tcW w:w="2414" w:type="dxa"/>
            <w:hideMark/>
          </w:tcPr>
          <w:p w14:paraId="2AFA0186" w14:textId="77777777" w:rsidR="00336260" w:rsidRPr="00336260" w:rsidRDefault="00336260" w:rsidP="00966EA6">
            <w:pPr>
              <w:spacing w:line="360" w:lineRule="auto"/>
              <w:rPr>
                <w:rFonts w:cs="Times New Roman"/>
                <w:sz w:val="24"/>
              </w:rPr>
            </w:pPr>
            <w:r w:rsidRPr="00336260">
              <w:rPr>
                <w:rFonts w:cs="Times New Roman"/>
                <w:sz w:val="24"/>
              </w:rPr>
              <w:t>Ghi nhận sự sụt giảm rõ rệt của các chỉ số sai số RMSE và MAE nhờ việc bổ sung dữ liệu tin tức tài chính.</w:t>
            </w:r>
          </w:p>
        </w:tc>
      </w:tr>
      <w:tr w:rsidR="00966EA6" w:rsidRPr="00966EA6" w14:paraId="67BACE81" w14:textId="77777777" w:rsidTr="00966EA6">
        <w:trPr>
          <w:trHeight w:val="36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7BF59E" w14:textId="77777777" w:rsidR="00336260" w:rsidRPr="00336260" w:rsidRDefault="00336260" w:rsidP="00966EA6">
            <w:pPr>
              <w:spacing w:line="360" w:lineRule="auto"/>
              <w:rPr>
                <w:rFonts w:cs="Times New Roman"/>
                <w:sz w:val="24"/>
              </w:rPr>
            </w:pPr>
            <w:r w:rsidRPr="00336260">
              <w:rPr>
                <w:rFonts w:cs="Times New Roman"/>
                <w:b/>
                <w:bCs/>
                <w:sz w:val="24"/>
              </w:rPr>
              <w:lastRenderedPageBreak/>
              <w:t>A novel framework using particle swarm optimization and LSTM...</w:t>
            </w:r>
            <w:r w:rsidRPr="00336260">
              <w:rPr>
                <w:rFonts w:cs="Times New Roman"/>
                <w:sz w:val="24"/>
              </w:rPr>
              <w:t xml:space="preserve"> (Scientific Reports, 2025)</w:t>
            </w:r>
          </w:p>
        </w:tc>
        <w:tc>
          <w:tcPr>
            <w:cnfStyle w:val="000010000000" w:firstRow="0" w:lastRow="0" w:firstColumn="0" w:lastColumn="0" w:oddVBand="1" w:evenVBand="0" w:oddHBand="0" w:evenHBand="0" w:firstRowFirstColumn="0" w:firstRowLastColumn="0" w:lastRowFirstColumn="0" w:lastRowLastColumn="0"/>
            <w:tcW w:w="2107" w:type="dxa"/>
            <w:hideMark/>
          </w:tcPr>
          <w:p w14:paraId="198AA670" w14:textId="77777777" w:rsidR="00336260" w:rsidRPr="00336260" w:rsidRDefault="00336260" w:rsidP="00966EA6">
            <w:pPr>
              <w:spacing w:line="360" w:lineRule="auto"/>
              <w:rPr>
                <w:rFonts w:cs="Times New Roman"/>
                <w:sz w:val="24"/>
              </w:rPr>
            </w:pPr>
            <w:r w:rsidRPr="00336260">
              <w:rPr>
                <w:rFonts w:cs="Times New Roman"/>
                <w:sz w:val="24"/>
              </w:rPr>
              <w:t>SEN_PSO_LSTM (PSO-LSTM &amp; FinBERT)</w:t>
            </w:r>
          </w:p>
        </w:tc>
        <w:tc>
          <w:tcPr>
            <w:cnfStyle w:val="000001000000" w:firstRow="0" w:lastRow="0" w:firstColumn="0" w:lastColumn="0" w:oddVBand="0" w:evenVBand="1" w:oddHBand="0" w:evenHBand="0" w:firstRowFirstColumn="0" w:firstRowLastColumn="0" w:lastRowFirstColumn="0" w:lastRowLastColumn="0"/>
            <w:tcW w:w="2551" w:type="dxa"/>
            <w:hideMark/>
          </w:tcPr>
          <w:p w14:paraId="771FC9B6" w14:textId="77777777" w:rsidR="00336260" w:rsidRPr="00336260" w:rsidRDefault="00336260" w:rsidP="00966EA6">
            <w:pPr>
              <w:spacing w:line="360" w:lineRule="auto"/>
              <w:rPr>
                <w:rFonts w:cs="Times New Roman"/>
                <w:sz w:val="24"/>
              </w:rPr>
            </w:pPr>
            <w:r w:rsidRPr="00336260">
              <w:rPr>
                <w:rFonts w:cs="Times New Roman"/>
                <w:sz w:val="24"/>
              </w:rPr>
              <w:t>Kết hợp tối ưu hóa PSO với việc trích xuất đặc trưng cảm xúc từ tin tức kinh tế để huấn luyện mạng LSTM trên 7 mã cổ phiếu.</w:t>
            </w:r>
          </w:p>
        </w:tc>
        <w:tc>
          <w:tcPr>
            <w:cnfStyle w:val="000100000000" w:firstRow="0" w:lastRow="0" w:firstColumn="0" w:lastColumn="1" w:oddVBand="0" w:evenVBand="0" w:oddHBand="0" w:evenHBand="0" w:firstRowFirstColumn="0" w:firstRowLastColumn="0" w:lastRowFirstColumn="0" w:lastRowLastColumn="0"/>
            <w:tcW w:w="2414" w:type="dxa"/>
            <w:hideMark/>
          </w:tcPr>
          <w:p w14:paraId="198A3FB5" w14:textId="7E302415" w:rsidR="00336260" w:rsidRPr="00336260" w:rsidRDefault="00336260" w:rsidP="00966EA6">
            <w:pPr>
              <w:spacing w:line="360" w:lineRule="auto"/>
              <w:rPr>
                <w:rFonts w:cs="Times New Roman"/>
                <w:sz w:val="24"/>
              </w:rPr>
            </w:pPr>
            <w:r w:rsidRPr="00336260">
              <w:rPr>
                <w:rFonts w:cs="Times New Roman"/>
                <w:sz w:val="24"/>
              </w:rPr>
              <w:t xml:space="preserve">Vượt trội hơn các mô hình cơ sở ở tất cả các chỉ số: RMSE, MAE, </w:t>
            </w:r>
            <m:oMath>
              <m:sSup>
                <m:sSupPr>
                  <m:ctrlPr>
                    <w:rPr>
                      <w:rFonts w:ascii="Cambria Math" w:hAnsi="Cambria Math" w:cs="Times New Roman"/>
                      <w:i/>
                      <w:sz w:val="24"/>
                    </w:rPr>
                  </m:ctrlPr>
                </m:sSupPr>
                <m:e>
                  <m:r>
                    <w:rPr>
                      <w:rFonts w:ascii="Cambria Math" w:hAnsi="Cambria Math" w:cs="Times New Roman"/>
                      <w:sz w:val="24"/>
                    </w:rPr>
                    <m:t>R</m:t>
                  </m:r>
                </m:e>
                <m:sup>
                  <m:r>
                    <w:rPr>
                      <w:rFonts w:ascii="Cambria Math" w:hAnsi="Cambria Math" w:cs="Times New Roman"/>
                      <w:sz w:val="24"/>
                    </w:rPr>
                    <m:t>2</m:t>
                  </m:r>
                </m:sup>
              </m:sSup>
            </m:oMath>
            <w:r w:rsidRPr="00336260">
              <w:rPr>
                <w:rFonts w:cs="Times New Roman"/>
                <w:sz w:val="24"/>
              </w:rPr>
              <w:t xml:space="preserve"> và MAPE.</w:t>
            </w:r>
          </w:p>
        </w:tc>
      </w:tr>
      <w:tr w:rsidR="00966EA6" w:rsidRPr="00966EA6" w14:paraId="7B90AB4F" w14:textId="77777777" w:rsidTr="00966EA6">
        <w:trPr>
          <w:cnfStyle w:val="000000100000" w:firstRow="0" w:lastRow="0" w:firstColumn="0" w:lastColumn="0" w:oddVBand="0" w:evenVBand="0" w:oddHBand="1" w:evenHBand="0" w:firstRowFirstColumn="0" w:firstRowLastColumn="0" w:lastRowFirstColumn="0" w:lastRowLastColumn="0"/>
          <w:trHeight w:val="29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911D35" w14:textId="77777777" w:rsidR="00336260" w:rsidRPr="00336260" w:rsidRDefault="00336260" w:rsidP="00966EA6">
            <w:pPr>
              <w:spacing w:line="360" w:lineRule="auto"/>
              <w:rPr>
                <w:rFonts w:cs="Times New Roman"/>
                <w:sz w:val="24"/>
              </w:rPr>
            </w:pPr>
            <w:r w:rsidRPr="00336260">
              <w:rPr>
                <w:rFonts w:cs="Times New Roman"/>
                <w:b/>
                <w:bCs/>
                <w:sz w:val="24"/>
              </w:rPr>
              <w:t>An AI-Enhanced Forecasting Framework...</w:t>
            </w:r>
            <w:r w:rsidRPr="00336260">
              <w:rPr>
                <w:rFonts w:cs="Times New Roman"/>
                <w:sz w:val="24"/>
              </w:rPr>
              <w:t xml:space="preserve"> (Journal of Economic Analysis, 2025)</w:t>
            </w:r>
          </w:p>
        </w:tc>
        <w:tc>
          <w:tcPr>
            <w:cnfStyle w:val="000010000000" w:firstRow="0" w:lastRow="0" w:firstColumn="0" w:lastColumn="0" w:oddVBand="1" w:evenVBand="0" w:oddHBand="0" w:evenHBand="0" w:firstRowFirstColumn="0" w:firstRowLastColumn="0" w:lastRowFirstColumn="0" w:lastRowLastColumn="0"/>
            <w:tcW w:w="2107" w:type="dxa"/>
            <w:hideMark/>
          </w:tcPr>
          <w:p w14:paraId="4E1A34C6" w14:textId="77777777" w:rsidR="00336260" w:rsidRPr="00336260" w:rsidRDefault="00336260" w:rsidP="00966EA6">
            <w:pPr>
              <w:spacing w:line="360" w:lineRule="auto"/>
              <w:rPr>
                <w:rFonts w:cs="Times New Roman"/>
                <w:sz w:val="24"/>
              </w:rPr>
            </w:pPr>
            <w:r w:rsidRPr="00336260">
              <w:rPr>
                <w:rFonts w:cs="Times New Roman"/>
                <w:sz w:val="24"/>
              </w:rPr>
              <w:t>LSTM + Transformer Sentiment</w:t>
            </w:r>
          </w:p>
        </w:tc>
        <w:tc>
          <w:tcPr>
            <w:cnfStyle w:val="000001000000" w:firstRow="0" w:lastRow="0" w:firstColumn="0" w:lastColumn="0" w:oddVBand="0" w:evenVBand="1" w:oddHBand="0" w:evenHBand="0" w:firstRowFirstColumn="0" w:firstRowLastColumn="0" w:lastRowFirstColumn="0" w:lastRowLastColumn="0"/>
            <w:tcW w:w="2551" w:type="dxa"/>
            <w:hideMark/>
          </w:tcPr>
          <w:p w14:paraId="5E676473" w14:textId="77777777" w:rsidR="00336260" w:rsidRPr="00336260" w:rsidRDefault="00336260" w:rsidP="00966EA6">
            <w:pPr>
              <w:spacing w:line="360" w:lineRule="auto"/>
              <w:rPr>
                <w:rFonts w:cs="Times New Roman"/>
                <w:sz w:val="24"/>
              </w:rPr>
            </w:pPr>
            <w:r w:rsidRPr="00336260">
              <w:rPr>
                <w:rFonts w:cs="Times New Roman"/>
                <w:sz w:val="24"/>
              </w:rPr>
              <w:t>Sử dụng các kiến trúc Transformer để tính toán điểm sentiment bối cảnh, bổ trợ cho mô hình dự báo chuỗi thời gian LSTM.</w:t>
            </w:r>
          </w:p>
        </w:tc>
        <w:tc>
          <w:tcPr>
            <w:cnfStyle w:val="000100000000" w:firstRow="0" w:lastRow="0" w:firstColumn="0" w:lastColumn="1" w:oddVBand="0" w:evenVBand="0" w:oddHBand="0" w:evenHBand="0" w:firstRowFirstColumn="0" w:firstRowLastColumn="0" w:lastRowFirstColumn="0" w:lastRowLastColumn="0"/>
            <w:tcW w:w="2414" w:type="dxa"/>
            <w:hideMark/>
          </w:tcPr>
          <w:p w14:paraId="3F85656C" w14:textId="77777777" w:rsidR="00336260" w:rsidRPr="00336260" w:rsidRDefault="00336260" w:rsidP="00966EA6">
            <w:pPr>
              <w:spacing w:line="360" w:lineRule="auto"/>
              <w:rPr>
                <w:rFonts w:cs="Times New Roman"/>
                <w:sz w:val="24"/>
              </w:rPr>
            </w:pPr>
            <w:r w:rsidRPr="00336260">
              <w:rPr>
                <w:rFonts w:cs="Times New Roman"/>
                <w:sz w:val="24"/>
              </w:rPr>
              <w:t>Chứng minh tính hiệu quả qua việc giảm đáng kể sai số MAE và RMSE so với các mô hình chỉ dựa trên dữ liệu giá lịch sử.</w:t>
            </w:r>
          </w:p>
        </w:tc>
      </w:tr>
      <w:tr w:rsidR="00966EA6" w:rsidRPr="00966EA6" w14:paraId="11C96A1F" w14:textId="77777777" w:rsidTr="00966E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08F60C" w14:textId="77777777" w:rsidR="00336260" w:rsidRPr="00336260" w:rsidRDefault="00336260" w:rsidP="00966EA6">
            <w:pPr>
              <w:spacing w:line="360" w:lineRule="auto"/>
              <w:rPr>
                <w:rFonts w:cs="Times New Roman"/>
                <w:sz w:val="24"/>
              </w:rPr>
            </w:pPr>
            <w:r w:rsidRPr="00336260">
              <w:rPr>
                <w:rFonts w:cs="Times New Roman"/>
                <w:b/>
                <w:bCs/>
                <w:sz w:val="24"/>
              </w:rPr>
              <w:t>Dự báo giá chứng khoán kết hợp mBERT</w:t>
            </w:r>
            <w:r w:rsidRPr="00336260">
              <w:rPr>
                <w:rFonts w:cs="Times New Roman"/>
                <w:sz w:val="24"/>
              </w:rPr>
              <w:t xml:space="preserve"> (Nghiên cứu hiện tại, 2026)</w:t>
            </w:r>
          </w:p>
        </w:tc>
        <w:tc>
          <w:tcPr>
            <w:cnfStyle w:val="000010000000" w:firstRow="0" w:lastRow="0" w:firstColumn="0" w:lastColumn="0" w:oddVBand="1" w:evenVBand="0" w:oddHBand="0" w:evenHBand="0" w:firstRowFirstColumn="0" w:firstRowLastColumn="0" w:lastRowFirstColumn="0" w:lastRowLastColumn="0"/>
            <w:tcW w:w="2107" w:type="dxa"/>
            <w:hideMark/>
          </w:tcPr>
          <w:p w14:paraId="0AD43069" w14:textId="77777777" w:rsidR="00336260" w:rsidRPr="00336260" w:rsidRDefault="00336260" w:rsidP="00966EA6">
            <w:pPr>
              <w:spacing w:line="360" w:lineRule="auto"/>
              <w:rPr>
                <w:rFonts w:cs="Times New Roman"/>
                <w:sz w:val="24"/>
              </w:rPr>
            </w:pPr>
            <w:r w:rsidRPr="00336260">
              <w:rPr>
                <w:rFonts w:cs="Times New Roman"/>
                <w:b/>
                <w:bCs/>
                <w:sz w:val="24"/>
              </w:rPr>
              <w:t>BiLSTM_mBERT</w:t>
            </w:r>
            <w:r w:rsidRPr="00336260">
              <w:rPr>
                <w:rFonts w:cs="Times New Roman"/>
                <w:sz w:val="24"/>
              </w:rPr>
              <w:t xml:space="preserve"> và </w:t>
            </w:r>
            <w:r w:rsidRPr="00336260">
              <w:rPr>
                <w:rFonts w:cs="Times New Roman"/>
                <w:b/>
                <w:bCs/>
                <w:sz w:val="24"/>
              </w:rPr>
              <w:t>XGB_mBERT</w:t>
            </w:r>
          </w:p>
        </w:tc>
        <w:tc>
          <w:tcPr>
            <w:cnfStyle w:val="000001000000" w:firstRow="0" w:lastRow="0" w:firstColumn="0" w:lastColumn="0" w:oddVBand="0" w:evenVBand="1" w:oddHBand="0" w:evenHBand="0" w:firstRowFirstColumn="0" w:firstRowLastColumn="0" w:lastRowFirstColumn="0" w:lastRowLastColumn="0"/>
            <w:tcW w:w="2551" w:type="dxa"/>
            <w:hideMark/>
          </w:tcPr>
          <w:p w14:paraId="0951DDFA" w14:textId="77777777" w:rsidR="00336260" w:rsidRPr="00336260" w:rsidRDefault="00336260" w:rsidP="00966EA6">
            <w:pPr>
              <w:spacing w:line="360" w:lineRule="auto"/>
              <w:rPr>
                <w:rFonts w:cs="Times New Roman"/>
                <w:sz w:val="24"/>
              </w:rPr>
            </w:pPr>
            <w:r w:rsidRPr="00336260">
              <w:rPr>
                <w:rFonts w:cs="Times New Roman"/>
                <w:sz w:val="24"/>
              </w:rPr>
              <w:t xml:space="preserve">Trích xuất </w:t>
            </w:r>
            <w:r w:rsidRPr="00336260">
              <w:rPr>
                <w:rFonts w:cs="Times New Roman"/>
                <w:b/>
                <w:bCs/>
                <w:sz w:val="24"/>
              </w:rPr>
              <w:t>8 đặc trưng cảm xúc đa chiều</w:t>
            </w:r>
            <w:r w:rsidRPr="00336260">
              <w:rPr>
                <w:rFonts w:cs="Times New Roman"/>
                <w:sz w:val="24"/>
              </w:rPr>
              <w:t xml:space="preserve"> từ mBERT (nhãn 1-5 sao) tích hợp vào mạng BiLSTM hai chiều và XGBoost trên dữ liệu 2013-2024.</w:t>
            </w:r>
          </w:p>
        </w:tc>
        <w:tc>
          <w:tcPr>
            <w:cnfStyle w:val="000100000000" w:firstRow="0" w:lastRow="0" w:firstColumn="0" w:lastColumn="1" w:oddVBand="0" w:evenVBand="0" w:oddHBand="0" w:evenHBand="0" w:firstRowFirstColumn="0" w:firstRowLastColumn="0" w:lastRowFirstColumn="0" w:lastRowLastColumn="0"/>
            <w:tcW w:w="2414" w:type="dxa"/>
            <w:hideMark/>
          </w:tcPr>
          <w:p w14:paraId="24BD6B48" w14:textId="647EC540" w:rsidR="00336260" w:rsidRPr="00336260" w:rsidRDefault="00336260" w:rsidP="00966EA6">
            <w:pPr>
              <w:spacing w:line="360" w:lineRule="auto"/>
              <w:rPr>
                <w:rFonts w:cs="Times New Roman"/>
                <w:sz w:val="24"/>
              </w:rPr>
            </w:pPr>
            <w:r w:rsidRPr="00336260">
              <w:rPr>
                <w:rFonts w:cs="Times New Roman"/>
                <w:sz w:val="24"/>
              </w:rPr>
              <w:t>MAE đạt 4.1230 (Giảm</w:t>
            </w:r>
            <w:r w:rsidR="00966EA6">
              <w:rPr>
                <w:rFonts w:cs="Times New Roman"/>
                <w:sz w:val="24"/>
              </w:rPr>
              <w:t xml:space="preserve"> </w:t>
            </w:r>
            <w:r w:rsidRPr="00336260">
              <w:rPr>
                <w:rFonts w:cs="Times New Roman"/>
                <w:sz w:val="24"/>
              </w:rPr>
              <w:t>39.76%); Ý nghĩa thống kê tuyệt đối với p-value (Wilcoxon) đạt 1.46e-69 (BiLSTM) và 3.77e-13 (XGB) .</w:t>
            </w:r>
          </w:p>
        </w:tc>
      </w:tr>
    </w:tbl>
    <w:p w14:paraId="17F2134C" w14:textId="77777777" w:rsidR="00336260" w:rsidRPr="00336260" w:rsidRDefault="00336260" w:rsidP="00966EA6">
      <w:pPr>
        <w:spacing w:line="360" w:lineRule="auto"/>
        <w:rPr>
          <w:rFonts w:ascii="Times New Roman" w:hAnsi="Times New Roman" w:cs="Times New Roman"/>
        </w:rPr>
      </w:pPr>
    </w:p>
    <w:p w14:paraId="7B194053" w14:textId="77777777" w:rsidR="00336260" w:rsidRDefault="00336260" w:rsidP="00966EA6">
      <w:pPr>
        <w:spacing w:line="360" w:lineRule="auto"/>
        <w:ind w:firstLine="0"/>
        <w:rPr>
          <w:rFonts w:ascii="Times New Roman" w:hAnsi="Times New Roman" w:cs="Times New Roman"/>
          <w:b/>
          <w:bCs/>
        </w:rPr>
      </w:pPr>
    </w:p>
    <w:p w14:paraId="131672DB" w14:textId="77777777" w:rsidR="00966EA6" w:rsidRPr="00966EA6" w:rsidRDefault="00966EA6" w:rsidP="00966EA6">
      <w:pPr>
        <w:spacing w:line="360" w:lineRule="auto"/>
        <w:ind w:firstLine="0"/>
        <w:rPr>
          <w:rFonts w:ascii="Times New Roman" w:hAnsi="Times New Roman" w:cs="Times New Roman"/>
          <w:b/>
          <w:bCs/>
        </w:rPr>
      </w:pPr>
      <w:r w:rsidRPr="00966EA6">
        <w:rPr>
          <w:rFonts w:ascii="Times New Roman" w:hAnsi="Times New Roman" w:cs="Times New Roman"/>
          <w:b/>
          <w:bCs/>
        </w:rPr>
        <w:t>4.2. Thảo luận về tính mới và đóng góp khoa học</w:t>
      </w:r>
    </w:p>
    <w:p w14:paraId="5F4101FD" w14:textId="77777777" w:rsidR="00966EA6" w:rsidRPr="00966EA6" w:rsidRDefault="00966EA6" w:rsidP="00966EA6">
      <w:pPr>
        <w:spacing w:line="360" w:lineRule="auto"/>
        <w:rPr>
          <w:rFonts w:ascii="Times New Roman" w:hAnsi="Times New Roman" w:cs="Times New Roman"/>
        </w:rPr>
      </w:pPr>
      <w:r w:rsidRPr="00966EA6">
        <w:rPr>
          <w:rFonts w:ascii="Times New Roman" w:hAnsi="Times New Roman" w:cs="Times New Roman"/>
        </w:rPr>
        <w:t xml:space="preserve">Khi xem xét sự tương đồng, có thể thấy nghiên cứu hiện tại hoàn toàn bắt kịp xu hướng sử dụng mạng học sâu LSTM kết hợp NLP như các công trình trên Scientific Reports hay IEEE. Tuy nhiên, điểm khác biệt cốt lõi tạo nên giá trị độc bản của đề tài này chính là độ sâu của đặc trưng cảm xúc. Trong khi các nghiên cứu của Safdar (2025) hay bài báo trên IEEE ICCKE (2024) chủ yếu dựa vào FinBERT để lấy một điểm số cảm xúc đơn chiều , nghiên cứu hiện tại đã bóc tách bản </w:t>
      </w:r>
      <w:r w:rsidRPr="00966EA6">
        <w:rPr>
          <w:rFonts w:ascii="Times New Roman" w:hAnsi="Times New Roman" w:cs="Times New Roman"/>
        </w:rPr>
        <w:lastRenderedPageBreak/>
        <w:t>tin thành tám chỉ số định lượng chuyên sâu. Việc định lượng hóa không chỉ thái độ tích cực/tiêu cực mà còn cả cường độ cảm xúc, độ tin cậy của nguồn tin và mức độ liên quan đã cung cấp cho mô hình BiLSTM một bối cảnh dữ liệu phong phú hơn hẳn.</w:t>
      </w:r>
    </w:p>
    <w:p w14:paraId="5BF63D38" w14:textId="2A469712" w:rsidR="00966EA6" w:rsidRDefault="00966EA6" w:rsidP="00966EA6">
      <w:pPr>
        <w:spacing w:line="360" w:lineRule="auto"/>
        <w:rPr>
          <w:rFonts w:ascii="Times New Roman" w:hAnsi="Times New Roman" w:cs="Times New Roman"/>
        </w:rPr>
      </w:pPr>
      <w:r w:rsidRPr="00966EA6">
        <w:rPr>
          <w:rFonts w:ascii="Times New Roman" w:hAnsi="Times New Roman" w:cs="Times New Roman"/>
        </w:rPr>
        <w:t>Sự vượt trội này không chỉ dừng lại ở mặt lý thuyết mà đã được chứng minh qua những con số thực nghiệm đanh thép trên tập mẫu 1.566 ngày giao dịch. Việc mô hình BiLSTM_mBERT đạt mức cải thiện sai số lên tới gần 40% so với kịch bản chỉ sử dụng sentiment thông thường là minh chứng cho thấy các đặc trưng đa chiều từ mBERT đã nắm bắt được những sắc thái tâm lý thị trường mà các mô hình một chiều bỏ sót. Hơn nữa, việc thực hiện kiểm định Wilcoxon trên quy mô lớn với giá trị p-value đạt ngưỡng cực thấp đã tạo nên một chuẩn mực mới về tính vững chắc của báo cáo, vượt xa các nghiên cứu chỉ dừng lại ở việc so sánh sai số trung bình đơn thuần mà thiếu đi sự hỗ trợ từ thống kê toán học thực thụ</w:t>
      </w:r>
      <w:r>
        <w:rPr>
          <w:rFonts w:ascii="Times New Roman" w:hAnsi="Times New Roman" w:cs="Times New Roman"/>
        </w:rPr>
        <w:t>.</w:t>
      </w:r>
    </w:p>
    <w:p w14:paraId="3665466E" w14:textId="261A6F0E" w:rsidR="00966EA6" w:rsidRDefault="00966EA6" w:rsidP="00966EA6">
      <w:pPr>
        <w:spacing w:line="360" w:lineRule="auto"/>
        <w:rPr>
          <w:rFonts w:ascii="Times New Roman" w:hAnsi="Times New Roman" w:cs="Times New Roman"/>
        </w:rPr>
      </w:pPr>
      <w:r w:rsidRPr="00966EA6">
        <w:rPr>
          <w:rFonts w:ascii="Times New Roman" w:hAnsi="Times New Roman" w:cs="Times New Roman"/>
        </w:rPr>
        <w:t xml:space="preserve">Cần lưu ý rằng, nghiên cứu này không thực hiện so sánh trực tiếp các chỉ số sai số tuyệt đối (MAE, RMSE) giữa mô hình đề xuất và các công trình SOTA. Nguyên nhân cấu trúc là do sự khác biệt hoàn toàn về tập dữ liệu (dataset), dải giá trị cổ phiếu (price scale) và khung thời gian quan sát (2013-2024). Thay vào đó, nghiên cứu đánh giá sự vượt trội dựa trên </w:t>
      </w:r>
      <w:r w:rsidRPr="00966EA6">
        <w:rPr>
          <w:rFonts w:ascii="Times New Roman" w:hAnsi="Times New Roman" w:cs="Times New Roman"/>
          <w:b/>
          <w:bCs/>
        </w:rPr>
        <w:t>tỷ lệ cải thiện hiệu suất tương đối (Improvement Percentage)</w:t>
      </w:r>
      <w:r w:rsidRPr="00966EA6">
        <w:rPr>
          <w:rFonts w:ascii="Times New Roman" w:hAnsi="Times New Roman" w:cs="Times New Roman"/>
        </w:rPr>
        <w:t xml:space="preserve"> so với các mô hình cơ sở (baseline) và </w:t>
      </w:r>
      <w:r w:rsidRPr="00966EA6">
        <w:rPr>
          <w:rFonts w:ascii="Times New Roman" w:hAnsi="Times New Roman" w:cs="Times New Roman"/>
          <w:b/>
          <w:bCs/>
        </w:rPr>
        <w:t>tính vững chắc của kiểm định thống kê (p-value)</w:t>
      </w:r>
      <w:r w:rsidRPr="00966EA6">
        <w:rPr>
          <w:rFonts w:ascii="Times New Roman" w:hAnsi="Times New Roman" w:cs="Times New Roman"/>
        </w:rPr>
        <w:t>. Cách tiếp cận này đảm bảo tính công bằng, loại bỏ nhiễu do khác biệt về thang đo giá trị, và phản ánh đúng bản chất đóng góp của các đặc trưng mBERT.</w:t>
      </w:r>
    </w:p>
    <w:p w14:paraId="119E71B6" w14:textId="067CFC42" w:rsidR="008848C9" w:rsidRDefault="008848C9">
      <w:pPr>
        <w:spacing w:line="360" w:lineRule="auto"/>
        <w:rPr>
          <w:rFonts w:ascii="Times New Roman" w:hAnsi="Times New Roman" w:cs="Times New Roman"/>
        </w:rPr>
      </w:pPr>
      <w:r>
        <w:rPr>
          <w:rFonts w:ascii="Times New Roman" w:hAnsi="Times New Roman" w:cs="Times New Roman"/>
        </w:rPr>
        <w:br w:type="page"/>
      </w:r>
    </w:p>
    <w:sdt>
      <w:sdtPr>
        <w:id w:val="-288752047"/>
        <w:docPartObj>
          <w:docPartGallery w:val="Bibliographies"/>
          <w:docPartUnique/>
        </w:docPartObj>
      </w:sdtPr>
      <w:sdtContent>
        <w:p w14:paraId="54660A43" w14:textId="17402883" w:rsidR="008848C9" w:rsidRDefault="008848C9" w:rsidP="008848C9">
          <w:pPr>
            <w:spacing w:line="360" w:lineRule="auto"/>
            <w:ind w:firstLine="0"/>
            <w:jc w:val="center"/>
            <w:rPr>
              <w:rFonts w:ascii="Times New Roman" w:hAnsi="Times New Roman" w:cs="Times New Roman"/>
              <w:b/>
              <w:bCs/>
              <w:sz w:val="32"/>
              <w:szCs w:val="32"/>
            </w:rPr>
          </w:pPr>
          <w:r w:rsidRPr="008848C9">
            <w:rPr>
              <w:rFonts w:ascii="Times New Roman" w:hAnsi="Times New Roman" w:cs="Times New Roman"/>
              <w:b/>
              <w:bCs/>
              <w:sz w:val="32"/>
              <w:szCs w:val="32"/>
            </w:rPr>
            <w:t>TÀI LIỆU THAM KHẢ</w:t>
          </w:r>
          <w:r>
            <w:rPr>
              <w:rFonts w:ascii="Times New Roman" w:hAnsi="Times New Roman" w:cs="Times New Roman"/>
              <w:b/>
              <w:bCs/>
              <w:sz w:val="32"/>
              <w:szCs w:val="32"/>
            </w:rPr>
            <w:t>O</w:t>
          </w:r>
        </w:p>
        <w:sdt>
          <w:sdtPr>
            <w:id w:val="-573587230"/>
            <w:bibliography/>
          </w:sdtPr>
          <w:sdtContent>
            <w:p w14:paraId="65CF987F" w14:textId="77777777" w:rsidR="008848C9" w:rsidRDefault="008848C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99"/>
                <w:gridCol w:w="8261"/>
              </w:tblGrid>
              <w:tr w:rsidR="008848C9" w:rsidRPr="008848C9" w14:paraId="74C0D7A4" w14:textId="77777777">
                <w:trPr>
                  <w:divId w:val="35860076"/>
                  <w:tblCellSpacing w:w="15" w:type="dxa"/>
                </w:trPr>
                <w:tc>
                  <w:tcPr>
                    <w:tcW w:w="50" w:type="pct"/>
                    <w:hideMark/>
                  </w:tcPr>
                  <w:p w14:paraId="73E61A67" w14:textId="4101315D" w:rsidR="008848C9" w:rsidRPr="008848C9" w:rsidRDefault="008848C9" w:rsidP="008848C9">
                    <w:pPr>
                      <w:pStyle w:val="Bibliography"/>
                      <w:spacing w:line="360" w:lineRule="auto"/>
                      <w:rPr>
                        <w:rFonts w:ascii="Times New Roman" w:hAnsi="Times New Roman" w:cs="Times New Roman"/>
                        <w:noProof/>
                        <w:kern w:val="0"/>
                        <w:sz w:val="26"/>
                        <w:szCs w:val="26"/>
                        <w14:ligatures w14:val="none"/>
                      </w:rPr>
                    </w:pPr>
                    <w:r w:rsidRPr="008848C9">
                      <w:rPr>
                        <w:rFonts w:ascii="Times New Roman" w:hAnsi="Times New Roman" w:cs="Times New Roman"/>
                        <w:noProof/>
                        <w:sz w:val="26"/>
                        <w:szCs w:val="26"/>
                      </w:rPr>
                      <w:t xml:space="preserve">[1] </w:t>
                    </w:r>
                  </w:p>
                </w:tc>
                <w:tc>
                  <w:tcPr>
                    <w:tcW w:w="0" w:type="auto"/>
                    <w:hideMark/>
                  </w:tcPr>
                  <w:p w14:paraId="5D8FE7EA"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Shuvro, M. S. I. et al., "A Hybrid PSO–LSTM–PPO Framework for Stock Price Forecasting and Trading Strategy Optimization," </w:t>
                    </w:r>
                    <w:r w:rsidRPr="008848C9">
                      <w:rPr>
                        <w:rFonts w:ascii="Times New Roman" w:hAnsi="Times New Roman" w:cs="Times New Roman"/>
                        <w:i/>
                        <w:iCs/>
                        <w:noProof/>
                        <w:sz w:val="26"/>
                        <w:szCs w:val="26"/>
                      </w:rPr>
                      <w:t xml:space="preserve">IEEE Access, </w:t>
                    </w:r>
                    <w:r w:rsidRPr="008848C9">
                      <w:rPr>
                        <w:rFonts w:ascii="Times New Roman" w:hAnsi="Times New Roman" w:cs="Times New Roman"/>
                        <w:noProof/>
                        <w:sz w:val="26"/>
                        <w:szCs w:val="26"/>
                      </w:rPr>
                      <w:t xml:space="preserve">vol. 12, pp. 24823 - 24840, 2024. </w:t>
                    </w:r>
                  </w:p>
                </w:tc>
              </w:tr>
              <w:tr w:rsidR="008848C9" w:rsidRPr="008848C9" w14:paraId="020B3573" w14:textId="77777777">
                <w:trPr>
                  <w:divId w:val="35860076"/>
                  <w:tblCellSpacing w:w="15" w:type="dxa"/>
                </w:trPr>
                <w:tc>
                  <w:tcPr>
                    <w:tcW w:w="50" w:type="pct"/>
                    <w:hideMark/>
                  </w:tcPr>
                  <w:p w14:paraId="251DB467"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[2] </w:t>
                    </w:r>
                  </w:p>
                </w:tc>
                <w:tc>
                  <w:tcPr>
                    <w:tcW w:w="0" w:type="auto"/>
                    <w:hideMark/>
                  </w:tcPr>
                  <w:p w14:paraId="7F9E96C6"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Chen, K. et al., "Deep Reinforcement Learning for Stock Trading with Optimized LSTM Forecasts," </w:t>
                    </w:r>
                    <w:r w:rsidRPr="008848C9">
                      <w:rPr>
                        <w:rFonts w:ascii="Times New Roman" w:hAnsi="Times New Roman" w:cs="Times New Roman"/>
                        <w:i/>
                        <w:iCs/>
                        <w:noProof/>
                        <w:sz w:val="26"/>
                        <w:szCs w:val="26"/>
                      </w:rPr>
                      <w:t xml:space="preserve">Expert Systems with Applications, </w:t>
                    </w:r>
                    <w:r w:rsidRPr="008848C9">
                      <w:rPr>
                        <w:rFonts w:ascii="Times New Roman" w:hAnsi="Times New Roman" w:cs="Times New Roman"/>
                        <w:noProof/>
                        <w:sz w:val="26"/>
                        <w:szCs w:val="26"/>
                      </w:rPr>
                      <w:t xml:space="preserve">vol. 222, 2023. </w:t>
                    </w:r>
                  </w:p>
                </w:tc>
              </w:tr>
              <w:tr w:rsidR="008848C9" w:rsidRPr="008848C9" w14:paraId="39E5D7AA" w14:textId="77777777">
                <w:trPr>
                  <w:divId w:val="35860076"/>
                  <w:tblCellSpacing w:w="15" w:type="dxa"/>
                </w:trPr>
                <w:tc>
                  <w:tcPr>
                    <w:tcW w:w="50" w:type="pct"/>
                    <w:hideMark/>
                  </w:tcPr>
                  <w:p w14:paraId="030E38A6"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[3] </w:t>
                    </w:r>
                  </w:p>
                </w:tc>
                <w:tc>
                  <w:tcPr>
                    <w:tcW w:w="0" w:type="auto"/>
                    <w:hideMark/>
                  </w:tcPr>
                  <w:p w14:paraId="539FF0CD"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Veisi, M. et al., "LSTMppo-DRL-StockTrader: A Deep Reinforcement Learning Approach Combining Technical and Fundamental Analyses," in </w:t>
                    </w:r>
                    <w:r w:rsidRPr="008848C9">
                      <w:rPr>
                        <w:rFonts w:ascii="Times New Roman" w:hAnsi="Times New Roman" w:cs="Times New Roman"/>
                        <w:i/>
                        <w:iCs/>
                        <w:noProof/>
                        <w:sz w:val="26"/>
                        <w:szCs w:val="26"/>
                      </w:rPr>
                      <w:t>2024 14th International Conference on Computer and Knowledge Engineering (ICCKE)</w:t>
                    </w:r>
                    <w:r w:rsidRPr="008848C9">
                      <w:rPr>
                        <w:rFonts w:ascii="Times New Roman" w:hAnsi="Times New Roman" w:cs="Times New Roman"/>
                        <w:noProof/>
                        <w:sz w:val="26"/>
                        <w:szCs w:val="26"/>
                      </w:rPr>
                      <w:t xml:space="preserve">, 2024. </w:t>
                    </w:r>
                  </w:p>
                </w:tc>
              </w:tr>
              <w:tr w:rsidR="008848C9" w:rsidRPr="008848C9" w14:paraId="0E7BD816" w14:textId="77777777">
                <w:trPr>
                  <w:divId w:val="35860076"/>
                  <w:tblCellSpacing w:w="15" w:type="dxa"/>
                </w:trPr>
                <w:tc>
                  <w:tcPr>
                    <w:tcW w:w="50" w:type="pct"/>
                    <w:hideMark/>
                  </w:tcPr>
                  <w:p w14:paraId="418F55DF"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[4] </w:t>
                    </w:r>
                  </w:p>
                </w:tc>
                <w:tc>
                  <w:tcPr>
                    <w:tcW w:w="0" w:type="auto"/>
                    <w:hideMark/>
                  </w:tcPr>
                  <w:p w14:paraId="32DE1FEF"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Heidari Safari, MohammadEsmael; Hosseini, Soodeh, "A novel framework using particle swarm optimization and long short-term memory networks for stock market forecasting," </w:t>
                    </w:r>
                    <w:r w:rsidRPr="008848C9">
                      <w:rPr>
                        <w:rFonts w:ascii="Times New Roman" w:hAnsi="Times New Roman" w:cs="Times New Roman"/>
                        <w:i/>
                        <w:iCs/>
                        <w:noProof/>
                        <w:sz w:val="26"/>
                        <w:szCs w:val="26"/>
                      </w:rPr>
                      <w:t xml:space="preserve">Scientific Reports, </w:t>
                    </w:r>
                    <w:r w:rsidRPr="008848C9">
                      <w:rPr>
                        <w:rFonts w:ascii="Times New Roman" w:hAnsi="Times New Roman" w:cs="Times New Roman"/>
                        <w:noProof/>
                        <w:sz w:val="26"/>
                        <w:szCs w:val="26"/>
                      </w:rPr>
                      <w:t xml:space="preserve">vol. 15, no. 1, 2025. </w:t>
                    </w:r>
                  </w:p>
                </w:tc>
              </w:tr>
              <w:tr w:rsidR="008848C9" w:rsidRPr="008848C9" w14:paraId="15897587" w14:textId="77777777">
                <w:trPr>
                  <w:divId w:val="35860076"/>
                  <w:tblCellSpacing w:w="15" w:type="dxa"/>
                </w:trPr>
                <w:tc>
                  <w:tcPr>
                    <w:tcW w:w="50" w:type="pct"/>
                    <w:hideMark/>
                  </w:tcPr>
                  <w:p w14:paraId="401D89AD"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[5] </w:t>
                    </w:r>
                  </w:p>
                </w:tc>
                <w:tc>
                  <w:tcPr>
                    <w:tcW w:w="0" w:type="auto"/>
                    <w:hideMark/>
                  </w:tcPr>
                  <w:p w14:paraId="483788D7" w14:textId="77777777" w:rsidR="008848C9" w:rsidRPr="008848C9" w:rsidRDefault="008848C9" w:rsidP="008848C9">
                    <w:pPr>
                      <w:pStyle w:val="Bibliography"/>
                      <w:spacing w:line="360" w:lineRule="auto"/>
                      <w:rPr>
                        <w:rFonts w:ascii="Times New Roman" w:hAnsi="Times New Roman" w:cs="Times New Roman"/>
                        <w:noProof/>
                        <w:sz w:val="26"/>
                        <w:szCs w:val="26"/>
                      </w:rPr>
                    </w:pPr>
                    <w:r w:rsidRPr="008848C9">
                      <w:rPr>
                        <w:rFonts w:ascii="Times New Roman" w:hAnsi="Times New Roman" w:cs="Times New Roman"/>
                        <w:noProof/>
                        <w:sz w:val="26"/>
                        <w:szCs w:val="26"/>
                      </w:rPr>
                      <w:t xml:space="preserve">Wang, X. et al., "An AI-Enhanced Forecasting Framework: Integrating LSTM and Transformer-Based Sentiment for Stock Price Prediction," </w:t>
                    </w:r>
                    <w:r w:rsidRPr="008848C9">
                      <w:rPr>
                        <w:rFonts w:ascii="Times New Roman" w:hAnsi="Times New Roman" w:cs="Times New Roman"/>
                        <w:i/>
                        <w:iCs/>
                        <w:noProof/>
                        <w:sz w:val="26"/>
                        <w:szCs w:val="26"/>
                      </w:rPr>
                      <w:t xml:space="preserve">Journal of Economic Analysis, </w:t>
                    </w:r>
                    <w:r w:rsidRPr="008848C9">
                      <w:rPr>
                        <w:rFonts w:ascii="Times New Roman" w:hAnsi="Times New Roman" w:cs="Times New Roman"/>
                        <w:noProof/>
                        <w:sz w:val="26"/>
                        <w:szCs w:val="26"/>
                      </w:rPr>
                      <w:t xml:space="preserve">vol. 4, no. 3, pp. 109-125, 2025. </w:t>
                    </w:r>
                  </w:p>
                </w:tc>
              </w:tr>
            </w:tbl>
            <w:p w14:paraId="556E7237" w14:textId="77777777" w:rsidR="008848C9" w:rsidRDefault="008848C9">
              <w:pPr>
                <w:divId w:val="35860076"/>
                <w:rPr>
                  <w:rFonts w:eastAsia="Times New Roman"/>
                  <w:noProof/>
                </w:rPr>
              </w:pPr>
            </w:p>
            <w:p w14:paraId="57CE40BF" w14:textId="0AA8E898" w:rsidR="008848C9" w:rsidRDefault="008848C9">
              <w:r>
                <w:rPr>
                  <w:b/>
                  <w:bCs/>
                  <w:noProof/>
                </w:rPr>
                <w:fldChar w:fldCharType="end"/>
              </w:r>
            </w:p>
          </w:sdtContent>
        </w:sdt>
      </w:sdtContent>
    </w:sdt>
    <w:p w14:paraId="1AE55F7E" w14:textId="77777777" w:rsidR="008848C9" w:rsidRPr="008848C9" w:rsidRDefault="008848C9" w:rsidP="008848C9">
      <w:pPr>
        <w:spacing w:line="360" w:lineRule="auto"/>
        <w:ind w:firstLine="0"/>
        <w:jc w:val="center"/>
        <w:rPr>
          <w:rFonts w:ascii="Times New Roman" w:hAnsi="Times New Roman" w:cs="Times New Roman"/>
          <w:b/>
          <w:bCs/>
          <w:sz w:val="32"/>
          <w:szCs w:val="32"/>
        </w:rPr>
      </w:pPr>
    </w:p>
    <w:p w14:paraId="33A74F15" w14:textId="77777777" w:rsidR="00966EA6" w:rsidRPr="00336260" w:rsidRDefault="00966EA6" w:rsidP="00966EA6">
      <w:pPr>
        <w:spacing w:line="360" w:lineRule="auto"/>
        <w:ind w:firstLine="0"/>
        <w:rPr>
          <w:rFonts w:ascii="Times New Roman" w:hAnsi="Times New Roman" w:cs="Times New Roman"/>
          <w:b/>
          <w:bCs/>
        </w:rPr>
      </w:pPr>
    </w:p>
    <w:sectPr w:rsidR="00966EA6" w:rsidRPr="00336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5CF0"/>
    <w:multiLevelType w:val="multilevel"/>
    <w:tmpl w:val="6B9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C4045"/>
    <w:multiLevelType w:val="multilevel"/>
    <w:tmpl w:val="B6D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81D0E"/>
    <w:multiLevelType w:val="multilevel"/>
    <w:tmpl w:val="B34E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261665">
    <w:abstractNumId w:val="1"/>
  </w:num>
  <w:num w:numId="2" w16cid:durableId="972518827">
    <w:abstractNumId w:val="0"/>
  </w:num>
  <w:num w:numId="3" w16cid:durableId="1330447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83"/>
    <w:rsid w:val="00240601"/>
    <w:rsid w:val="00336260"/>
    <w:rsid w:val="00360E98"/>
    <w:rsid w:val="00584158"/>
    <w:rsid w:val="00732E3A"/>
    <w:rsid w:val="008848C9"/>
    <w:rsid w:val="008C6934"/>
    <w:rsid w:val="00966EA6"/>
    <w:rsid w:val="00967EAB"/>
    <w:rsid w:val="00A604C5"/>
    <w:rsid w:val="00BA0383"/>
    <w:rsid w:val="00CC0D61"/>
    <w:rsid w:val="00CD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A8B1"/>
  <w15:chartTrackingRefBased/>
  <w15:docId w15:val="{48C6858A-6480-470F-9C3C-21EE8FDF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BA0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3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3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3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3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383"/>
    <w:rPr>
      <w:rFonts w:eastAsiaTheme="majorEastAsia" w:cstheme="majorBidi"/>
      <w:color w:val="272727" w:themeColor="text1" w:themeTint="D8"/>
    </w:rPr>
  </w:style>
  <w:style w:type="paragraph" w:styleId="Title">
    <w:name w:val="Title"/>
    <w:basedOn w:val="Normal"/>
    <w:next w:val="Normal"/>
    <w:link w:val="TitleChar"/>
    <w:uiPriority w:val="10"/>
    <w:qFormat/>
    <w:rsid w:val="00BA03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383"/>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3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0383"/>
    <w:rPr>
      <w:i/>
      <w:iCs/>
      <w:color w:val="404040" w:themeColor="text1" w:themeTint="BF"/>
    </w:rPr>
  </w:style>
  <w:style w:type="paragraph" w:styleId="ListParagraph">
    <w:name w:val="List Paragraph"/>
    <w:basedOn w:val="Normal"/>
    <w:uiPriority w:val="34"/>
    <w:qFormat/>
    <w:rsid w:val="00BA0383"/>
    <w:pPr>
      <w:ind w:left="720"/>
      <w:contextualSpacing/>
    </w:pPr>
  </w:style>
  <w:style w:type="character" w:styleId="IntenseEmphasis">
    <w:name w:val="Intense Emphasis"/>
    <w:basedOn w:val="DefaultParagraphFont"/>
    <w:uiPriority w:val="21"/>
    <w:qFormat/>
    <w:rsid w:val="00BA0383"/>
    <w:rPr>
      <w:i/>
      <w:iCs/>
      <w:color w:val="0F4761" w:themeColor="accent1" w:themeShade="BF"/>
    </w:rPr>
  </w:style>
  <w:style w:type="paragraph" w:styleId="IntenseQuote">
    <w:name w:val="Intense Quote"/>
    <w:basedOn w:val="Normal"/>
    <w:next w:val="Normal"/>
    <w:link w:val="IntenseQuoteChar"/>
    <w:uiPriority w:val="30"/>
    <w:qFormat/>
    <w:rsid w:val="00BA0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383"/>
    <w:rPr>
      <w:i/>
      <w:iCs/>
      <w:color w:val="0F4761" w:themeColor="accent1" w:themeShade="BF"/>
    </w:rPr>
  </w:style>
  <w:style w:type="character" w:styleId="IntenseReference">
    <w:name w:val="Intense Reference"/>
    <w:basedOn w:val="DefaultParagraphFont"/>
    <w:uiPriority w:val="32"/>
    <w:qFormat/>
    <w:rsid w:val="00BA0383"/>
    <w:rPr>
      <w:b/>
      <w:bCs/>
      <w:smallCaps/>
      <w:color w:val="0F4761" w:themeColor="accent1" w:themeShade="BF"/>
      <w:spacing w:val="5"/>
    </w:rPr>
  </w:style>
  <w:style w:type="table" w:customStyle="1" w:styleId="Tablechuan">
    <w:name w:val="Table_chuan"/>
    <w:basedOn w:val="TableNormal"/>
    <w:uiPriority w:val="99"/>
    <w:rsid w:val="00336260"/>
    <w:pPr>
      <w:spacing w:line="240" w:lineRule="auto"/>
      <w:ind w:firstLine="0"/>
      <w:jc w:val="center"/>
    </w:pPr>
    <w:rPr>
      <w:rFonts w:ascii="Times New Roman" w:hAnsi="Times New Roman"/>
      <w:sz w:val="26"/>
    </w:rPr>
    <w:tblPr>
      <w:tblStyleRowBandSize w:val="1"/>
      <w:tblStyleColBandSize w:val="1"/>
    </w:tblPr>
    <w:tcPr>
      <w:vAlign w:val="center"/>
    </w:tcPr>
    <w:tblStylePr w:type="firstRow">
      <w:rPr>
        <w:rFonts w:ascii="Times New Roman" w:hAnsi="Times New Roman"/>
        <w:sz w:val="26"/>
      </w:rPr>
      <w:tblPr/>
      <w:tcPr>
        <w:tcBorders>
          <w:bottom w:val="single" w:sz="4" w:space="0" w:color="auto"/>
        </w:tcBorders>
      </w:tcPr>
    </w:tblStylePr>
    <w:tblStylePr w:type="firstCol">
      <w:tblPr/>
      <w:tcPr>
        <w:tcBorders>
          <w:top w:val="nil"/>
          <w:left w:val="nil"/>
          <w:bottom w:val="nil"/>
          <w:right w:val="single" w:sz="4" w:space="0" w:color="auto"/>
          <w:insideH w:val="nil"/>
          <w:insideV w:val="nil"/>
        </w:tcBorders>
      </w:tcPr>
    </w:tblStylePr>
    <w:tblStylePr w:type="lastCol">
      <w:tblPr/>
      <w:tcPr>
        <w:tcBorders>
          <w:top w:val="nil"/>
          <w:left w:val="nil"/>
          <w:bottom w:val="nil"/>
          <w:right w:val="nil"/>
          <w:insideH w:val="nil"/>
          <w:insideV w:val="nil"/>
          <w:tl2br w:val="nil"/>
          <w:tr2bl w:val="nil"/>
        </w:tcBorders>
      </w:tcPr>
    </w:tblStylePr>
    <w:tblStylePr w:type="band1Vert">
      <w:tblPr/>
      <w:tcPr>
        <w:tcBorders>
          <w:left w:val="nil"/>
          <w:right w:val="single" w:sz="4" w:space="0" w:color="auto"/>
          <w:tl2br w:val="nil"/>
        </w:tcBorders>
      </w:tcPr>
    </w:tblStylePr>
    <w:tblStylePr w:type="band2Vert">
      <w:tblPr/>
      <w:tcPr>
        <w:tcBorders>
          <w:right w:val="single" w:sz="4" w:space="0" w:color="auto"/>
        </w:tcBorders>
      </w:tcPr>
    </w:tblStylePr>
    <w:tblStylePr w:type="band1Horz">
      <w:tblPr/>
      <w:tcPr>
        <w:tcBorders>
          <w:top w:val="nil"/>
          <w:left w:val="nil"/>
          <w:bottom w:val="nil"/>
          <w:right w:val="nil"/>
          <w:insideH w:val="nil"/>
          <w:insideV w:val="nil"/>
        </w:tcBorders>
      </w:tcPr>
    </w:tblStylePr>
    <w:tblStylePr w:type="nwCell">
      <w:tblPr/>
      <w:tcPr>
        <w:tcBorders>
          <w:tl2br w:val="nil"/>
        </w:tcBorders>
      </w:tcPr>
    </w:tblStylePr>
  </w:style>
  <w:style w:type="table" w:styleId="TableGrid">
    <w:name w:val="Table Grid"/>
    <w:basedOn w:val="TableNormal"/>
    <w:uiPriority w:val="39"/>
    <w:rsid w:val="003362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6EA6"/>
    <w:rPr>
      <w:color w:val="666666"/>
    </w:rPr>
  </w:style>
  <w:style w:type="paragraph" w:styleId="Bibliography">
    <w:name w:val="Bibliography"/>
    <w:basedOn w:val="Normal"/>
    <w:next w:val="Normal"/>
    <w:uiPriority w:val="37"/>
    <w:unhideWhenUsed/>
    <w:rsid w:val="00884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0076">
      <w:bodyDiv w:val="1"/>
      <w:marLeft w:val="0"/>
      <w:marRight w:val="0"/>
      <w:marTop w:val="0"/>
      <w:marBottom w:val="0"/>
      <w:divBdr>
        <w:top w:val="none" w:sz="0" w:space="0" w:color="auto"/>
        <w:left w:val="none" w:sz="0" w:space="0" w:color="auto"/>
        <w:bottom w:val="none" w:sz="0" w:space="0" w:color="auto"/>
        <w:right w:val="none" w:sz="0" w:space="0" w:color="auto"/>
      </w:divBdr>
    </w:div>
    <w:div w:id="10751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Shu24</b:Tag>
    <b:SourceType>JournalArticle</b:SourceType>
    <b:Guid>{A20431C3-BD9A-45B9-87F1-9F8C1546E126}</b:Guid>
    <b:Author>
      <b:Author>
        <b:Corporate>Shuvro, M. S. I. et al.</b:Corporate>
      </b:Author>
    </b:Author>
    <b:Title>A Hybrid PSO–LSTM–PPO Framework for Stock Price Forecasting and Trading Strategy Optimization</b:Title>
    <b:JournalName>IEEE Access</b:JournalName>
    <b:Year>2024</b:Year>
    <b:Pages>24823 - 24840</b:Pages>
    <b:Volume>12</b:Volume>
    <b:RefOrder>1</b:RefOrder>
  </b:Source>
  <b:Source>
    <b:Tag>Che23</b:Tag>
    <b:SourceType>JournalArticle</b:SourceType>
    <b:Guid>{95CA31C8-4DCC-4699-B29C-76C1739AC9AE}</b:Guid>
    <b:Author>
      <b:Author>
        <b:Corporate>Chen, K. et al.</b:Corporate>
      </b:Author>
    </b:Author>
    <b:Title>Deep Reinforcement Learning for Stock Trading with Optimized LSTM Forecasts</b:Title>
    <b:JournalName>Expert Systems with Applications</b:JournalName>
    <b:Year>2023</b:Year>
    <b:Volume>222</b:Volume>
    <b:RefOrder>2</b:RefOrder>
  </b:Source>
  <b:Source>
    <b:Tag>Vei24</b:Tag>
    <b:SourceType>ConferenceProceedings</b:SourceType>
    <b:Guid>{A5C18F45-0FAA-4B55-939A-0D45BE822A22}</b:Guid>
    <b:Title>LSTMppo-DRL-StockTrader: A Deep Reinforcement Learning Approach Combining Technical and Fundamental Analyses</b:Title>
    <b:Year>2024</b:Year>
    <b:Author>
      <b:Author>
        <b:Corporate>Veisi, M. et al.</b:Corporate>
      </b:Author>
    </b:Author>
    <b:ConferenceName>2024 14th International Conference on Computer and Knowledge Engineering (ICCKE)</b:ConferenceName>
    <b:Publisher>IEEE</b:Publisher>
    <b:RefOrder>3</b:RefOrder>
  </b:Source>
  <b:Source>
    <b:Tag>Hei25</b:Tag>
    <b:SourceType>JournalArticle</b:SourceType>
    <b:Guid>{29E79D03-D094-40E6-88E1-1DC4A196A789}</b:Guid>
    <b:Title>A novel framework using particle swarm optimization and long short-term memory networks for stock market forecasting</b:Title>
    <b:Year>2025</b:Year>
    <b:Author>
      <b:Author>
        <b:Corporate>Heidari Safari, MohammadEsmael; Hosseini, Soodeh</b:Corporate>
      </b:Author>
    </b:Author>
    <b:JournalName>Scientific Reports</b:JournalName>
    <b:Volume>15</b:Volume>
    <b:Issue>1</b:Issue>
    <b:DOI>10.1038/s41598-025-26087-w</b:DOI>
    <b:RefOrder>4</b:RefOrder>
  </b:Source>
  <b:Source>
    <b:Tag>Wan25</b:Tag>
    <b:SourceType>JournalArticle</b:SourceType>
    <b:Guid>{D333BA36-254D-44DE-A722-FA6BDC42FBF1}</b:Guid>
    <b:Author>
      <b:Author>
        <b:Corporate>Wang, X. et al.</b:Corporate>
      </b:Author>
    </b:Author>
    <b:Title>An AI-Enhanced Forecasting Framework: Integrating LSTM and Transformer-Based Sentiment for Stock Price Prediction</b:Title>
    <b:JournalName>Journal of Economic Analysis</b:JournalName>
    <b:Year>2025</b:Year>
    <b:Pages>109-125</b:Pages>
    <b:Volume>4</b:Volume>
    <b:Issue>3</b:Issue>
    <b:RefOrder>5</b:RefOrder>
  </b:Source>
</b:Sources>
</file>

<file path=customXml/itemProps1.xml><?xml version="1.0" encoding="utf-8"?>
<ds:datastoreItem xmlns:ds="http://schemas.openxmlformats.org/officeDocument/2006/customXml" ds:itemID="{29184E53-7021-4250-A797-8B49F02F8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3</cp:revision>
  <dcterms:created xsi:type="dcterms:W3CDTF">2026-04-17T14:06:00Z</dcterms:created>
  <dcterms:modified xsi:type="dcterms:W3CDTF">2026-04-17T14:18:00Z</dcterms:modified>
</cp:coreProperties>
</file>