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0E" w:rsidRPr="00811C96" w:rsidRDefault="00A0380E" w:rsidP="00A0380E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1502EB">
        <w:rPr>
          <w:rFonts w:ascii="Times New Roman" w:hAnsi="Times New Roman" w:cs="Times New Roman"/>
        </w:rPr>
        <w:t xml:space="preserve">PROJECT BACKGROUND AND CONTEXT </w:t>
      </w:r>
    </w:p>
    <w:p w:rsidR="00A0380E" w:rsidRPr="00A955B7" w:rsidRDefault="00A0380E" w:rsidP="00A0380E">
      <w:pPr>
        <w:pStyle w:val="Heading1"/>
        <w:numPr>
          <w:ilvl w:val="0"/>
          <w:numId w:val="3"/>
        </w:numPr>
        <w:spacing w:line="360" w:lineRule="auto"/>
      </w:pPr>
      <w:r>
        <w:t>Background</w:t>
      </w:r>
    </w:p>
    <w:p w:rsidR="00A0380E" w:rsidRDefault="00A0380E" w:rsidP="00A0380E">
      <w:pPr>
        <w:spacing w:line="360" w:lineRule="auto"/>
        <w:jc w:val="both"/>
        <w:rPr>
          <w:sz w:val="10"/>
        </w:rPr>
      </w:pPr>
    </w:p>
    <w:p w:rsidR="00A0380E" w:rsidRPr="00FD1754" w:rsidRDefault="00A0380E" w:rsidP="00A038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t xml:space="preserve">The NE India encompassed by the ancient plate margin is seismically a very active zone. The 1897 Earth Quake of Shillong of 8. 7 Richter Scale is considered to be most massive which devastated the entire plateau and affected the NE region running about 650,000 square km masonry structures being present in the region. A revisit of the Shillong earthquake in the present day context may present a very damaging scenario because of the </w:t>
      </w:r>
      <w:r>
        <w:rPr>
          <w:rFonts w:ascii="Times New Roman" w:hAnsi="Times New Roman"/>
          <w:sz w:val="24"/>
          <w:szCs w:val="24"/>
        </w:rPr>
        <w:t xml:space="preserve">increasing </w:t>
      </w:r>
      <w:r w:rsidRPr="00FD1754">
        <w:rPr>
          <w:rFonts w:ascii="Times New Roman" w:hAnsi="Times New Roman"/>
          <w:sz w:val="24"/>
          <w:szCs w:val="24"/>
        </w:rPr>
        <w:t>population and rapid changes in building typology in the region.  A hypothetical earthquake scenario for the 1</w:t>
      </w:r>
      <w:r>
        <w:rPr>
          <w:rFonts w:ascii="Times New Roman" w:hAnsi="Times New Roman"/>
          <w:sz w:val="24"/>
          <w:szCs w:val="24"/>
        </w:rPr>
        <w:t>89</w:t>
      </w:r>
      <w:r w:rsidRPr="00FD1754">
        <w:rPr>
          <w:rFonts w:ascii="Times New Roman" w:hAnsi="Times New Roman"/>
          <w:sz w:val="24"/>
          <w:szCs w:val="24"/>
        </w:rPr>
        <w:t xml:space="preserve">7 Shillong earthquake would help to see the capacity of the state to handle such massive earthquakes. A well-crafted earthquake scenario provides a powerful tool to draft the mitigation policies and set priorities that will systematically reduce the impact of the earthquakes. </w:t>
      </w:r>
    </w:p>
    <w:p w:rsidR="00A0380E" w:rsidRDefault="00A0380E" w:rsidP="00A0380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t xml:space="preserve">With this as the backdrop NDMA entrusted CSIR – </w:t>
      </w:r>
      <w:r>
        <w:rPr>
          <w:rFonts w:ascii="Times New Roman" w:hAnsi="Times New Roman"/>
          <w:sz w:val="24"/>
          <w:szCs w:val="24"/>
        </w:rPr>
        <w:t xml:space="preserve">NEIST, the development of science based earthquake scenario for M 8.7 Shillong Earthquake and coordination of project activities. </w:t>
      </w:r>
      <w:r w:rsidRPr="00102A69">
        <w:rPr>
          <w:rFonts w:ascii="Times New Roman" w:hAnsi="Times New Roman"/>
          <w:sz w:val="24"/>
          <w:szCs w:val="24"/>
        </w:rPr>
        <w:t>The main responsibility of CSIR </w:t>
      </w:r>
      <w:r>
        <w:rPr>
          <w:rFonts w:ascii="Times New Roman" w:hAnsi="Times New Roman"/>
          <w:sz w:val="24"/>
          <w:szCs w:val="24"/>
        </w:rPr>
        <w:t>-</w:t>
      </w:r>
      <w:r w:rsidRPr="00102A69">
        <w:rPr>
          <w:rFonts w:ascii="Times New Roman" w:hAnsi="Times New Roman"/>
          <w:sz w:val="24"/>
          <w:szCs w:val="24"/>
        </w:rPr>
        <w:t xml:space="preserve"> N</w:t>
      </w:r>
      <w:r>
        <w:rPr>
          <w:rFonts w:ascii="Times New Roman" w:hAnsi="Times New Roman"/>
          <w:sz w:val="24"/>
          <w:szCs w:val="24"/>
        </w:rPr>
        <w:t>EIST Jorhat was creation of a scientific s</w:t>
      </w:r>
      <w:r w:rsidRPr="00102A69">
        <w:rPr>
          <w:rFonts w:ascii="Times New Roman" w:hAnsi="Times New Roman"/>
          <w:sz w:val="24"/>
          <w:szCs w:val="24"/>
        </w:rPr>
        <w:t>cenario for a repeat of M 8.7 Earthquake and to regulate fund to State Disaster Management Authoriti</w:t>
      </w:r>
      <w:r>
        <w:rPr>
          <w:rFonts w:ascii="Times New Roman" w:hAnsi="Times New Roman"/>
          <w:sz w:val="24"/>
          <w:szCs w:val="24"/>
        </w:rPr>
        <w:t>es (SDMAs) for the conduct of a</w:t>
      </w:r>
      <w:r w:rsidRPr="00102A69">
        <w:rPr>
          <w:rFonts w:ascii="Times New Roman" w:hAnsi="Times New Roman"/>
          <w:sz w:val="24"/>
          <w:szCs w:val="24"/>
        </w:rPr>
        <w:t>wareness generation and Capacity Devel</w:t>
      </w:r>
      <w:r>
        <w:rPr>
          <w:rFonts w:ascii="Times New Roman" w:hAnsi="Times New Roman"/>
          <w:sz w:val="24"/>
          <w:szCs w:val="24"/>
        </w:rPr>
        <w:t xml:space="preserve">opment programs (IRS/TTx/MMEx) </w:t>
      </w:r>
      <w:r w:rsidRPr="00102A69">
        <w:rPr>
          <w:rFonts w:ascii="Times New Roman" w:hAnsi="Times New Roman"/>
          <w:sz w:val="24"/>
          <w:szCs w:val="24"/>
        </w:rPr>
        <w:t>which were</w:t>
      </w:r>
      <w:r>
        <w:rPr>
          <w:rFonts w:ascii="Times New Roman" w:hAnsi="Times New Roman"/>
          <w:sz w:val="24"/>
          <w:szCs w:val="24"/>
        </w:rPr>
        <w:t xml:space="preserve"> all </w:t>
      </w:r>
      <w:r w:rsidRPr="00102A69">
        <w:rPr>
          <w:rFonts w:ascii="Times New Roman" w:hAnsi="Times New Roman"/>
          <w:sz w:val="24"/>
          <w:szCs w:val="24"/>
        </w:rPr>
        <w:t>performed directly by NDMA without involving/consulting CSIR </w:t>
      </w:r>
      <w:r>
        <w:rPr>
          <w:rFonts w:ascii="Times New Roman" w:hAnsi="Times New Roman"/>
          <w:sz w:val="24"/>
          <w:szCs w:val="24"/>
        </w:rPr>
        <w:t>–</w:t>
      </w:r>
      <w:r w:rsidR="00EE1150" w:rsidRPr="00102A69">
        <w:rPr>
          <w:rFonts w:ascii="Times New Roman" w:hAnsi="Times New Roman"/>
          <w:sz w:val="24"/>
          <w:szCs w:val="24"/>
        </w:rPr>
        <w:t>NEIST</w:t>
      </w:r>
      <w:r w:rsidR="00EE115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Annexure IV).</w:t>
      </w:r>
      <w:r w:rsidRPr="00102A6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The project starting from November, 2015 was of one and a half year duration.</w:t>
      </w:r>
    </w:p>
    <w:p w:rsidR="00A0380E" w:rsidRPr="00FD1754" w:rsidRDefault="00A0380E" w:rsidP="00A0380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02A69">
        <w:rPr>
          <w:rFonts w:ascii="Times New Roman" w:hAnsi="Times New Roman"/>
          <w:sz w:val="24"/>
          <w:szCs w:val="24"/>
        </w:rPr>
        <w:t xml:space="preserve">The organization activities- meetings/workshops </w:t>
      </w:r>
      <w:r>
        <w:rPr>
          <w:rFonts w:ascii="Times New Roman" w:hAnsi="Times New Roman"/>
          <w:sz w:val="24"/>
          <w:szCs w:val="24"/>
        </w:rPr>
        <w:t>(preparatory) for implementing public a</w:t>
      </w:r>
      <w:r w:rsidRPr="00102A69">
        <w:rPr>
          <w:rFonts w:ascii="Times New Roman" w:hAnsi="Times New Roman"/>
          <w:sz w:val="24"/>
          <w:szCs w:val="24"/>
        </w:rPr>
        <w:t xml:space="preserve">wareness (including Media Plan) throughout North East </w:t>
      </w:r>
      <w:r w:rsidRPr="00FD1754">
        <w:rPr>
          <w:rFonts w:ascii="Times New Roman" w:hAnsi="Times New Roman"/>
          <w:sz w:val="24"/>
          <w:szCs w:val="24"/>
        </w:rPr>
        <w:t>Region were</w:t>
      </w:r>
      <w:r w:rsidRPr="00102A69">
        <w:rPr>
          <w:rFonts w:ascii="Times New Roman" w:hAnsi="Times New Roman"/>
          <w:sz w:val="24"/>
          <w:szCs w:val="24"/>
        </w:rPr>
        <w:t xml:space="preserve"> organized directly by NDMA with assistance from ASDMA Guwahati</w:t>
      </w:r>
      <w:r w:rsidRPr="00FD1754">
        <w:rPr>
          <w:rFonts w:ascii="Times New Roman" w:hAnsi="Times New Roman"/>
          <w:sz w:val="24"/>
          <w:szCs w:val="24"/>
        </w:rPr>
        <w:t>. Seismic Hazard–Risk Evaluation is currently under the priority research agenda of CSIR</w:t>
      </w:r>
      <w:r>
        <w:rPr>
          <w:rFonts w:ascii="Times New Roman" w:hAnsi="Times New Roman"/>
          <w:sz w:val="24"/>
          <w:szCs w:val="24"/>
        </w:rPr>
        <w:t>-</w:t>
      </w:r>
      <w:r w:rsidRPr="00FD1754">
        <w:rPr>
          <w:rFonts w:ascii="Times New Roman" w:hAnsi="Times New Roman"/>
          <w:sz w:val="24"/>
          <w:szCs w:val="24"/>
        </w:rPr>
        <w:t xml:space="preserve"> NEIST. The Institute is equipped with basic infrastructure and trained manpower </w:t>
      </w:r>
      <w:r>
        <w:rPr>
          <w:rFonts w:ascii="Times New Roman" w:hAnsi="Times New Roman"/>
          <w:sz w:val="24"/>
          <w:szCs w:val="24"/>
        </w:rPr>
        <w:t>for</w:t>
      </w:r>
      <w:r w:rsidRPr="00FD1754">
        <w:rPr>
          <w:rFonts w:ascii="Times New Roman" w:hAnsi="Times New Roman"/>
          <w:sz w:val="24"/>
          <w:szCs w:val="24"/>
        </w:rPr>
        <w:t xml:space="preserve"> monitoring t</w:t>
      </w:r>
      <w:r>
        <w:rPr>
          <w:rFonts w:ascii="Times New Roman" w:hAnsi="Times New Roman"/>
          <w:sz w:val="24"/>
          <w:szCs w:val="24"/>
        </w:rPr>
        <w:t>he seismicity of NE India on a r</w:t>
      </w:r>
      <w:r w:rsidRPr="00FD1754">
        <w:rPr>
          <w:rFonts w:ascii="Times New Roman" w:hAnsi="Times New Roman"/>
          <w:sz w:val="24"/>
          <w:szCs w:val="24"/>
        </w:rPr>
        <w:t>eal-time</w:t>
      </w:r>
      <w:r>
        <w:rPr>
          <w:rFonts w:ascii="Times New Roman" w:hAnsi="Times New Roman"/>
          <w:sz w:val="24"/>
          <w:szCs w:val="24"/>
        </w:rPr>
        <w:t xml:space="preserve"> basis and actively engaged in s</w:t>
      </w:r>
      <w:r w:rsidRPr="00FD1754">
        <w:rPr>
          <w:rFonts w:ascii="Times New Roman" w:hAnsi="Times New Roman"/>
          <w:sz w:val="24"/>
          <w:szCs w:val="24"/>
        </w:rPr>
        <w:t>eismic micro zonation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FD1754">
        <w:rPr>
          <w:rFonts w:ascii="Times New Roman" w:hAnsi="Times New Roman"/>
          <w:sz w:val="24"/>
          <w:szCs w:val="24"/>
        </w:rPr>
        <w:t>other risk reduction programs for the region. Over the years, NEIST has developed strong collaborative linkages with various State departments and Academic Institutions to intensify hazard risk reduction programs.</w:t>
      </w:r>
    </w:p>
    <w:p w:rsidR="00A0380E" w:rsidRPr="00FD1754" w:rsidRDefault="00A0380E" w:rsidP="00A0380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lastRenderedPageBreak/>
        <w:t>NEIST in partnership with NEC and State Disaster Management Authorities (SDMA) following the guidelines of NDMA formulated an action plan for strengthening the pre-disaster earthquake preparedness and mitigation programs. The NE consortium for Natural Hazard–Risk Reduction headed by NEC Shillong has decided to take up such programs more vigorously during for the 12</w:t>
      </w:r>
      <w:r w:rsidRPr="001064D9">
        <w:rPr>
          <w:rFonts w:ascii="Times New Roman" w:hAnsi="Times New Roman"/>
          <w:sz w:val="24"/>
          <w:szCs w:val="24"/>
          <w:vertAlign w:val="superscript"/>
        </w:rPr>
        <w:t>th</w:t>
      </w:r>
      <w:r w:rsidRPr="00FD1754">
        <w:rPr>
          <w:rFonts w:ascii="Times New Roman" w:hAnsi="Times New Roman"/>
          <w:sz w:val="24"/>
          <w:szCs w:val="24"/>
        </w:rPr>
        <w:t xml:space="preserve"> FYP. The expert group has identified Action Plan with the following major points:</w:t>
      </w:r>
    </w:p>
    <w:p w:rsidR="00A0380E" w:rsidRPr="00FD1754" w:rsidRDefault="00A0380E" w:rsidP="00A038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bCs/>
          <w:sz w:val="24"/>
          <w:szCs w:val="24"/>
        </w:rPr>
        <w:t>Phase wise expansion of the NEWSN (North East Wide Area Seismic Network), creation of seismic subnets &amp; intensive monitoring with the involvement of State Agencies. Update information on active source zones/tectonic lineaments.</w:t>
      </w:r>
    </w:p>
    <w:p w:rsidR="00A0380E" w:rsidRPr="00FD1754" w:rsidRDefault="00A0380E" w:rsidP="00A038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bCs/>
          <w:sz w:val="24"/>
          <w:szCs w:val="24"/>
        </w:rPr>
        <w:t>Site Specific Seismic Early Warning &amp; Hazard communication</w:t>
      </w:r>
    </w:p>
    <w:p w:rsidR="00A0380E" w:rsidRPr="00FD1754" w:rsidRDefault="00A0380E" w:rsidP="00A038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bCs/>
          <w:sz w:val="24"/>
          <w:szCs w:val="24"/>
        </w:rPr>
        <w:t>Identification of precursory phenomena &amp; involvement of School/College students &amp; teachers to support scientific community</w:t>
      </w:r>
    </w:p>
    <w:p w:rsidR="00A0380E" w:rsidRPr="00FD1754" w:rsidRDefault="00A0380E" w:rsidP="00A038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bCs/>
          <w:sz w:val="24"/>
          <w:szCs w:val="24"/>
        </w:rPr>
        <w:t>Adoption of Seismic Micro zoning procedures for NE State capitals &amp; other popu</w:t>
      </w:r>
      <w:r>
        <w:rPr>
          <w:rFonts w:ascii="Times New Roman" w:hAnsi="Times New Roman"/>
          <w:bCs/>
          <w:sz w:val="24"/>
          <w:szCs w:val="24"/>
        </w:rPr>
        <w:t>lated urban areas. Creation of s</w:t>
      </w:r>
      <w:r w:rsidRPr="00FD1754">
        <w:rPr>
          <w:rFonts w:ascii="Times New Roman" w:hAnsi="Times New Roman"/>
          <w:bCs/>
          <w:sz w:val="24"/>
          <w:szCs w:val="24"/>
        </w:rPr>
        <w:t>cenario earthquakes for Hazard-risk vulnerability assessment</w:t>
      </w:r>
    </w:p>
    <w:p w:rsidR="00A0380E" w:rsidRPr="00FD1754" w:rsidRDefault="00A0380E" w:rsidP="00A038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bCs/>
          <w:sz w:val="24"/>
          <w:szCs w:val="24"/>
        </w:rPr>
        <w:t>Involvement of locally available tra</w:t>
      </w:r>
      <w:r>
        <w:rPr>
          <w:rFonts w:ascii="Times New Roman" w:hAnsi="Times New Roman"/>
          <w:bCs/>
          <w:sz w:val="24"/>
          <w:szCs w:val="24"/>
        </w:rPr>
        <w:t>ined manpower to intensify the hazard reduction and p</w:t>
      </w:r>
      <w:r w:rsidRPr="00FD1754">
        <w:rPr>
          <w:rFonts w:ascii="Times New Roman" w:hAnsi="Times New Roman"/>
          <w:bCs/>
          <w:sz w:val="24"/>
          <w:szCs w:val="24"/>
        </w:rPr>
        <w:t>ublic awareness programs.</w:t>
      </w:r>
    </w:p>
    <w:p w:rsidR="00A0380E" w:rsidRDefault="00A0380E" w:rsidP="00A0380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t xml:space="preserve">Keeping the above into consideration CSIR-NEIST in association with NDMA implemented the scenario exercise for a repeat of the M.8.7 Shillong Earthquake to assess the anticipated impact on the North Eastern States. </w:t>
      </w:r>
    </w:p>
    <w:p w:rsidR="00A0380E" w:rsidRPr="00A421F1" w:rsidRDefault="00A0380E" w:rsidP="00A421F1">
      <w:pPr>
        <w:pStyle w:val="Heading2"/>
      </w:pPr>
      <w:r w:rsidRPr="00A421F1">
        <w:t xml:space="preserve">1.1 Need of the Project </w:t>
      </w:r>
    </w:p>
    <w:p w:rsidR="00A0380E" w:rsidRPr="005047BB" w:rsidRDefault="00A0380E" w:rsidP="00A0380E">
      <w:pPr>
        <w:rPr>
          <w:sz w:val="4"/>
        </w:rPr>
      </w:pPr>
      <w:r>
        <w:rPr>
          <w:sz w:val="4"/>
        </w:rPr>
        <w:t>7</w:t>
      </w:r>
    </w:p>
    <w:p w:rsidR="00A0380E" w:rsidRPr="005047BB" w:rsidRDefault="00A0380E" w:rsidP="00A0380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40426">
        <w:rPr>
          <w:rFonts w:ascii="Times New Roman" w:hAnsi="Times New Roman"/>
          <w:sz w:val="24"/>
          <w:szCs w:val="24"/>
        </w:rPr>
        <w:t>Being situated in the seismically active zone the North Eastern region is vulnerable to high intensity earthquakes which can lead to massive destruction of the social</w:t>
      </w:r>
      <w:r>
        <w:rPr>
          <w:rFonts w:ascii="Times New Roman" w:hAnsi="Times New Roman"/>
          <w:sz w:val="24"/>
          <w:szCs w:val="24"/>
        </w:rPr>
        <w:t>, e</w:t>
      </w:r>
      <w:r w:rsidRPr="00C40426">
        <w:rPr>
          <w:rFonts w:ascii="Times New Roman" w:hAnsi="Times New Roman"/>
          <w:sz w:val="24"/>
          <w:szCs w:val="24"/>
        </w:rPr>
        <w:t>conomicas well as the ecological condition of the State. The rapid increas</w:t>
      </w:r>
      <w:r>
        <w:rPr>
          <w:rFonts w:ascii="Times New Roman" w:hAnsi="Times New Roman"/>
          <w:sz w:val="24"/>
          <w:szCs w:val="24"/>
        </w:rPr>
        <w:t xml:space="preserve">e </w:t>
      </w:r>
      <w:r w:rsidRPr="00C40426">
        <w:rPr>
          <w:rFonts w:ascii="Times New Roman" w:hAnsi="Times New Roman"/>
          <w:sz w:val="24"/>
          <w:szCs w:val="24"/>
        </w:rPr>
        <w:t>of population and urbanization has changed the building typology as the traditional houses and bu</w:t>
      </w:r>
      <w:r w:rsidR="00FE5926">
        <w:rPr>
          <w:rFonts w:ascii="Times New Roman" w:hAnsi="Times New Roman"/>
          <w:sz w:val="24"/>
          <w:szCs w:val="24"/>
        </w:rPr>
        <w:t>ildings have been replaced by non</w:t>
      </w:r>
      <w:r>
        <w:rPr>
          <w:rFonts w:ascii="Times New Roman" w:hAnsi="Times New Roman"/>
          <w:sz w:val="24"/>
          <w:szCs w:val="24"/>
        </w:rPr>
        <w:t>-</w:t>
      </w:r>
      <w:r w:rsidRPr="00C40426">
        <w:rPr>
          <w:rFonts w:ascii="Times New Roman" w:hAnsi="Times New Roman"/>
          <w:sz w:val="24"/>
          <w:szCs w:val="24"/>
        </w:rPr>
        <w:t>engineered concrete structures to accommodate the population. The change in the building typology taken with the high seismic vulnerability of the region presents a very damaging scenario in the event of an earthquake of high</w:t>
      </w:r>
      <w:r w:rsidR="00FE5926">
        <w:rPr>
          <w:rFonts w:ascii="Times New Roman" w:hAnsi="Times New Roman"/>
          <w:sz w:val="24"/>
          <w:szCs w:val="24"/>
        </w:rPr>
        <w:t xml:space="preserve"> intensity</w:t>
      </w:r>
      <w:r w:rsidRPr="00C4042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In an effort to provide an in-depth knowledge of the likely financial and human lives losses, so as to validate the need to develop mitigation strategies to reduce the impact the science of </w:t>
      </w:r>
      <w:r>
        <w:rPr>
          <w:rFonts w:ascii="Times New Roman" w:hAnsi="Times New Roman"/>
          <w:sz w:val="24"/>
          <w:szCs w:val="24"/>
        </w:rPr>
        <w:lastRenderedPageBreak/>
        <w:t>earthquake scenario has been developed in the recent past. A</w:t>
      </w:r>
      <w:r w:rsidRPr="00C40426">
        <w:rPr>
          <w:rFonts w:ascii="Times New Roman" w:hAnsi="Times New Roman"/>
          <w:sz w:val="24"/>
          <w:szCs w:val="24"/>
        </w:rPr>
        <w:t xml:space="preserve"> hypothetical earthquake scenario for the 1897 Shillong earthquake </w:t>
      </w:r>
      <w:r>
        <w:rPr>
          <w:rFonts w:ascii="Times New Roman" w:hAnsi="Times New Roman"/>
          <w:sz w:val="24"/>
          <w:szCs w:val="24"/>
        </w:rPr>
        <w:t xml:space="preserve">was developed </w:t>
      </w:r>
      <w:r w:rsidRPr="00C40426">
        <w:rPr>
          <w:rFonts w:ascii="Times New Roman" w:hAnsi="Times New Roman"/>
          <w:sz w:val="24"/>
          <w:szCs w:val="24"/>
        </w:rPr>
        <w:t>to see the capacity of the state to handle such massive earthquakes</w:t>
      </w:r>
      <w:r w:rsidRPr="00B84638">
        <w:rPr>
          <w:sz w:val="23"/>
          <w:szCs w:val="23"/>
        </w:rPr>
        <w:t xml:space="preserve">. A </w:t>
      </w:r>
      <w:r w:rsidRPr="00C40426">
        <w:rPr>
          <w:rFonts w:ascii="Times New Roman" w:hAnsi="Times New Roman"/>
          <w:sz w:val="24"/>
          <w:szCs w:val="24"/>
        </w:rPr>
        <w:t>well-crafted earthquake scenario provides a powerful tool to draft the mitigation policies and set priorities that will systematically reduce the impact of the earthquakes. Keeping the above into consideration NDMA entrusted CSIR-NEIST to implement the scenario simulation exercise for a sequel of the M.8.7 Shillong Earthquake to assess the anticipated impact on the North Eastern states</w:t>
      </w:r>
      <w:r>
        <w:rPr>
          <w:rFonts w:ascii="Times New Roman" w:hAnsi="Times New Roman"/>
          <w:sz w:val="24"/>
          <w:szCs w:val="24"/>
        </w:rPr>
        <w:t>.</w:t>
      </w:r>
    </w:p>
    <w:p w:rsidR="00A0380E" w:rsidRDefault="00A0380E" w:rsidP="00A421F1">
      <w:pPr>
        <w:pStyle w:val="Heading2"/>
      </w:pPr>
      <w:r>
        <w:t xml:space="preserve">1.2 </w:t>
      </w:r>
      <w:r w:rsidRPr="001A28D3">
        <w:t>Objectives of the Project</w:t>
      </w:r>
    </w:p>
    <w:p w:rsidR="00A0380E" w:rsidRPr="001A28D3" w:rsidRDefault="00A0380E" w:rsidP="00A0380E">
      <w:pPr>
        <w:ind w:left="360"/>
        <w:rPr>
          <w:sz w:val="4"/>
        </w:rPr>
      </w:pPr>
    </w:p>
    <w:p w:rsidR="00A0380E" w:rsidRPr="00FD1754" w:rsidRDefault="00A0380E" w:rsidP="00A0380E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t xml:space="preserve">The objectives of the Project M 8.7 Shillong 1897 Earthquake Scenario: NE Multi –State Preparedness Campaign were: 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Understand the direct and indirect consequences of a big Earthquakes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To assess multi-state earth quake disaster preparedness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To evaluate the State/District Disaster Management Plans and Identify Gaps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To identify and generate the greater level of awareness in community about the vulnerability of the region to high magnitude earthquake for risk reduction.</w:t>
      </w:r>
    </w:p>
    <w:p w:rsidR="00A0380E" w:rsidRDefault="00A0380E" w:rsidP="00A0380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t xml:space="preserve">To generate awareness amongst the stakeholders and community about an earthquake of high magnitude to see the functioning of SDMAs and allied agencies during the disastrous situation </w:t>
      </w:r>
    </w:p>
    <w:p w:rsidR="00A0380E" w:rsidRDefault="00A0380E" w:rsidP="00A0380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1754">
        <w:rPr>
          <w:rFonts w:ascii="Times New Roman" w:hAnsi="Times New Roman"/>
          <w:sz w:val="24"/>
          <w:szCs w:val="24"/>
        </w:rPr>
        <w:t xml:space="preserve">To facilitate inter-department and inter-state coordination in order to ensure organized and structured mechanism during the time of disaster. 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Updating Response Plans at Various levels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Mass Casualty Management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Coordination between SDMAs, CSIR-NEIST and NDMA and all other stakeholders</w:t>
      </w:r>
    </w:p>
    <w:p w:rsidR="00A0380E" w:rsidRDefault="00A0380E" w:rsidP="00A038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12F7">
        <w:rPr>
          <w:rFonts w:ascii="Times New Roman" w:hAnsi="Times New Roman"/>
          <w:sz w:val="24"/>
          <w:szCs w:val="24"/>
        </w:rPr>
        <w:t>Generate greater Awareness in the region</w:t>
      </w:r>
    </w:p>
    <w:p w:rsidR="00A0380E" w:rsidRPr="004C3282" w:rsidRDefault="00A0380E" w:rsidP="00A0380E">
      <w:pPr>
        <w:pStyle w:val="ListParagraph"/>
        <w:spacing w:line="360" w:lineRule="auto"/>
        <w:jc w:val="both"/>
        <w:rPr>
          <w:rFonts w:ascii="Times New Roman" w:hAnsi="Times New Roman"/>
          <w:sz w:val="2"/>
          <w:szCs w:val="24"/>
        </w:rPr>
      </w:pPr>
    </w:p>
    <w:p w:rsidR="00A0380E" w:rsidRDefault="00A0380E" w:rsidP="00A421F1">
      <w:pPr>
        <w:pStyle w:val="Heading2"/>
      </w:pPr>
      <w:r>
        <w:t xml:space="preserve">1.3 Expected deliverables from the Project </w:t>
      </w:r>
    </w:p>
    <w:p w:rsidR="00A0380E" w:rsidRPr="001A28D3" w:rsidRDefault="00A0380E" w:rsidP="00A0380E">
      <w:pPr>
        <w:spacing w:line="360" w:lineRule="auto"/>
        <w:rPr>
          <w:sz w:val="6"/>
        </w:rPr>
      </w:pPr>
    </w:p>
    <w:p w:rsidR="00A0380E" w:rsidRDefault="00A0380E" w:rsidP="00A0380E">
      <w:pPr>
        <w:spacing w:line="360" w:lineRule="auto"/>
        <w:rPr>
          <w:rFonts w:ascii="Times New Roman" w:hAnsi="Times New Roman"/>
        </w:rPr>
      </w:pPr>
      <w:r w:rsidRPr="00371126">
        <w:rPr>
          <w:rFonts w:ascii="Times New Roman" w:hAnsi="Times New Roman"/>
        </w:rPr>
        <w:t>Based on the guided framework to cater to the expected deliverables of the project the following table is presented representing the key activities</w:t>
      </w:r>
    </w:p>
    <w:p w:rsidR="00BF0890" w:rsidRDefault="00BF0890" w:rsidP="00A0380E">
      <w:pPr>
        <w:spacing w:line="360" w:lineRule="auto"/>
        <w:rPr>
          <w:rFonts w:ascii="Times New Roman" w:hAnsi="Times New Roman"/>
          <w:b/>
        </w:rPr>
      </w:pPr>
    </w:p>
    <w:p w:rsidR="00A421F1" w:rsidRDefault="00A421F1" w:rsidP="00A0380E">
      <w:pPr>
        <w:spacing w:line="360" w:lineRule="auto"/>
        <w:rPr>
          <w:rFonts w:ascii="Times New Roman" w:hAnsi="Times New Roman"/>
          <w:b/>
        </w:rPr>
      </w:pPr>
    </w:p>
    <w:p w:rsidR="00A0380E" w:rsidRPr="00C12359" w:rsidRDefault="00D87E1C" w:rsidP="00DB14B3">
      <w:r w:rsidRPr="00C12359">
        <w:rPr>
          <w:rFonts w:ascii="Times New Roman" w:hAnsi="Times New Roman"/>
          <w:b/>
        </w:rPr>
        <w:lastRenderedPageBreak/>
        <w:t xml:space="preserve">Table 1.1: Activities </w:t>
      </w:r>
      <w:r w:rsidR="00A0380E" w:rsidRPr="00C12359">
        <w:rPr>
          <w:rFonts w:ascii="Times New Roman" w:hAnsi="Times New Roman"/>
          <w:b/>
        </w:rPr>
        <w:t xml:space="preserve">of </w:t>
      </w:r>
      <w:bookmarkStart w:id="0" w:name="_GoBack"/>
      <w:bookmarkEnd w:id="0"/>
      <w:r w:rsidR="00A0380E" w:rsidRPr="00C12359">
        <w:rPr>
          <w:rFonts w:ascii="Times New Roman" w:hAnsi="Times New Roman"/>
          <w:b/>
        </w:rPr>
        <w:t>the Project as per MoU</w:t>
      </w:r>
      <w:r w:rsidR="00DB14B3" w:rsidRPr="00C12359">
        <w:rPr>
          <w:rFonts w:ascii="Times New Roman" w:hAnsi="Times New Roman"/>
          <w:b/>
        </w:rPr>
        <w:t xml:space="preserve"> of the Project as per MoU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6"/>
        <w:gridCol w:w="3062"/>
        <w:gridCol w:w="990"/>
        <w:gridCol w:w="990"/>
        <w:gridCol w:w="900"/>
        <w:gridCol w:w="900"/>
        <w:gridCol w:w="900"/>
        <w:gridCol w:w="900"/>
      </w:tblGrid>
      <w:tr w:rsidR="00A0380E" w:rsidRPr="00D87E1C" w:rsidTr="00A61968">
        <w:trPr>
          <w:trHeight w:val="130"/>
        </w:trPr>
        <w:tc>
          <w:tcPr>
            <w:tcW w:w="826" w:type="dxa"/>
            <w:vMerge w:val="restart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Sr.No</w:t>
            </w:r>
          </w:p>
        </w:tc>
        <w:tc>
          <w:tcPr>
            <w:tcW w:w="3062" w:type="dxa"/>
            <w:vMerge w:val="restart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 xml:space="preserve">Activity /Deliverable </w:t>
            </w:r>
          </w:p>
        </w:tc>
        <w:tc>
          <w:tcPr>
            <w:tcW w:w="5580" w:type="dxa"/>
            <w:gridSpan w:val="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Time line (Each quarter -3 months )</w:t>
            </w:r>
          </w:p>
        </w:tc>
      </w:tr>
      <w:tr w:rsidR="00A0380E" w:rsidRPr="00D87E1C" w:rsidTr="00C12359">
        <w:trPr>
          <w:trHeight w:val="161"/>
        </w:trPr>
        <w:tc>
          <w:tcPr>
            <w:tcW w:w="826" w:type="dxa"/>
            <w:vMerge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3062" w:type="dxa"/>
            <w:vMerge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QTR-1</w:t>
            </w: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QTR-2</w:t>
            </w: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QTR-3</w:t>
            </w: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QTR-4</w:t>
            </w: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QTR-5</w:t>
            </w: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QTR-6</w:t>
            </w:r>
          </w:p>
        </w:tc>
      </w:tr>
      <w:tr w:rsidR="00A0380E" w:rsidRPr="00D87E1C" w:rsidTr="00A61968">
        <w:trPr>
          <w:trHeight w:val="1817"/>
        </w:trPr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eastAsia="Calibri" w:hAnsi="Times New Roman"/>
                <w:sz w:val="20"/>
              </w:rPr>
              <w:t>Scenario Development for repeat of M 8.7 1897 earthquake for the NE region (Interpretation of isoseismals of 1897 Shillong earthquake in MSK scale list of districts having various intensity levels</w:t>
            </w:r>
            <w:r w:rsidRPr="00D87E1C">
              <w:rPr>
                <w:rFonts w:ascii="Times New Roman" w:hAnsi="Times New Roman"/>
                <w:sz w:val="20"/>
              </w:rPr>
              <w:t xml:space="preserve">) </w:t>
            </w:r>
          </w:p>
        </w:tc>
        <w:tc>
          <w:tcPr>
            <w:tcW w:w="990" w:type="dxa"/>
            <w:shd w:val="clear" w:color="auto" w:fill="E36C0A" w:themeFill="accent6" w:themeFillShade="BF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 xml:space="preserve">Assessment of direct and indirect consequences due to repeat of M 8.7 Shillong earthquake in the region </w:t>
            </w:r>
          </w:p>
        </w:tc>
        <w:tc>
          <w:tcPr>
            <w:tcW w:w="990" w:type="dxa"/>
            <w:shd w:val="clear" w:color="auto" w:fill="00B0F0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Vulnerability assessment of the critical lifeline buildings training of state government engineers on Rapid Visual Screening</w:t>
            </w:r>
          </w:p>
        </w:tc>
        <w:tc>
          <w:tcPr>
            <w:tcW w:w="990" w:type="dxa"/>
            <w:shd w:val="clear" w:color="auto" w:fill="92D050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 xml:space="preserve">Facilitation of earthquake scenario information to NE States Viz. mass awareness generation, conduct of Capacity development </w:t>
            </w:r>
            <w:r w:rsidR="00BF0890" w:rsidRPr="00D87E1C">
              <w:rPr>
                <w:rFonts w:ascii="Times New Roman" w:hAnsi="Times New Roman"/>
                <w:sz w:val="20"/>
              </w:rPr>
              <w:t>Programs</w:t>
            </w:r>
            <w:r w:rsidRPr="00D87E1C">
              <w:rPr>
                <w:rFonts w:ascii="Times New Roman" w:hAnsi="Times New Roman"/>
                <w:sz w:val="20"/>
              </w:rPr>
              <w:t xml:space="preserve"> (IRS, TTX&amp; Mock drills) for planning of multistate disaster response and evaluation of inter-agency and interagency coordination mechanism </w:t>
            </w:r>
          </w:p>
        </w:tc>
        <w:tc>
          <w:tcPr>
            <w:tcW w:w="990" w:type="dxa"/>
            <w:shd w:val="clear" w:color="auto" w:fill="5F497A" w:themeFill="accent4" w:themeFillShade="BF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 xml:space="preserve">Conduct of Schools sensitization workshops </w:t>
            </w:r>
          </w:p>
        </w:tc>
        <w:tc>
          <w:tcPr>
            <w:tcW w:w="990" w:type="dxa"/>
            <w:shd w:val="clear" w:color="auto" w:fill="D99594" w:themeFill="accent2" w:themeFillTint="99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shd w:val="clear" w:color="auto" w:fill="D99594" w:themeFill="accent2" w:themeFillTint="99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D99594" w:themeFill="accent2" w:themeFillTint="99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 xml:space="preserve">Facilitation of conduct of multistate mega mock exercises –Gaps identification and subsequent integration of findings into scenario assessment report </w:t>
            </w:r>
          </w:p>
        </w:tc>
        <w:tc>
          <w:tcPr>
            <w:tcW w:w="990" w:type="dxa"/>
            <w:shd w:val="clear" w:color="auto" w:fill="C00000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shd w:val="clear" w:color="auto" w:fill="C00000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Mass awareness activities in each NE States on the Scenario and State wise report preparation</w:t>
            </w: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17365D" w:themeFill="text2" w:themeFillShade="BF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17365D" w:themeFill="text2" w:themeFillShade="BF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17365D" w:themeFill="text2" w:themeFillShade="BF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  <w:tr w:rsidR="00A0380E" w:rsidRPr="00D87E1C" w:rsidTr="00A61968">
        <w:tc>
          <w:tcPr>
            <w:tcW w:w="826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062" w:type="dxa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  <w:r w:rsidRPr="00D87E1C">
              <w:rPr>
                <w:rFonts w:ascii="Times New Roman" w:hAnsi="Times New Roman"/>
                <w:sz w:val="20"/>
              </w:rPr>
              <w:t>Process documentation and submission of final project report (Loss/damage estimation, lessons learnt)</w:t>
            </w:r>
          </w:p>
        </w:tc>
        <w:tc>
          <w:tcPr>
            <w:tcW w:w="990" w:type="dxa"/>
            <w:shd w:val="clear" w:color="auto" w:fill="B6DDE8" w:themeFill="accent5" w:themeFillTint="6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shd w:val="clear" w:color="auto" w:fill="B6DDE8" w:themeFill="accent5" w:themeFillTint="6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B6DDE8" w:themeFill="accent5" w:themeFillTint="6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B6DDE8" w:themeFill="accent5" w:themeFillTint="6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B6DDE8" w:themeFill="accent5" w:themeFillTint="6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  <w:tc>
          <w:tcPr>
            <w:tcW w:w="900" w:type="dxa"/>
            <w:shd w:val="clear" w:color="auto" w:fill="B6DDE8" w:themeFill="accent5" w:themeFillTint="66"/>
          </w:tcPr>
          <w:p w:rsidR="00A0380E" w:rsidRPr="00D87E1C" w:rsidRDefault="00A0380E" w:rsidP="00A61968">
            <w:pPr>
              <w:pStyle w:val="NoSpacing"/>
              <w:rPr>
                <w:rFonts w:ascii="Times New Roman" w:hAnsi="Times New Roman"/>
                <w:sz w:val="20"/>
              </w:rPr>
            </w:pPr>
          </w:p>
        </w:tc>
      </w:tr>
    </w:tbl>
    <w:p w:rsidR="00A0380E" w:rsidRPr="00C12359" w:rsidRDefault="00A0380E" w:rsidP="00C12359">
      <w:pPr>
        <w:spacing w:line="360" w:lineRule="auto"/>
        <w:rPr>
          <w:b/>
          <w:sz w:val="20"/>
        </w:rPr>
      </w:pPr>
      <w:r w:rsidRPr="00D87E1C">
        <w:rPr>
          <w:rFonts w:ascii="Times New Roman" w:hAnsi="Times New Roman"/>
          <w:b/>
          <w:sz w:val="20"/>
        </w:rPr>
        <w:t>Source: MoU signed between NDMA and CSIR-NEIST, Jorhat, 15th Nov, 2013</w:t>
      </w:r>
    </w:p>
    <w:p w:rsidR="00875644" w:rsidRDefault="00875644" w:rsidP="00DB14B3"/>
    <w:sectPr w:rsidR="00875644" w:rsidSect="00A03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7FA" w:rsidRDefault="00DB57FA" w:rsidP="00A0380E">
      <w:pPr>
        <w:spacing w:after="0" w:line="240" w:lineRule="auto"/>
      </w:pPr>
      <w:r>
        <w:separator/>
      </w:r>
    </w:p>
  </w:endnote>
  <w:endnote w:type="continuationSeparator" w:id="1">
    <w:p w:rsidR="00DB57FA" w:rsidRDefault="00DB57FA" w:rsidP="00A0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0E" w:rsidRDefault="00A038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994976"/>
      <w:docPartObj>
        <w:docPartGallery w:val="Page Numbers (Bottom of Page)"/>
        <w:docPartUnique/>
      </w:docPartObj>
    </w:sdtPr>
    <w:sdtContent>
      <w:p w:rsidR="00A0380E" w:rsidRDefault="00A6466C">
        <w:pPr>
          <w:pStyle w:val="Footer"/>
          <w:jc w:val="center"/>
        </w:pPr>
        <w:r>
          <w:fldChar w:fldCharType="begin"/>
        </w:r>
        <w:r w:rsidR="002E1F46">
          <w:instrText xml:space="preserve"> PAGE   \* MERGEFORMAT </w:instrText>
        </w:r>
        <w:r>
          <w:fldChar w:fldCharType="separate"/>
        </w:r>
        <w:r w:rsidR="00A421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93E90" w:rsidRDefault="00DB57FA" w:rsidP="00993E90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C6" w:rsidRDefault="00DB57FA">
    <w:pPr>
      <w:pStyle w:val="Footer"/>
      <w:jc w:val="center"/>
    </w:pPr>
  </w:p>
  <w:p w:rsidR="00EE69EA" w:rsidRDefault="00DB57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7FA" w:rsidRDefault="00DB57FA" w:rsidP="00A0380E">
      <w:pPr>
        <w:spacing w:after="0" w:line="240" w:lineRule="auto"/>
      </w:pPr>
      <w:r>
        <w:separator/>
      </w:r>
    </w:p>
  </w:footnote>
  <w:footnote w:type="continuationSeparator" w:id="1">
    <w:p w:rsidR="00DB57FA" w:rsidRDefault="00DB57FA" w:rsidP="00A03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0E" w:rsidRDefault="00A038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0E" w:rsidRDefault="00A038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80E" w:rsidRDefault="00A038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07D7"/>
    <w:multiLevelType w:val="hybridMultilevel"/>
    <w:tmpl w:val="C5980BF4"/>
    <w:lvl w:ilvl="0" w:tplc="15445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D22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A1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AB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D82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665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09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47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F3F49ED"/>
    <w:multiLevelType w:val="multilevel"/>
    <w:tmpl w:val="B7A26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72660368"/>
    <w:multiLevelType w:val="hybridMultilevel"/>
    <w:tmpl w:val="C330C4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80E"/>
    <w:rsid w:val="000F3B92"/>
    <w:rsid w:val="002A4E21"/>
    <w:rsid w:val="002E1F46"/>
    <w:rsid w:val="00414B2B"/>
    <w:rsid w:val="00525926"/>
    <w:rsid w:val="005E7B0E"/>
    <w:rsid w:val="006369CC"/>
    <w:rsid w:val="007346F7"/>
    <w:rsid w:val="00851C8E"/>
    <w:rsid w:val="00875644"/>
    <w:rsid w:val="00A0380E"/>
    <w:rsid w:val="00A421F1"/>
    <w:rsid w:val="00A55CE1"/>
    <w:rsid w:val="00A6466C"/>
    <w:rsid w:val="00BF0890"/>
    <w:rsid w:val="00C12359"/>
    <w:rsid w:val="00C74A12"/>
    <w:rsid w:val="00CD7213"/>
    <w:rsid w:val="00D87E1C"/>
    <w:rsid w:val="00DB14B3"/>
    <w:rsid w:val="00DB57FA"/>
    <w:rsid w:val="00EE1150"/>
    <w:rsid w:val="00F273E2"/>
    <w:rsid w:val="00FE5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CC"/>
  </w:style>
  <w:style w:type="paragraph" w:styleId="Heading1">
    <w:name w:val="heading 1"/>
    <w:basedOn w:val="Normal"/>
    <w:next w:val="Normal"/>
    <w:link w:val="Heading1Char"/>
    <w:uiPriority w:val="9"/>
    <w:qFormat/>
    <w:rsid w:val="00A0380E"/>
    <w:pPr>
      <w:keepNext/>
      <w:keepLines/>
      <w:spacing w:before="480" w:after="0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0E"/>
    <w:rPr>
      <w:rFonts w:ascii="Times New Roman" w:eastAsia="Times New Roman" w:hAnsi="Times New Roman" w:cs="Times New Roman"/>
      <w:b/>
      <w:bCs/>
      <w:color w:val="365F91"/>
      <w:sz w:val="28"/>
      <w:szCs w:val="28"/>
      <w:lang w:val="en-IN"/>
    </w:rPr>
  </w:style>
  <w:style w:type="paragraph" w:styleId="NoSpacing">
    <w:name w:val="No Spacing"/>
    <w:link w:val="NoSpacingChar"/>
    <w:uiPriority w:val="1"/>
    <w:qFormat/>
    <w:rsid w:val="00A0380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0380E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A0380E"/>
    <w:pPr>
      <w:ind w:left="720"/>
      <w:contextualSpacing/>
    </w:pPr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0380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0"/>
      <w:szCs w:val="20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A0380E"/>
    <w:rPr>
      <w:rFonts w:ascii="Calibri" w:eastAsia="Calibri" w:hAnsi="Calibri" w:cs="Times New Roman"/>
      <w:sz w:val="20"/>
      <w:szCs w:val="20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A038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0380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A03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80E"/>
  </w:style>
  <w:style w:type="character" w:customStyle="1" w:styleId="Heading2Char">
    <w:name w:val="Heading 2 Char"/>
    <w:basedOn w:val="DefaultParagraphFont"/>
    <w:link w:val="Heading2"/>
    <w:uiPriority w:val="9"/>
    <w:rsid w:val="00A42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GGD2</dc:creator>
  <cp:keywords/>
  <dc:description/>
  <cp:lastModifiedBy>GGD2</cp:lastModifiedBy>
  <cp:revision>10</cp:revision>
  <dcterms:created xsi:type="dcterms:W3CDTF">2016-08-05T08:51:00Z</dcterms:created>
  <dcterms:modified xsi:type="dcterms:W3CDTF">2016-08-08T10:10:00Z</dcterms:modified>
</cp:coreProperties>
</file>