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039" w:rsidRPr="00811C96" w:rsidRDefault="00917039" w:rsidP="00917039">
      <w:pPr>
        <w:pStyle w:val="Title"/>
        <w:spacing w:line="360" w:lineRule="auto"/>
        <w:ind w:left="720"/>
        <w:jc w:val="center"/>
        <w:rPr>
          <w:rFonts w:ascii="Times New Roman" w:hAnsi="Times New Roman" w:cs="Times New Roman"/>
        </w:rPr>
      </w:pPr>
      <w:r w:rsidRPr="001502EB">
        <w:rPr>
          <w:rFonts w:ascii="Times New Roman" w:hAnsi="Times New Roman" w:cs="Times New Roman"/>
        </w:rPr>
        <w:t>EVALUATION OF THE PROJECT</w:t>
      </w:r>
    </w:p>
    <w:p w:rsidR="00917039" w:rsidRDefault="00917039" w:rsidP="00917039">
      <w:pPr>
        <w:pStyle w:val="Heading1"/>
      </w:pPr>
      <w:r>
        <w:t xml:space="preserve">2 </w:t>
      </w:r>
      <w:r w:rsidRPr="00DA759B">
        <w:t>Objectives of Evaluation</w:t>
      </w:r>
    </w:p>
    <w:p w:rsidR="00917039" w:rsidRPr="00720F77" w:rsidRDefault="00917039" w:rsidP="00917039">
      <w:pPr>
        <w:rPr>
          <w:sz w:val="6"/>
        </w:rPr>
      </w:pPr>
    </w:p>
    <w:p w:rsidR="00917039" w:rsidRDefault="00917039" w:rsidP="00917039">
      <w:pPr>
        <w:spacing w:line="360" w:lineRule="auto"/>
        <w:jc w:val="both"/>
      </w:pPr>
      <w:r w:rsidRPr="008B749F">
        <w:rPr>
          <w:rFonts w:ascii="Times New Roman" w:hAnsi="Times New Roman"/>
          <w:sz w:val="24"/>
          <w:szCs w:val="24"/>
        </w:rPr>
        <w:t>The evaluation of the project has been carried out for following three main activities of the project</w:t>
      </w:r>
      <w:r>
        <w:rPr>
          <w:sz w:val="23"/>
          <w:szCs w:val="23"/>
        </w:rPr>
        <w:t>:</w:t>
      </w:r>
    </w:p>
    <w:p w:rsidR="00917039" w:rsidRPr="007B21D5" w:rsidRDefault="00917039" w:rsidP="00917039">
      <w:pPr>
        <w:pStyle w:val="Default"/>
        <w:numPr>
          <w:ilvl w:val="0"/>
          <w:numId w:val="2"/>
        </w:numPr>
        <w:spacing w:line="360" w:lineRule="auto"/>
        <w:jc w:val="both"/>
        <w:rPr>
          <w:color w:val="auto"/>
          <w:lang w:eastAsia="en-US"/>
        </w:rPr>
      </w:pPr>
      <w:r w:rsidRPr="008B749F">
        <w:rPr>
          <w:color w:val="auto"/>
          <w:lang w:eastAsia="en-US"/>
        </w:rPr>
        <w:t>Generating awareness, sensitization of stakeholders, rapid visual survey (RVS) trainings</w:t>
      </w:r>
      <w:r>
        <w:rPr>
          <w:color w:val="auto"/>
          <w:lang w:eastAsia="en-US"/>
        </w:rPr>
        <w:t xml:space="preserve">, mass casualty Management in schools and hospitals </w:t>
      </w:r>
      <w:r w:rsidRPr="008B749F">
        <w:rPr>
          <w:color w:val="auto"/>
          <w:lang w:eastAsia="en-US"/>
        </w:rPr>
        <w:t xml:space="preserve"> and capacity building of various stakeholders including State and district Level Nodal Officers from State Governments, Public Sector Organizations</w:t>
      </w:r>
      <w:r>
        <w:rPr>
          <w:color w:val="auto"/>
          <w:lang w:eastAsia="en-US"/>
        </w:rPr>
        <w:t xml:space="preserve"> and all related line departments.</w:t>
      </w:r>
    </w:p>
    <w:p w:rsidR="00917039" w:rsidRPr="00720F77" w:rsidRDefault="00917039" w:rsidP="00917039">
      <w:pPr>
        <w:pStyle w:val="Default"/>
        <w:spacing w:line="360" w:lineRule="auto"/>
        <w:jc w:val="both"/>
        <w:rPr>
          <w:color w:val="auto"/>
          <w:sz w:val="6"/>
          <w:lang w:eastAsia="en-US"/>
        </w:rPr>
      </w:pPr>
    </w:p>
    <w:p w:rsidR="00917039" w:rsidRDefault="00917039" w:rsidP="00917039">
      <w:pPr>
        <w:pStyle w:val="Default"/>
        <w:numPr>
          <w:ilvl w:val="0"/>
          <w:numId w:val="2"/>
        </w:numPr>
        <w:spacing w:line="360" w:lineRule="auto"/>
        <w:jc w:val="both"/>
      </w:pPr>
      <w:r w:rsidRPr="008B749F">
        <w:rPr>
          <w:color w:val="auto"/>
          <w:lang w:eastAsia="en-US"/>
        </w:rPr>
        <w:t xml:space="preserve">Capacity development trainings on Incident Response System, Table Top &amp; Mock exercises to sensitize officers/stakeholders across </w:t>
      </w:r>
      <w:r>
        <w:rPr>
          <w:color w:val="auto"/>
          <w:lang w:eastAsia="en-US"/>
        </w:rPr>
        <w:t xml:space="preserve">the eight North Eastern States namely </w:t>
      </w:r>
      <w:r>
        <w:t>states Assam, Arunachal Pradesh, Manipur, Mizoram, Meghalaya, Nagaland, Sikkim and Tripura</w:t>
      </w:r>
    </w:p>
    <w:p w:rsidR="00917039" w:rsidRPr="00720F77" w:rsidRDefault="00917039" w:rsidP="00917039">
      <w:pPr>
        <w:pStyle w:val="Default"/>
        <w:spacing w:line="360" w:lineRule="auto"/>
        <w:jc w:val="both"/>
        <w:rPr>
          <w:sz w:val="4"/>
        </w:rPr>
      </w:pPr>
    </w:p>
    <w:p w:rsidR="00917039" w:rsidRPr="00F17D5E" w:rsidRDefault="00917039" w:rsidP="00917039">
      <w:pPr>
        <w:pStyle w:val="Default"/>
        <w:numPr>
          <w:ilvl w:val="0"/>
          <w:numId w:val="2"/>
        </w:numPr>
        <w:spacing w:line="360" w:lineRule="auto"/>
        <w:jc w:val="both"/>
        <w:rPr>
          <w:color w:val="auto"/>
          <w:lang w:eastAsia="en-US"/>
        </w:rPr>
      </w:pPr>
      <w:r w:rsidRPr="00F17D5E">
        <w:rPr>
          <w:color w:val="auto"/>
          <w:lang w:eastAsia="en-US"/>
        </w:rPr>
        <w:t xml:space="preserve">Assessment of the multistate earthquake disaster preparedness and to evolve the coordinated evaluation of SDMAs and NDMA </w:t>
      </w:r>
    </w:p>
    <w:p w:rsidR="00917039" w:rsidRDefault="00917039" w:rsidP="00C11BDD">
      <w:pPr>
        <w:pStyle w:val="Heading2"/>
      </w:pPr>
      <w:r>
        <w:t xml:space="preserve">2.1 </w:t>
      </w:r>
      <w:r w:rsidRPr="00DA759B">
        <w:t>Methodology Adopted for Evaluation</w:t>
      </w:r>
    </w:p>
    <w:p w:rsidR="00917039" w:rsidRPr="000B15EF" w:rsidRDefault="00917039" w:rsidP="00917039">
      <w:pPr>
        <w:rPr>
          <w:sz w:val="2"/>
        </w:rPr>
      </w:pPr>
    </w:p>
    <w:p w:rsidR="00917039" w:rsidRPr="00FD1754" w:rsidRDefault="00917039" w:rsidP="00917039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FD1754">
        <w:rPr>
          <w:rFonts w:ascii="Times New Roman" w:hAnsi="Times New Roman"/>
          <w:bCs/>
          <w:sz w:val="24"/>
          <w:szCs w:val="24"/>
        </w:rPr>
        <w:t>The following methodology was adopted by IIPA to evaluate the activities undertaken by CSIR-NEIST</w:t>
      </w:r>
      <w:r w:rsidR="00C938CA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FC3CB7">
        <w:rPr>
          <w:rFonts w:ascii="Times New Roman" w:hAnsi="Times New Roman"/>
          <w:bCs/>
          <w:i/>
          <w:sz w:val="24"/>
          <w:szCs w:val="24"/>
        </w:rPr>
        <w:t>o</w:t>
      </w:r>
      <w:r w:rsidR="00C938CA">
        <w:rPr>
          <w:rFonts w:ascii="Times New Roman" w:hAnsi="Times New Roman"/>
          <w:bCs/>
          <w:i/>
          <w:sz w:val="24"/>
          <w:szCs w:val="24"/>
        </w:rPr>
        <w:t>n</w:t>
      </w:r>
      <w:r w:rsidRPr="006939D2">
        <w:rPr>
          <w:rFonts w:ascii="Times New Roman" w:hAnsi="Times New Roman"/>
          <w:bCs/>
          <w:i/>
          <w:sz w:val="24"/>
          <w:szCs w:val="24"/>
        </w:rPr>
        <w:t xml:space="preserve"> site</w:t>
      </w:r>
      <w:r>
        <w:rPr>
          <w:rFonts w:ascii="Times New Roman" w:hAnsi="Times New Roman"/>
          <w:bCs/>
          <w:sz w:val="24"/>
          <w:szCs w:val="24"/>
        </w:rPr>
        <w:t xml:space="preserve"> visit </w:t>
      </w:r>
      <w:r w:rsidRPr="00FC3CB7">
        <w:rPr>
          <w:rFonts w:ascii="Times New Roman" w:hAnsi="Times New Roman"/>
          <w:bCs/>
          <w:sz w:val="24"/>
          <w:szCs w:val="24"/>
        </w:rPr>
        <w:t xml:space="preserve">of </w:t>
      </w:r>
      <w:r w:rsidR="006939D2" w:rsidRPr="00FC3CB7">
        <w:rPr>
          <w:rFonts w:ascii="Times New Roman" w:hAnsi="Times New Roman"/>
          <w:bCs/>
          <w:sz w:val="24"/>
          <w:szCs w:val="24"/>
        </w:rPr>
        <w:t>Assam ,</w:t>
      </w:r>
      <w:r w:rsidRPr="00FC3CB7">
        <w:rPr>
          <w:rFonts w:ascii="Times New Roman" w:hAnsi="Times New Roman"/>
          <w:bCs/>
          <w:sz w:val="24"/>
          <w:szCs w:val="24"/>
        </w:rPr>
        <w:t xml:space="preserve"> Sikkim </w:t>
      </w:r>
      <w:r w:rsidR="006939D2" w:rsidRPr="00FC3CB7">
        <w:rPr>
          <w:rFonts w:ascii="Times New Roman" w:hAnsi="Times New Roman"/>
          <w:bCs/>
          <w:sz w:val="24"/>
          <w:szCs w:val="24"/>
        </w:rPr>
        <w:t>, Agartala and Imphal</w:t>
      </w:r>
      <w:r w:rsidR="00652597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was conducted by </w:t>
      </w:r>
      <w:r w:rsidRPr="00FD1754">
        <w:rPr>
          <w:rFonts w:ascii="Times New Roman" w:hAnsi="Times New Roman"/>
          <w:bCs/>
          <w:sz w:val="24"/>
          <w:szCs w:val="24"/>
        </w:rPr>
        <w:t>Prof. Vinod K.</w:t>
      </w:r>
      <w:r w:rsidR="00C938CA">
        <w:rPr>
          <w:rFonts w:ascii="Times New Roman" w:hAnsi="Times New Roman"/>
          <w:bCs/>
          <w:sz w:val="24"/>
          <w:szCs w:val="24"/>
        </w:rPr>
        <w:t xml:space="preserve"> </w:t>
      </w:r>
      <w:r w:rsidRPr="00FD1754">
        <w:rPr>
          <w:rFonts w:ascii="Times New Roman" w:hAnsi="Times New Roman"/>
          <w:bCs/>
          <w:sz w:val="24"/>
          <w:szCs w:val="24"/>
        </w:rPr>
        <w:t>Sharma a</w:t>
      </w:r>
      <w:r>
        <w:rPr>
          <w:rFonts w:ascii="Times New Roman" w:hAnsi="Times New Roman"/>
          <w:bCs/>
          <w:sz w:val="24"/>
          <w:szCs w:val="24"/>
        </w:rPr>
        <w:t>n</w:t>
      </w:r>
      <w:r w:rsidRPr="00FD1754">
        <w:rPr>
          <w:rFonts w:ascii="Times New Roman" w:hAnsi="Times New Roman"/>
          <w:bCs/>
          <w:sz w:val="24"/>
          <w:szCs w:val="24"/>
        </w:rPr>
        <w:t>d Dr.</w:t>
      </w:r>
      <w:r w:rsidR="00C938CA">
        <w:rPr>
          <w:rFonts w:ascii="Times New Roman" w:hAnsi="Times New Roman"/>
          <w:bCs/>
          <w:sz w:val="24"/>
          <w:szCs w:val="24"/>
        </w:rPr>
        <w:t xml:space="preserve"> </w:t>
      </w:r>
      <w:r w:rsidRPr="00FD1754">
        <w:rPr>
          <w:rFonts w:ascii="Times New Roman" w:hAnsi="Times New Roman"/>
          <w:bCs/>
          <w:sz w:val="24"/>
          <w:szCs w:val="24"/>
        </w:rPr>
        <w:t>Shyamli Singh</w:t>
      </w:r>
      <w:r>
        <w:rPr>
          <w:rFonts w:ascii="Times New Roman" w:hAnsi="Times New Roman"/>
          <w:bCs/>
          <w:sz w:val="24"/>
          <w:szCs w:val="24"/>
        </w:rPr>
        <w:t xml:space="preserve"> Project Director(s) </w:t>
      </w:r>
      <w:r w:rsidRPr="00FD1754">
        <w:rPr>
          <w:rFonts w:ascii="Times New Roman" w:hAnsi="Times New Roman"/>
          <w:bCs/>
          <w:sz w:val="24"/>
          <w:szCs w:val="24"/>
        </w:rPr>
        <w:t>for evaluation of the project “</w:t>
      </w:r>
      <w:r w:rsidRPr="00FD1754">
        <w:rPr>
          <w:rFonts w:ascii="Times New Roman" w:hAnsi="Times New Roman"/>
          <w:sz w:val="24"/>
          <w:szCs w:val="24"/>
        </w:rPr>
        <w:t xml:space="preserve">M 8.7 Shillong 1897 Earthquake </w:t>
      </w:r>
      <w:r w:rsidR="00E41185" w:rsidRPr="00FD1754">
        <w:rPr>
          <w:rFonts w:ascii="Times New Roman" w:hAnsi="Times New Roman"/>
          <w:sz w:val="24"/>
          <w:szCs w:val="24"/>
        </w:rPr>
        <w:t>Scenario:</w:t>
      </w:r>
      <w:r w:rsidRPr="00FD1754">
        <w:rPr>
          <w:rFonts w:ascii="Times New Roman" w:hAnsi="Times New Roman"/>
          <w:sz w:val="24"/>
          <w:szCs w:val="24"/>
        </w:rPr>
        <w:t xml:space="preserve"> NE Multi –State Preparedness Campaign”</w:t>
      </w:r>
      <w:r w:rsidRPr="00FD1754">
        <w:rPr>
          <w:rFonts w:ascii="Times New Roman" w:hAnsi="Times New Roman"/>
          <w:bCs/>
          <w:sz w:val="24"/>
          <w:szCs w:val="24"/>
        </w:rPr>
        <w:t xml:space="preserve">. They interacted with the stakeholders </w:t>
      </w:r>
      <w:r>
        <w:rPr>
          <w:rFonts w:ascii="Times New Roman" w:hAnsi="Times New Roman"/>
          <w:bCs/>
          <w:sz w:val="24"/>
          <w:szCs w:val="24"/>
        </w:rPr>
        <w:t>involved</w:t>
      </w:r>
      <w:r w:rsidRPr="00FD1754">
        <w:rPr>
          <w:rFonts w:ascii="Times New Roman" w:hAnsi="Times New Roman"/>
          <w:bCs/>
          <w:sz w:val="24"/>
          <w:szCs w:val="24"/>
        </w:rPr>
        <w:t xml:space="preserve"> in the different activities </w:t>
      </w:r>
      <w:r w:rsidRPr="00C41771">
        <w:rPr>
          <w:rFonts w:ascii="Times New Roman" w:hAnsi="Times New Roman"/>
          <w:bCs/>
          <w:i/>
          <w:sz w:val="24"/>
          <w:szCs w:val="24"/>
        </w:rPr>
        <w:t>viz.</w:t>
      </w:r>
      <w:r w:rsidR="00C938CA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FD1754">
        <w:rPr>
          <w:rFonts w:ascii="Times New Roman" w:hAnsi="Times New Roman"/>
          <w:bCs/>
          <w:sz w:val="24"/>
          <w:szCs w:val="24"/>
        </w:rPr>
        <w:t>CDP, RVS, IRS trainings, Mock drills, workshops, meetings</w:t>
      </w:r>
      <w:r w:rsidR="00652597">
        <w:rPr>
          <w:rFonts w:ascii="Times New Roman" w:hAnsi="Times New Roman"/>
          <w:bCs/>
          <w:sz w:val="24"/>
          <w:szCs w:val="24"/>
        </w:rPr>
        <w:t xml:space="preserve"> </w:t>
      </w:r>
      <w:r w:rsidRPr="00FD1754">
        <w:rPr>
          <w:rFonts w:ascii="Times New Roman" w:hAnsi="Times New Roman"/>
          <w:bCs/>
          <w:sz w:val="24"/>
          <w:szCs w:val="24"/>
        </w:rPr>
        <w:t>etc. The methodology followed for evaluation is as follows:</w:t>
      </w:r>
    </w:p>
    <w:p w:rsidR="00917039" w:rsidRPr="00FD1754" w:rsidRDefault="00917039" w:rsidP="00917039">
      <w:pPr>
        <w:spacing w:line="36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917039" w:rsidRDefault="00917039" w:rsidP="00917039">
      <w:pPr>
        <w:tabs>
          <w:tab w:val="left" w:pos="7393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520356" cy="4138863"/>
            <wp:effectExtent l="0" t="19050" r="80645" b="14605"/>
            <wp:docPr id="5" name="Diagra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17039" w:rsidRPr="000B15EF" w:rsidRDefault="00917039" w:rsidP="00917039">
      <w:pPr>
        <w:tabs>
          <w:tab w:val="left" w:pos="7393"/>
        </w:tabs>
        <w:spacing w:line="360" w:lineRule="auto"/>
        <w:jc w:val="center"/>
        <w:rPr>
          <w:rFonts w:ascii="Times New Roman" w:hAnsi="Times New Roman"/>
          <w:b/>
        </w:rPr>
      </w:pPr>
      <w:r w:rsidRPr="007547EA">
        <w:rPr>
          <w:rFonts w:ascii="Times New Roman" w:hAnsi="Times New Roman"/>
          <w:b/>
        </w:rPr>
        <w:t>Figure 2.1:  Evaluation methodology adopted by IIPA</w:t>
      </w:r>
    </w:p>
    <w:p w:rsidR="00917039" w:rsidRPr="00344879" w:rsidRDefault="00917039" w:rsidP="00C11BDD">
      <w:pPr>
        <w:pStyle w:val="Heading3"/>
      </w:pPr>
      <w:r>
        <w:t xml:space="preserve">2.1.1 </w:t>
      </w:r>
      <w:r w:rsidRPr="00344879">
        <w:t xml:space="preserve">Evaluation </w:t>
      </w:r>
      <w:r>
        <w:t xml:space="preserve">of project </w:t>
      </w:r>
    </w:p>
    <w:p w:rsidR="00917039" w:rsidRDefault="00917039" w:rsidP="0091703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FD1754">
        <w:rPr>
          <w:rFonts w:ascii="Times New Roman" w:hAnsi="Times New Roman"/>
          <w:color w:val="000000"/>
          <w:sz w:val="24"/>
          <w:szCs w:val="24"/>
        </w:rPr>
        <w:t xml:space="preserve">This evaluation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 w:rsidRPr="00FD1754">
        <w:rPr>
          <w:rFonts w:ascii="Times New Roman" w:hAnsi="Times New Roman"/>
          <w:color w:val="000000"/>
          <w:sz w:val="24"/>
          <w:szCs w:val="24"/>
        </w:rPr>
        <w:t xml:space="preserve"> based on well-established evaluation criteria as set out below (Methodological Framework for Evaluation) with the consultation of earthquake experts:</w:t>
      </w:r>
    </w:p>
    <w:p w:rsidR="00917039" w:rsidRPr="00FD1754" w:rsidRDefault="00917039" w:rsidP="0091703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D1754">
        <w:rPr>
          <w:rFonts w:ascii="Times New Roman" w:hAnsi="Times New Roman"/>
          <w:color w:val="000000"/>
          <w:sz w:val="24"/>
          <w:szCs w:val="24"/>
        </w:rPr>
        <w:t>Methodology used by CSIR-NEIST</w:t>
      </w:r>
    </w:p>
    <w:p w:rsidR="00917039" w:rsidRPr="00FD1754" w:rsidRDefault="00917039" w:rsidP="0091703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D1754">
        <w:rPr>
          <w:rFonts w:ascii="Times New Roman" w:hAnsi="Times New Roman"/>
          <w:color w:val="000000"/>
          <w:sz w:val="24"/>
          <w:szCs w:val="24"/>
        </w:rPr>
        <w:t>Relevance of the project with respect to capacity building and awareness generation</w:t>
      </w:r>
    </w:p>
    <w:p w:rsidR="00917039" w:rsidRPr="00FD1754" w:rsidRDefault="00917039" w:rsidP="0091703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D1754">
        <w:rPr>
          <w:rFonts w:ascii="Times New Roman" w:hAnsi="Times New Roman"/>
          <w:color w:val="000000"/>
          <w:sz w:val="24"/>
          <w:szCs w:val="24"/>
        </w:rPr>
        <w:t>Progress of the project and total outcome</w:t>
      </w:r>
    </w:p>
    <w:p w:rsidR="00917039" w:rsidRPr="00FD1754" w:rsidRDefault="00917039" w:rsidP="0091703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D1754">
        <w:rPr>
          <w:rFonts w:ascii="Times New Roman" w:hAnsi="Times New Roman"/>
          <w:color w:val="000000"/>
          <w:sz w:val="24"/>
          <w:szCs w:val="24"/>
        </w:rPr>
        <w:t xml:space="preserve">Fund utilization </w:t>
      </w:r>
    </w:p>
    <w:p w:rsidR="00917039" w:rsidRPr="00FD1754" w:rsidRDefault="00917039" w:rsidP="00917039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D1754">
        <w:rPr>
          <w:rFonts w:ascii="Times New Roman" w:hAnsi="Times New Roman"/>
          <w:color w:val="000000"/>
          <w:sz w:val="24"/>
          <w:szCs w:val="24"/>
        </w:rPr>
        <w:t>Over-all gain from the project</w:t>
      </w:r>
    </w:p>
    <w:p w:rsidR="00917039" w:rsidRPr="0086698E" w:rsidRDefault="00917039" w:rsidP="00C11BDD">
      <w:pPr>
        <w:pStyle w:val="Heading3"/>
      </w:pPr>
      <w:r w:rsidRPr="0086698E">
        <w:t xml:space="preserve">2.1.2 </w:t>
      </w:r>
      <w:r>
        <w:t>Evaluation</w:t>
      </w:r>
      <w:r w:rsidRPr="0086698E">
        <w:t xml:space="preserve"> outcome </w:t>
      </w:r>
    </w:p>
    <w:p w:rsidR="00917039" w:rsidRDefault="00917039" w:rsidP="0091703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D1754">
        <w:rPr>
          <w:rFonts w:ascii="Times New Roman" w:eastAsia="Arial Unicode MS" w:hAnsi="Times New Roman"/>
          <w:color w:val="000000"/>
          <w:sz w:val="24"/>
          <w:szCs w:val="24"/>
        </w:rPr>
        <w:t>After the preliminary survey, consultative discussion</w:t>
      </w:r>
      <w:r>
        <w:rPr>
          <w:rFonts w:ascii="Times New Roman" w:eastAsia="Arial Unicode MS" w:hAnsi="Times New Roman"/>
          <w:color w:val="000000"/>
          <w:sz w:val="24"/>
          <w:szCs w:val="24"/>
        </w:rPr>
        <w:t>s</w:t>
      </w:r>
      <w:r w:rsidRPr="00FD1754">
        <w:rPr>
          <w:rFonts w:ascii="Times New Roman" w:eastAsia="Arial Unicode MS" w:hAnsi="Times New Roman"/>
          <w:color w:val="000000"/>
          <w:sz w:val="24"/>
          <w:szCs w:val="24"/>
        </w:rPr>
        <w:t xml:space="preserve"> w</w:t>
      </w:r>
      <w:r>
        <w:rPr>
          <w:rFonts w:ascii="Times New Roman" w:eastAsia="Arial Unicode MS" w:hAnsi="Times New Roman"/>
          <w:color w:val="000000"/>
          <w:sz w:val="24"/>
          <w:szCs w:val="24"/>
        </w:rPr>
        <w:t>ere</w:t>
      </w:r>
      <w:r w:rsidRPr="00FD1754">
        <w:rPr>
          <w:rFonts w:ascii="Times New Roman" w:eastAsia="Arial Unicode MS" w:hAnsi="Times New Roman"/>
          <w:color w:val="000000"/>
          <w:sz w:val="24"/>
          <w:szCs w:val="24"/>
        </w:rPr>
        <w:t xml:space="preserve"> done and the parameters for evaluation were developed.  Based on the evaluation indicators/ criteria, a Google form attached</w:t>
      </w:r>
      <w:r w:rsidR="00C938CA">
        <w:rPr>
          <w:rFonts w:ascii="Times New Roman" w:eastAsia="Arial Unicode MS" w:hAnsi="Times New Roman"/>
          <w:color w:val="000000"/>
          <w:sz w:val="24"/>
          <w:szCs w:val="24"/>
        </w:rPr>
        <w:t xml:space="preserve"> </w:t>
      </w:r>
      <w:r w:rsidR="006939D2" w:rsidRPr="00FD1754">
        <w:rPr>
          <w:rFonts w:ascii="Times New Roman" w:eastAsia="Arial Unicode MS" w:hAnsi="Times New Roman"/>
          <w:color w:val="000000"/>
          <w:sz w:val="24"/>
          <w:szCs w:val="24"/>
        </w:rPr>
        <w:t>as</w:t>
      </w:r>
      <w:r w:rsidR="006939D2">
        <w:rPr>
          <w:rFonts w:ascii="Times New Roman" w:eastAsia="Arial Unicode MS" w:hAnsi="Times New Roman"/>
          <w:color w:val="000000"/>
          <w:sz w:val="24"/>
          <w:szCs w:val="24"/>
        </w:rPr>
        <w:t xml:space="preserve"> (Annexure I</w:t>
      </w:r>
      <w:r w:rsidRPr="002F630E">
        <w:rPr>
          <w:rFonts w:ascii="Times New Roman" w:eastAsia="Arial Unicode MS" w:hAnsi="Times New Roman"/>
          <w:color w:val="000000"/>
          <w:sz w:val="24"/>
          <w:szCs w:val="24"/>
        </w:rPr>
        <w:t>) was</w:t>
      </w:r>
      <w:r w:rsidRPr="00FD1754">
        <w:rPr>
          <w:rFonts w:ascii="Times New Roman" w:eastAsia="Arial Unicode MS" w:hAnsi="Times New Roman"/>
          <w:color w:val="000000"/>
          <w:sz w:val="24"/>
          <w:szCs w:val="24"/>
        </w:rPr>
        <w:t xml:space="preserve"> developed and designed to get the feedback of the stakeholders who had participated in the different programs organized under this project e.g CD</w:t>
      </w:r>
      <w:r>
        <w:rPr>
          <w:rFonts w:ascii="Times New Roman" w:eastAsia="Arial Unicode MS" w:hAnsi="Times New Roman"/>
          <w:color w:val="000000"/>
          <w:sz w:val="24"/>
          <w:szCs w:val="24"/>
        </w:rPr>
        <w:t>P</w:t>
      </w:r>
      <w:r w:rsidRPr="00FD1754">
        <w:rPr>
          <w:rFonts w:ascii="Times New Roman" w:eastAsia="Arial Unicode MS" w:hAnsi="Times New Roman"/>
          <w:color w:val="000000"/>
          <w:sz w:val="24"/>
          <w:szCs w:val="24"/>
        </w:rPr>
        <w:t xml:space="preserve">, </w:t>
      </w:r>
      <w:r>
        <w:rPr>
          <w:rFonts w:ascii="Times New Roman" w:eastAsia="Arial Unicode MS" w:hAnsi="Times New Roman"/>
          <w:color w:val="000000"/>
          <w:sz w:val="24"/>
          <w:szCs w:val="24"/>
        </w:rPr>
        <w:t>RVS</w:t>
      </w:r>
      <w:r w:rsidRPr="00FD1754">
        <w:rPr>
          <w:rFonts w:ascii="Times New Roman" w:eastAsia="Arial Unicode MS" w:hAnsi="Times New Roman"/>
          <w:color w:val="000000"/>
          <w:sz w:val="24"/>
          <w:szCs w:val="24"/>
        </w:rPr>
        <w:t>, School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S</w:t>
      </w:r>
      <w:r w:rsidRPr="00FD1754">
        <w:rPr>
          <w:rFonts w:ascii="Times New Roman" w:eastAsia="Arial Unicode MS" w:hAnsi="Times New Roman"/>
          <w:color w:val="000000"/>
          <w:sz w:val="24"/>
          <w:szCs w:val="24"/>
        </w:rPr>
        <w:t>ensitization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Workshop </w:t>
      </w:r>
      <w:r w:rsidRPr="00FD1754">
        <w:rPr>
          <w:rFonts w:ascii="Times New Roman" w:eastAsia="Arial Unicode MS" w:hAnsi="Times New Roman"/>
          <w:color w:val="000000"/>
          <w:sz w:val="24"/>
          <w:szCs w:val="24"/>
        </w:rPr>
        <w:t>or other earthquake awareness and disaster preparedness activities organized.</w:t>
      </w:r>
      <w:r w:rsidR="00C938CA">
        <w:rPr>
          <w:rFonts w:ascii="Times New Roman" w:eastAsia="Arial Unicode MS" w:hAnsi="Times New Roman"/>
          <w:color w:val="000000"/>
          <w:sz w:val="24"/>
          <w:szCs w:val="24"/>
        </w:rPr>
        <w:t xml:space="preserve"> </w:t>
      </w:r>
      <w:r w:rsidRPr="002A1A89">
        <w:rPr>
          <w:rFonts w:ascii="Times New Roman" w:hAnsi="Times New Roman"/>
          <w:sz w:val="24"/>
          <w:szCs w:val="24"/>
        </w:rPr>
        <w:t xml:space="preserve">The emails were circulated in the first week of April and the participants </w:t>
      </w:r>
      <w:r w:rsidRPr="002A1A89">
        <w:rPr>
          <w:rFonts w:ascii="Times New Roman" w:hAnsi="Times New Roman"/>
          <w:sz w:val="24"/>
          <w:szCs w:val="24"/>
        </w:rPr>
        <w:lastRenderedPageBreak/>
        <w:t>were also telephonically informed about the evaluation and the</w:t>
      </w:r>
      <w:r>
        <w:rPr>
          <w:rFonts w:ascii="Times New Roman" w:hAnsi="Times New Roman"/>
          <w:sz w:val="24"/>
          <w:szCs w:val="24"/>
        </w:rPr>
        <w:t xml:space="preserve"> procedure to fill up the</w:t>
      </w:r>
      <w:r w:rsidRPr="002A1A89">
        <w:rPr>
          <w:rFonts w:ascii="Times New Roman" w:hAnsi="Times New Roman"/>
          <w:sz w:val="24"/>
          <w:szCs w:val="24"/>
        </w:rPr>
        <w:t xml:space="preserve"> form.  The </w:t>
      </w:r>
      <w:r>
        <w:rPr>
          <w:rFonts w:ascii="Times New Roman" w:hAnsi="Times New Roman"/>
          <w:sz w:val="24"/>
          <w:szCs w:val="24"/>
        </w:rPr>
        <w:t xml:space="preserve">stakeholders </w:t>
      </w:r>
      <w:r w:rsidRPr="002A1A89">
        <w:rPr>
          <w:rFonts w:ascii="Times New Roman" w:hAnsi="Times New Roman"/>
          <w:sz w:val="24"/>
          <w:szCs w:val="24"/>
        </w:rPr>
        <w:t>were also given reminder mails and calls for submitting the forms</w:t>
      </w:r>
      <w:r>
        <w:rPr>
          <w:rFonts w:ascii="Times New Roman" w:hAnsi="Times New Roman"/>
          <w:sz w:val="24"/>
          <w:szCs w:val="24"/>
        </w:rPr>
        <w:t xml:space="preserve"> (Annexure V)</w:t>
      </w:r>
      <w:r w:rsidRPr="002A1A89">
        <w:rPr>
          <w:rFonts w:ascii="Times New Roman" w:hAnsi="Times New Roman"/>
          <w:sz w:val="24"/>
          <w:szCs w:val="24"/>
        </w:rPr>
        <w:t xml:space="preserve">. </w:t>
      </w:r>
    </w:p>
    <w:p w:rsidR="00917039" w:rsidRDefault="00917039" w:rsidP="00917039">
      <w:pPr>
        <w:spacing w:before="100" w:beforeAutospacing="1" w:after="100" w:afterAutospacing="1" w:line="360" w:lineRule="auto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 w:rsidRPr="00FD1754">
        <w:rPr>
          <w:rFonts w:ascii="Times New Roman" w:eastAsia="Arial Unicode MS" w:hAnsi="Times New Roman"/>
          <w:color w:val="000000"/>
          <w:sz w:val="24"/>
          <w:szCs w:val="24"/>
        </w:rPr>
        <w:t xml:space="preserve">Analyses of the responses facilitated in understanding the impact of these training, programs and workshops on the stakeholders and identify the gaps and help in formulating a strategy for disaster preparedness and mitigation in the NE states. </w:t>
      </w:r>
    </w:p>
    <w:p w:rsidR="00917039" w:rsidRDefault="00917039" w:rsidP="00C11BDD">
      <w:pPr>
        <w:pStyle w:val="Heading2"/>
        <w:rPr>
          <w:sz w:val="24"/>
          <w:szCs w:val="24"/>
        </w:rPr>
      </w:pPr>
      <w:r>
        <w:t xml:space="preserve">2.3 </w:t>
      </w:r>
      <w:r w:rsidRPr="00EA4BE2">
        <w:t>Timeline and Deliverables</w:t>
      </w:r>
    </w:p>
    <w:p w:rsidR="00917039" w:rsidRPr="004C3282" w:rsidRDefault="00917039" w:rsidP="00917039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duration of evaluation was for a period of 3 months starting from the month of February 2016 to May, 2016. The activities undertaken by IIPA after the signing of th</w:t>
      </w:r>
      <w:r w:rsidR="00C938CA">
        <w:rPr>
          <w:rFonts w:ascii="Times New Roman" w:hAnsi="Times New Roman"/>
          <w:sz w:val="24"/>
          <w:szCs w:val="24"/>
        </w:rPr>
        <w:t>e MoU is summarized below the G</w:t>
      </w:r>
      <w:r>
        <w:rPr>
          <w:rFonts w:ascii="Times New Roman" w:hAnsi="Times New Roman"/>
          <w:sz w:val="24"/>
          <w:szCs w:val="24"/>
        </w:rPr>
        <w:t>a</w:t>
      </w:r>
      <w:r w:rsidR="00C938CA">
        <w:rPr>
          <w:rFonts w:ascii="Times New Roman" w:hAnsi="Times New Roman"/>
          <w:sz w:val="24"/>
          <w:szCs w:val="24"/>
        </w:rPr>
        <w:t>n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tt chart. </w:t>
      </w:r>
    </w:p>
    <w:p w:rsidR="00917039" w:rsidRDefault="00917039" w:rsidP="00917039">
      <w:pPr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837422" cy="3166281"/>
            <wp:effectExtent l="19050" t="0" r="10928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17039" w:rsidRDefault="00917039" w:rsidP="00917039">
      <w:pPr>
        <w:spacing w:line="360" w:lineRule="auto"/>
        <w:jc w:val="center"/>
        <w:rPr>
          <w:rFonts w:ascii="Times New Roman" w:hAnsi="Times New Roman"/>
          <w:b/>
        </w:rPr>
      </w:pPr>
      <w:r w:rsidRPr="007547EA">
        <w:rPr>
          <w:rFonts w:ascii="Times New Roman" w:hAnsi="Times New Roman"/>
          <w:b/>
        </w:rPr>
        <w:t>Figure 2.</w:t>
      </w:r>
      <w:r w:rsidR="00680D88">
        <w:rPr>
          <w:rFonts w:ascii="Times New Roman" w:hAnsi="Times New Roman"/>
          <w:b/>
        </w:rPr>
        <w:t>2</w:t>
      </w:r>
      <w:r w:rsidRPr="007547EA">
        <w:rPr>
          <w:rFonts w:ascii="Times New Roman" w:hAnsi="Times New Roman"/>
          <w:b/>
        </w:rPr>
        <w:t>: Gantt chart of the Activities conducted</w:t>
      </w:r>
    </w:p>
    <w:p w:rsidR="00917039" w:rsidRDefault="00917039" w:rsidP="00917039"/>
    <w:p w:rsidR="00331702" w:rsidRDefault="00331702"/>
    <w:sectPr w:rsidR="00331702" w:rsidSect="0065259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20" w:footer="720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786" w:rsidRDefault="00E44786" w:rsidP="00917039">
      <w:pPr>
        <w:spacing w:after="0" w:line="240" w:lineRule="auto"/>
      </w:pPr>
      <w:r>
        <w:separator/>
      </w:r>
    </w:p>
  </w:endnote>
  <w:endnote w:type="continuationSeparator" w:id="0">
    <w:p w:rsidR="00E44786" w:rsidRDefault="00E44786" w:rsidP="0091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39" w:rsidRDefault="009170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3638568"/>
      <w:docPartObj>
        <w:docPartGallery w:val="Page Numbers (Bottom of Page)"/>
        <w:docPartUnique/>
      </w:docPartObj>
    </w:sdtPr>
    <w:sdtEndPr/>
    <w:sdtContent>
      <w:p w:rsidR="00917039" w:rsidRDefault="007A68A6">
        <w:pPr>
          <w:pStyle w:val="Footer"/>
          <w:jc w:val="center"/>
        </w:pPr>
        <w:r>
          <w:fldChar w:fldCharType="begin"/>
        </w:r>
        <w:r w:rsidR="00B15CEB">
          <w:instrText xml:space="preserve"> PAGE   \* MERGEFORMAT </w:instrText>
        </w:r>
        <w:r>
          <w:fldChar w:fldCharType="separate"/>
        </w:r>
        <w:r w:rsidR="00C938C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917039" w:rsidRDefault="009170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39" w:rsidRDefault="009170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786" w:rsidRDefault="00E44786" w:rsidP="00917039">
      <w:pPr>
        <w:spacing w:after="0" w:line="240" w:lineRule="auto"/>
      </w:pPr>
      <w:r>
        <w:separator/>
      </w:r>
    </w:p>
  </w:footnote>
  <w:footnote w:type="continuationSeparator" w:id="0">
    <w:p w:rsidR="00E44786" w:rsidRDefault="00E44786" w:rsidP="0091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39" w:rsidRDefault="009170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39" w:rsidRDefault="009170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39" w:rsidRDefault="009170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421E4"/>
    <w:multiLevelType w:val="hybridMultilevel"/>
    <w:tmpl w:val="BECC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B700B"/>
    <w:multiLevelType w:val="hybridMultilevel"/>
    <w:tmpl w:val="4FEA128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7039"/>
    <w:rsid w:val="00075EB2"/>
    <w:rsid w:val="00115601"/>
    <w:rsid w:val="00157646"/>
    <w:rsid w:val="00331702"/>
    <w:rsid w:val="0041372C"/>
    <w:rsid w:val="00490A7C"/>
    <w:rsid w:val="00652597"/>
    <w:rsid w:val="00680D88"/>
    <w:rsid w:val="006939D2"/>
    <w:rsid w:val="007A68A6"/>
    <w:rsid w:val="00907450"/>
    <w:rsid w:val="00917039"/>
    <w:rsid w:val="00992B71"/>
    <w:rsid w:val="00B15CEB"/>
    <w:rsid w:val="00C11BDD"/>
    <w:rsid w:val="00C11FBB"/>
    <w:rsid w:val="00C54EAF"/>
    <w:rsid w:val="00C938CA"/>
    <w:rsid w:val="00E41185"/>
    <w:rsid w:val="00E44786"/>
    <w:rsid w:val="00EC6104"/>
    <w:rsid w:val="00FB3F2B"/>
    <w:rsid w:val="00FB6067"/>
    <w:rsid w:val="00FC38BE"/>
    <w:rsid w:val="00FC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998BF8-9627-47AD-B469-C30AABE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EAF"/>
  </w:style>
  <w:style w:type="paragraph" w:styleId="Heading1">
    <w:name w:val="heading 1"/>
    <w:basedOn w:val="Normal"/>
    <w:next w:val="Normal"/>
    <w:link w:val="Heading1Char"/>
    <w:uiPriority w:val="9"/>
    <w:qFormat/>
    <w:rsid w:val="00917039"/>
    <w:pPr>
      <w:keepNext/>
      <w:keepLines/>
      <w:spacing w:before="480" w:after="0"/>
      <w:outlineLvl w:val="0"/>
    </w:pPr>
    <w:rPr>
      <w:rFonts w:ascii="Times New Roman" w:eastAsia="Times New Roman" w:hAnsi="Times New Roman" w:cs="Times New Roman"/>
      <w:b/>
      <w:bCs/>
      <w:color w:val="365F91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B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39"/>
    <w:rPr>
      <w:rFonts w:ascii="Times New Roman" w:eastAsia="Times New Roman" w:hAnsi="Times New Roman" w:cs="Times New Roman"/>
      <w:b/>
      <w:bCs/>
      <w:color w:val="365F91"/>
      <w:sz w:val="28"/>
      <w:szCs w:val="28"/>
      <w:lang w:val="en-IN"/>
    </w:rPr>
  </w:style>
  <w:style w:type="paragraph" w:customStyle="1" w:styleId="Default">
    <w:name w:val="Default"/>
    <w:rsid w:val="0091703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917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0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17039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0"/>
      <w:szCs w:val="52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91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7039"/>
  </w:style>
  <w:style w:type="paragraph" w:styleId="Footer">
    <w:name w:val="footer"/>
    <w:basedOn w:val="Normal"/>
    <w:link w:val="FooterChar"/>
    <w:uiPriority w:val="99"/>
    <w:unhideWhenUsed/>
    <w:rsid w:val="0091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39"/>
  </w:style>
  <w:style w:type="paragraph" w:styleId="BalloonText">
    <w:name w:val="Balloon Text"/>
    <w:basedOn w:val="Normal"/>
    <w:link w:val="BalloonTextChar"/>
    <w:uiPriority w:val="99"/>
    <w:semiHidden/>
    <w:unhideWhenUsed/>
    <w:rsid w:val="00EC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1B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1B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chart" Target="charts/chart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GGD2\Desttopfolder\desktop%208th%20%20June\GGD%20gnatt%20chart.xlsb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52163873027716745"/>
          <c:y val="8.5597257816656225E-2"/>
          <c:w val="0.46220669617369581"/>
          <c:h val="0.857524475739900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>
                    <a:latin typeface="+mj-lt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Sheet1!$A$2:$A$11</c:f>
              <c:strCache>
                <c:ptCount val="10"/>
                <c:pt idx="0">
                  <c:v>Signing of the MoU Between IIPA and NDMA </c:v>
                </c:pt>
                <c:pt idx="1">
                  <c:v>Preparation and Submission of the Inception Report </c:v>
                </c:pt>
                <c:pt idx="2">
                  <c:v>Received  Report submitted by CSIR-NEIST  </c:v>
                </c:pt>
                <c:pt idx="3">
                  <c:v>Development of Google questionnaire </c:v>
                </c:pt>
                <c:pt idx="4">
                  <c:v>Secondary data collection from NDMA and CSIR NEIST</c:v>
                </c:pt>
                <c:pt idx="5">
                  <c:v>Emailing the Google form  to the listed stakeholders and Follow up </c:v>
                </c:pt>
                <c:pt idx="6">
                  <c:v>Analysis of the data and report preparation </c:v>
                </c:pt>
                <c:pt idx="7">
                  <c:v>Consultative  meeting with the stakeholders of the project  at Assam  </c:v>
                </c:pt>
                <c:pt idx="8">
                  <c:v>Consultative  meeting with the stakeholders of the project  at Sikkim</c:v>
                </c:pt>
                <c:pt idx="9">
                  <c:v>Finalization and submission of the Report </c:v>
                </c:pt>
              </c:strCache>
            </c:strRef>
          </c:cat>
          <c:val>
            <c:numRef>
              <c:f>Sheet1!$B$2:$B$11</c:f>
              <c:numCache>
                <c:formatCode>[$-409]d\-mmm;@</c:formatCode>
                <c:ptCount val="10"/>
                <c:pt idx="0">
                  <c:v>42426</c:v>
                </c:pt>
                <c:pt idx="1">
                  <c:v>42427</c:v>
                </c:pt>
                <c:pt idx="2">
                  <c:v>42450</c:v>
                </c:pt>
                <c:pt idx="3">
                  <c:v>42451</c:v>
                </c:pt>
                <c:pt idx="4">
                  <c:v>42465</c:v>
                </c:pt>
                <c:pt idx="5">
                  <c:v>42466</c:v>
                </c:pt>
                <c:pt idx="6">
                  <c:v>42485</c:v>
                </c:pt>
                <c:pt idx="7">
                  <c:v>42487</c:v>
                </c:pt>
                <c:pt idx="8">
                  <c:v>42495</c:v>
                </c:pt>
                <c:pt idx="9">
                  <c:v>42513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End 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>
                    <a:latin typeface="+mj-lt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Sheet1!$A$2:$A$11</c:f>
              <c:strCache>
                <c:ptCount val="10"/>
                <c:pt idx="0">
                  <c:v>Signing of the MoU Between IIPA and NDMA </c:v>
                </c:pt>
                <c:pt idx="1">
                  <c:v>Preparation and Submission of the Inception Report </c:v>
                </c:pt>
                <c:pt idx="2">
                  <c:v>Received  Report submitted by CSIR-NEIST  </c:v>
                </c:pt>
                <c:pt idx="3">
                  <c:v>Development of Google questionnaire </c:v>
                </c:pt>
                <c:pt idx="4">
                  <c:v>Secondary data collection from NDMA and CSIR NEIST</c:v>
                </c:pt>
                <c:pt idx="5">
                  <c:v>Emailing the Google form  to the listed stakeholders and Follow up </c:v>
                </c:pt>
                <c:pt idx="6">
                  <c:v>Analysis of the data and report preparation </c:v>
                </c:pt>
                <c:pt idx="7">
                  <c:v>Consultative  meeting with the stakeholders of the project  at Assam  </c:v>
                </c:pt>
                <c:pt idx="8">
                  <c:v>Consultative  meeting with the stakeholders of the project  at Sikkim</c:v>
                </c:pt>
                <c:pt idx="9">
                  <c:v>Finalization and submission of the Report </c:v>
                </c:pt>
              </c:strCache>
            </c:strRef>
          </c:cat>
          <c:val>
            <c:numRef>
              <c:f>Sheet1!$C$2:$C$11</c:f>
              <c:numCache>
                <c:formatCode>[$-409]d\-mmm;@</c:formatCode>
                <c:ptCount val="10"/>
                <c:pt idx="0">
                  <c:v>42426</c:v>
                </c:pt>
                <c:pt idx="1">
                  <c:v>42433</c:v>
                </c:pt>
                <c:pt idx="2">
                  <c:v>42450</c:v>
                </c:pt>
                <c:pt idx="3">
                  <c:v>42460</c:v>
                </c:pt>
                <c:pt idx="4">
                  <c:v>42479</c:v>
                </c:pt>
                <c:pt idx="5">
                  <c:v>42513</c:v>
                </c:pt>
                <c:pt idx="6">
                  <c:v>42513</c:v>
                </c:pt>
                <c:pt idx="7">
                  <c:v>42487</c:v>
                </c:pt>
                <c:pt idx="8">
                  <c:v>42495</c:v>
                </c:pt>
                <c:pt idx="9">
                  <c:v>42519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overlap val="100"/>
        <c:axId val="335781672"/>
        <c:axId val="335781280"/>
      </c:barChart>
      <c:catAx>
        <c:axId val="33578167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 algn="ctr" rtl="0">
                  <a:defRPr lang="en-US" sz="12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u="none" strike="noStrike" kern="1200" baseline="0">
                    <a:solidFill>
                      <a:sysClr val="windowText" lastClr="000000"/>
                    </a:solidFill>
                    <a:latin typeface="+mj-lt"/>
                    <a:ea typeface="+mn-ea"/>
                    <a:cs typeface="+mn-cs"/>
                  </a:rPr>
                  <a:t>Tasks undertaken </a:t>
                </a:r>
              </a:p>
            </c:rich>
          </c:tx>
          <c:layout>
            <c:manualLayout>
              <c:xMode val="edge"/>
              <c:yMode val="edge"/>
              <c:x val="6.4778184502107894E-3"/>
              <c:y val="0.39832985584106989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txPr>
          <a:bodyPr/>
          <a:lstStyle/>
          <a:p>
            <a:pPr>
              <a:defRPr sz="1050">
                <a:latin typeface="+mj-lt"/>
              </a:defRPr>
            </a:pPr>
            <a:endParaRPr lang="en-US"/>
          </a:p>
        </c:txPr>
        <c:crossAx val="335781280"/>
        <c:crosses val="autoZero"/>
        <c:auto val="1"/>
        <c:lblAlgn val="ctr"/>
        <c:lblOffset val="100"/>
        <c:noMultiLvlLbl val="0"/>
      </c:catAx>
      <c:valAx>
        <c:axId val="33578128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>
                    <a:latin typeface="+mj-lt"/>
                  </a:rPr>
                  <a:t>Initiation</a:t>
                </a:r>
                <a:r>
                  <a:rPr lang="en-US" sz="1200" baseline="0">
                    <a:latin typeface="+mj-lt"/>
                  </a:rPr>
                  <a:t> </a:t>
                </a:r>
                <a:r>
                  <a:rPr lang="en-US" sz="1200">
                    <a:latin typeface="+mj-lt"/>
                  </a:rPr>
                  <a:t> and completion dates in  2016 </a:t>
                </a:r>
              </a:p>
            </c:rich>
          </c:tx>
          <c:layout>
            <c:manualLayout>
              <c:xMode val="edge"/>
              <c:yMode val="edge"/>
              <c:x val="0.51124362335311468"/>
              <c:y val="0.94613206596778976"/>
            </c:manualLayout>
          </c:layout>
          <c:overlay val="0"/>
        </c:title>
        <c:numFmt formatCode="[$-409]d\-mmm;@" sourceLinked="1"/>
        <c:majorTickMark val="none"/>
        <c:minorTickMark val="none"/>
        <c:tickLblPos val="none"/>
        <c:crossAx val="335781672"/>
        <c:crosses val="autoZero"/>
        <c:crossBetween val="between"/>
      </c:valAx>
    </c:plotArea>
    <c:legend>
      <c:legendPos val="t"/>
      <c:legendEntry>
        <c:idx val="0"/>
        <c:txPr>
          <a:bodyPr/>
          <a:lstStyle/>
          <a:p>
            <a:pPr>
              <a:defRPr sz="1100" b="1"/>
            </a:pPr>
            <a:endParaRPr lang="en-US"/>
          </a:p>
        </c:txPr>
      </c:legendEntry>
      <c:legendEntry>
        <c:idx val="1"/>
        <c:txPr>
          <a:bodyPr/>
          <a:lstStyle/>
          <a:p>
            <a:pPr>
              <a:defRPr sz="1100" b="1"/>
            </a:pPr>
            <a:endParaRPr lang="en-US"/>
          </a:p>
        </c:txPr>
      </c:legendEntry>
      <c:layout>
        <c:manualLayout>
          <c:xMode val="edge"/>
          <c:yMode val="edge"/>
          <c:x val="0.37095067045017882"/>
          <c:y val="1.216000071491893E-2"/>
          <c:w val="0.28747064102732084"/>
          <c:h val="8.0811526203770287E-2"/>
        </c:manualLayout>
      </c:layout>
      <c:overlay val="0"/>
    </c:legend>
    <c:plotVisOnly val="1"/>
    <c:dispBlanksAs val="gap"/>
    <c:showDLblsOverMax val="0"/>
  </c:chart>
  <c:externalData r:id="rId2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5BAC32-C924-4F3C-8049-4F3360AA0349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F40252-BE4C-4142-926D-C845E57D2906}">
      <dgm:prSet phldrT="[Text]"/>
      <dgm:spPr/>
      <dgm:t>
        <a:bodyPr/>
        <a:lstStyle/>
        <a:p>
          <a:r>
            <a:rPr lang="en-US"/>
            <a:t>a.</a:t>
          </a:r>
        </a:p>
      </dgm:t>
    </dgm:pt>
    <dgm:pt modelId="{D28F2C8E-C387-4328-BA2A-ED84A2E68930}" type="parTrans" cxnId="{62B5D92E-4059-429B-BB44-6ECCEE16967B}">
      <dgm:prSet/>
      <dgm:spPr/>
      <dgm:t>
        <a:bodyPr/>
        <a:lstStyle/>
        <a:p>
          <a:endParaRPr lang="en-US"/>
        </a:p>
      </dgm:t>
    </dgm:pt>
    <dgm:pt modelId="{069FFAAD-B198-414E-BB77-A69479F640E0}" type="sibTrans" cxnId="{62B5D92E-4059-429B-BB44-6ECCEE16967B}">
      <dgm:prSet/>
      <dgm:spPr/>
      <dgm:t>
        <a:bodyPr/>
        <a:lstStyle/>
        <a:p>
          <a:endParaRPr lang="en-US"/>
        </a:p>
      </dgm:t>
    </dgm:pt>
    <dgm:pt modelId="{8DAF683D-84D6-47CA-930E-E5BF69155B8C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Background of the project and Primary 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on- site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 data collection from CSIR- NEIST and NDMA through  visits  of the selected site </a:t>
          </a:r>
        </a:p>
      </dgm:t>
    </dgm:pt>
    <dgm:pt modelId="{220C8284-01F4-40FF-B825-BDC463048AA7}" type="parTrans" cxnId="{6EB07A1B-2A20-4AFB-90C7-022837537924}">
      <dgm:prSet/>
      <dgm:spPr/>
      <dgm:t>
        <a:bodyPr/>
        <a:lstStyle/>
        <a:p>
          <a:endParaRPr lang="en-US"/>
        </a:p>
      </dgm:t>
    </dgm:pt>
    <dgm:pt modelId="{9952A74F-D02B-44CC-814B-E36F01FED4F0}" type="sibTrans" cxnId="{6EB07A1B-2A20-4AFB-90C7-022837537924}">
      <dgm:prSet/>
      <dgm:spPr/>
      <dgm:t>
        <a:bodyPr/>
        <a:lstStyle/>
        <a:p>
          <a:endParaRPr lang="en-US"/>
        </a:p>
      </dgm:t>
    </dgm:pt>
    <dgm:pt modelId="{D843294B-77D5-49FC-B54A-AC2896513037}">
      <dgm:prSet phldrT="[Text]"/>
      <dgm:spPr/>
      <dgm:t>
        <a:bodyPr/>
        <a:lstStyle/>
        <a:p>
          <a:r>
            <a:rPr lang="en-US"/>
            <a:t>b.</a:t>
          </a:r>
        </a:p>
      </dgm:t>
    </dgm:pt>
    <dgm:pt modelId="{9E04533D-A6C1-4A4F-8B04-00DFB935CA06}" type="parTrans" cxnId="{673C66F6-0217-4E91-9871-9B93282AE8DB}">
      <dgm:prSet/>
      <dgm:spPr/>
      <dgm:t>
        <a:bodyPr/>
        <a:lstStyle/>
        <a:p>
          <a:endParaRPr lang="en-US"/>
        </a:p>
      </dgm:t>
    </dgm:pt>
    <dgm:pt modelId="{D0B18911-50FA-4058-A326-B506097D1D2C}" type="sibTrans" cxnId="{673C66F6-0217-4E91-9871-9B93282AE8DB}">
      <dgm:prSet/>
      <dgm:spPr/>
      <dgm:t>
        <a:bodyPr/>
        <a:lstStyle/>
        <a:p>
          <a:endParaRPr lang="en-US"/>
        </a:p>
      </dgm:t>
    </dgm:pt>
    <dgm:pt modelId="{C4B22341-1E03-4309-865F-6573270AEC5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Secondary data evaluation through a series of interviews with stakeholders  to assess their level of understanding  and preparedness to handle a disaster like earthquake </a:t>
          </a:r>
        </a:p>
      </dgm:t>
    </dgm:pt>
    <dgm:pt modelId="{F1971985-7A89-4649-8207-2D1B0B563CD0}" type="parTrans" cxnId="{01A8E5DB-120D-4DCF-B752-1D008FCF70B3}">
      <dgm:prSet/>
      <dgm:spPr/>
      <dgm:t>
        <a:bodyPr/>
        <a:lstStyle/>
        <a:p>
          <a:endParaRPr lang="en-US"/>
        </a:p>
      </dgm:t>
    </dgm:pt>
    <dgm:pt modelId="{7307268D-4E46-4788-B99F-9A5C895A7F44}" type="sibTrans" cxnId="{01A8E5DB-120D-4DCF-B752-1D008FCF70B3}">
      <dgm:prSet/>
      <dgm:spPr/>
      <dgm:t>
        <a:bodyPr/>
        <a:lstStyle/>
        <a:p>
          <a:endParaRPr lang="en-US"/>
        </a:p>
      </dgm:t>
    </dgm:pt>
    <dgm:pt modelId="{E3EF0EE6-FF65-4798-8E69-348CDF15CED7}">
      <dgm:prSet phldrT="[Text]"/>
      <dgm:spPr/>
      <dgm:t>
        <a:bodyPr/>
        <a:lstStyle/>
        <a:p>
          <a:r>
            <a:rPr lang="en-US"/>
            <a:t>c.</a:t>
          </a:r>
        </a:p>
      </dgm:t>
    </dgm:pt>
    <dgm:pt modelId="{08E1DFD7-7C32-4446-8DE2-2A309C42AC9E}" type="parTrans" cxnId="{CC269E09-E6B5-4551-B415-1393D39B0735}">
      <dgm:prSet/>
      <dgm:spPr/>
      <dgm:t>
        <a:bodyPr/>
        <a:lstStyle/>
        <a:p>
          <a:endParaRPr lang="en-US"/>
        </a:p>
      </dgm:t>
    </dgm:pt>
    <dgm:pt modelId="{586DABF2-5571-44CA-8F4F-48369A89BD41}" type="sibTrans" cxnId="{CC269E09-E6B5-4551-B415-1393D39B0735}">
      <dgm:prSet/>
      <dgm:spPr/>
      <dgm:t>
        <a:bodyPr/>
        <a:lstStyle/>
        <a:p>
          <a:endParaRPr lang="en-US"/>
        </a:p>
      </dgm:t>
    </dgm:pt>
    <dgm:pt modelId="{0B9BDCDC-9108-4174-9EC1-79793F14C5F4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Discussion with the key personnel involved in the study through consultative workshop to develop evaluation methodology  </a:t>
          </a:r>
        </a:p>
      </dgm:t>
    </dgm:pt>
    <dgm:pt modelId="{044791C0-7193-4BA6-9768-B8F07070E054}" type="parTrans" cxnId="{45038F8B-434B-4089-B8F4-1E46F22FE5F4}">
      <dgm:prSet/>
      <dgm:spPr/>
      <dgm:t>
        <a:bodyPr/>
        <a:lstStyle/>
        <a:p>
          <a:endParaRPr lang="en-US"/>
        </a:p>
      </dgm:t>
    </dgm:pt>
    <dgm:pt modelId="{07759AC0-A855-4273-AE1D-624EB7568EAF}" type="sibTrans" cxnId="{45038F8B-434B-4089-B8F4-1E46F22FE5F4}">
      <dgm:prSet/>
      <dgm:spPr/>
      <dgm:t>
        <a:bodyPr/>
        <a:lstStyle/>
        <a:p>
          <a:endParaRPr lang="en-US"/>
        </a:p>
      </dgm:t>
    </dgm:pt>
    <dgm:pt modelId="{A8843A82-FC91-43E2-A930-DAA167BEDC83}">
      <dgm:prSet phldrT="[Text]"/>
      <dgm:spPr/>
      <dgm:t>
        <a:bodyPr/>
        <a:lstStyle/>
        <a:p>
          <a:r>
            <a:rPr lang="en-US"/>
            <a:t>d.</a:t>
          </a:r>
        </a:p>
      </dgm:t>
    </dgm:pt>
    <dgm:pt modelId="{01079F67-7629-46A6-8832-001813F50293}" type="parTrans" cxnId="{CDF39768-5B53-443C-AB8F-641C07FF9582}">
      <dgm:prSet/>
      <dgm:spPr/>
      <dgm:t>
        <a:bodyPr/>
        <a:lstStyle/>
        <a:p>
          <a:endParaRPr lang="en-IN"/>
        </a:p>
      </dgm:t>
    </dgm:pt>
    <dgm:pt modelId="{D1FFEE0B-8CA9-4C5B-ABA5-ABC8C28DAA31}" type="sibTrans" cxnId="{CDF39768-5B53-443C-AB8F-641C07FF9582}">
      <dgm:prSet/>
      <dgm:spPr/>
      <dgm:t>
        <a:bodyPr/>
        <a:lstStyle/>
        <a:p>
          <a:endParaRPr lang="en-IN"/>
        </a:p>
      </dgm:t>
    </dgm:pt>
    <dgm:pt modelId="{C71ADF3B-6316-4FFC-9AB7-A794842794D2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Development of evaluation indicators </a:t>
          </a:r>
          <a:endParaRPr lang="en-I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F78210-AC80-45A7-B631-800B4D3EC4DC}" type="parTrans" cxnId="{34CE81E7-5E51-48BA-BB1A-317BA2FA569A}">
      <dgm:prSet/>
      <dgm:spPr/>
      <dgm:t>
        <a:bodyPr/>
        <a:lstStyle/>
        <a:p>
          <a:endParaRPr lang="en-IN"/>
        </a:p>
      </dgm:t>
    </dgm:pt>
    <dgm:pt modelId="{A25AF703-195B-4C9B-8F9E-F1CC1629AE84}" type="sibTrans" cxnId="{34CE81E7-5E51-48BA-BB1A-317BA2FA569A}">
      <dgm:prSet/>
      <dgm:spPr/>
      <dgm:t>
        <a:bodyPr/>
        <a:lstStyle/>
        <a:p>
          <a:endParaRPr lang="en-IN"/>
        </a:p>
      </dgm:t>
    </dgm:pt>
    <dgm:pt modelId="{45755754-ECFB-489E-9A5D-87B5E431A65B}" type="pres">
      <dgm:prSet presAssocID="{FE5BAC32-C924-4F3C-8049-4F3360AA0349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0DD70C0-575D-443D-BADF-AAF829B8C250}" type="pres">
      <dgm:prSet presAssocID="{C3F40252-BE4C-4142-926D-C845E57D2906}" presName="composite" presStyleCnt="0"/>
      <dgm:spPr/>
    </dgm:pt>
    <dgm:pt modelId="{B3C7F7B2-CF8E-4033-9A1C-CC08CCE7BF1C}" type="pres">
      <dgm:prSet presAssocID="{C3F40252-BE4C-4142-926D-C845E57D2906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31BC33-6055-43B0-AB1E-9EB4EC608704}" type="pres">
      <dgm:prSet presAssocID="{C3F40252-BE4C-4142-926D-C845E57D2906}" presName="descendantText" presStyleLbl="alignAcc1" presStyleIdx="0" presStyleCnt="4" custLinFactNeighborX="309" custLinFactNeighborY="-2437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1DD1FF-6EE0-46DD-A96B-DAFAE28365ED}" type="pres">
      <dgm:prSet presAssocID="{069FFAAD-B198-414E-BB77-A69479F640E0}" presName="sp" presStyleCnt="0"/>
      <dgm:spPr/>
    </dgm:pt>
    <dgm:pt modelId="{212190A1-6F0A-49BB-9DBE-5FD20017D384}" type="pres">
      <dgm:prSet presAssocID="{D843294B-77D5-49FC-B54A-AC2896513037}" presName="composite" presStyleCnt="0"/>
      <dgm:spPr/>
    </dgm:pt>
    <dgm:pt modelId="{DCCC08A1-7318-43A6-ACEE-0F2DDA0E2A90}" type="pres">
      <dgm:prSet presAssocID="{D843294B-77D5-49FC-B54A-AC2896513037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DD2CA9-CE0B-4924-99E2-8CD2FABEF532}" type="pres">
      <dgm:prSet presAssocID="{D843294B-77D5-49FC-B54A-AC2896513037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7105AF-B594-4F19-B625-89E0972B0BFA}" type="pres">
      <dgm:prSet presAssocID="{D0B18911-50FA-4058-A326-B506097D1D2C}" presName="sp" presStyleCnt="0"/>
      <dgm:spPr/>
    </dgm:pt>
    <dgm:pt modelId="{C10B16F8-D370-470D-B6F2-DFDCDAB663A4}" type="pres">
      <dgm:prSet presAssocID="{E3EF0EE6-FF65-4798-8E69-348CDF15CED7}" presName="composite" presStyleCnt="0"/>
      <dgm:spPr/>
    </dgm:pt>
    <dgm:pt modelId="{1747C88F-D851-40F1-A00F-22EAB2E34F43}" type="pres">
      <dgm:prSet presAssocID="{E3EF0EE6-FF65-4798-8E69-348CDF15CED7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12E657-11D9-4283-A809-B664777A5B1C}" type="pres">
      <dgm:prSet presAssocID="{E3EF0EE6-FF65-4798-8E69-348CDF15CED7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F43D5F-4330-4F5C-B2DF-9E4BD7A0C901}" type="pres">
      <dgm:prSet presAssocID="{586DABF2-5571-44CA-8F4F-48369A89BD41}" presName="sp" presStyleCnt="0"/>
      <dgm:spPr/>
    </dgm:pt>
    <dgm:pt modelId="{0B86FAE1-FD09-42BB-A79E-5E61792A4595}" type="pres">
      <dgm:prSet presAssocID="{A8843A82-FC91-43E2-A930-DAA167BEDC83}" presName="composite" presStyleCnt="0"/>
      <dgm:spPr/>
    </dgm:pt>
    <dgm:pt modelId="{2AE65424-129B-4374-9759-8165DE01FA5E}" type="pres">
      <dgm:prSet presAssocID="{A8843A82-FC91-43E2-A930-DAA167BEDC83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0A5231C-8337-4540-A7FB-71C6DFE1FA94}" type="pres">
      <dgm:prSet presAssocID="{A8843A82-FC91-43E2-A930-DAA167BEDC83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45038F8B-434B-4089-B8F4-1E46F22FE5F4}" srcId="{E3EF0EE6-FF65-4798-8E69-348CDF15CED7}" destId="{0B9BDCDC-9108-4174-9EC1-79793F14C5F4}" srcOrd="0" destOrd="0" parTransId="{044791C0-7193-4BA6-9768-B8F07070E054}" sibTransId="{07759AC0-A855-4273-AE1D-624EB7568EAF}"/>
    <dgm:cxn modelId="{5C718175-1444-4506-9A1D-13368B1762BB}" type="presOf" srcId="{C4B22341-1E03-4309-865F-6573270AEC50}" destId="{30DD2CA9-CE0B-4924-99E2-8CD2FABEF532}" srcOrd="0" destOrd="0" presId="urn:microsoft.com/office/officeart/2005/8/layout/chevron2"/>
    <dgm:cxn modelId="{4B38B1E0-D96F-4C8B-99D5-484881F4911D}" type="presOf" srcId="{C71ADF3B-6316-4FFC-9AB7-A794842794D2}" destId="{30A5231C-8337-4540-A7FB-71C6DFE1FA94}" srcOrd="0" destOrd="0" presId="urn:microsoft.com/office/officeart/2005/8/layout/chevron2"/>
    <dgm:cxn modelId="{79492675-D8E4-41FE-9E5C-44985489FB29}" type="presOf" srcId="{A8843A82-FC91-43E2-A930-DAA167BEDC83}" destId="{2AE65424-129B-4374-9759-8165DE01FA5E}" srcOrd="0" destOrd="0" presId="urn:microsoft.com/office/officeart/2005/8/layout/chevron2"/>
    <dgm:cxn modelId="{66658DBD-1CDA-474E-9A38-27B5B83BCFCF}" type="presOf" srcId="{0B9BDCDC-9108-4174-9EC1-79793F14C5F4}" destId="{2812E657-11D9-4283-A809-B664777A5B1C}" srcOrd="0" destOrd="0" presId="urn:microsoft.com/office/officeart/2005/8/layout/chevron2"/>
    <dgm:cxn modelId="{44C2353C-1F4B-4551-BF0D-1053CE03437C}" type="presOf" srcId="{FE5BAC32-C924-4F3C-8049-4F3360AA0349}" destId="{45755754-ECFB-489E-9A5D-87B5E431A65B}" srcOrd="0" destOrd="0" presId="urn:microsoft.com/office/officeart/2005/8/layout/chevron2"/>
    <dgm:cxn modelId="{673C66F6-0217-4E91-9871-9B93282AE8DB}" srcId="{FE5BAC32-C924-4F3C-8049-4F3360AA0349}" destId="{D843294B-77D5-49FC-B54A-AC2896513037}" srcOrd="1" destOrd="0" parTransId="{9E04533D-A6C1-4A4F-8B04-00DFB935CA06}" sibTransId="{D0B18911-50FA-4058-A326-B506097D1D2C}"/>
    <dgm:cxn modelId="{CC269E09-E6B5-4551-B415-1393D39B0735}" srcId="{FE5BAC32-C924-4F3C-8049-4F3360AA0349}" destId="{E3EF0EE6-FF65-4798-8E69-348CDF15CED7}" srcOrd="2" destOrd="0" parTransId="{08E1DFD7-7C32-4446-8DE2-2A309C42AC9E}" sibTransId="{586DABF2-5571-44CA-8F4F-48369A89BD41}"/>
    <dgm:cxn modelId="{62B5D92E-4059-429B-BB44-6ECCEE16967B}" srcId="{FE5BAC32-C924-4F3C-8049-4F3360AA0349}" destId="{C3F40252-BE4C-4142-926D-C845E57D2906}" srcOrd="0" destOrd="0" parTransId="{D28F2C8E-C387-4328-BA2A-ED84A2E68930}" sibTransId="{069FFAAD-B198-414E-BB77-A69479F640E0}"/>
    <dgm:cxn modelId="{9776C5A6-6599-4709-ACC5-1C1DBD05F688}" type="presOf" srcId="{E3EF0EE6-FF65-4798-8E69-348CDF15CED7}" destId="{1747C88F-D851-40F1-A00F-22EAB2E34F43}" srcOrd="0" destOrd="0" presId="urn:microsoft.com/office/officeart/2005/8/layout/chevron2"/>
    <dgm:cxn modelId="{F69F556E-2DC9-4F76-B48A-81E90FBF6652}" type="presOf" srcId="{8DAF683D-84D6-47CA-930E-E5BF69155B8C}" destId="{3E31BC33-6055-43B0-AB1E-9EB4EC608704}" srcOrd="0" destOrd="0" presId="urn:microsoft.com/office/officeart/2005/8/layout/chevron2"/>
    <dgm:cxn modelId="{34CE81E7-5E51-48BA-BB1A-317BA2FA569A}" srcId="{A8843A82-FC91-43E2-A930-DAA167BEDC83}" destId="{C71ADF3B-6316-4FFC-9AB7-A794842794D2}" srcOrd="0" destOrd="0" parTransId="{58F78210-AC80-45A7-B631-800B4D3EC4DC}" sibTransId="{A25AF703-195B-4C9B-8F9E-F1CC1629AE84}"/>
    <dgm:cxn modelId="{6EB07A1B-2A20-4AFB-90C7-022837537924}" srcId="{C3F40252-BE4C-4142-926D-C845E57D2906}" destId="{8DAF683D-84D6-47CA-930E-E5BF69155B8C}" srcOrd="0" destOrd="0" parTransId="{220C8284-01F4-40FF-B825-BDC463048AA7}" sibTransId="{9952A74F-D02B-44CC-814B-E36F01FED4F0}"/>
    <dgm:cxn modelId="{CDF39768-5B53-443C-AB8F-641C07FF9582}" srcId="{FE5BAC32-C924-4F3C-8049-4F3360AA0349}" destId="{A8843A82-FC91-43E2-A930-DAA167BEDC83}" srcOrd="3" destOrd="0" parTransId="{01079F67-7629-46A6-8832-001813F50293}" sibTransId="{D1FFEE0B-8CA9-4C5B-ABA5-ABC8C28DAA31}"/>
    <dgm:cxn modelId="{01A8E5DB-120D-4DCF-B752-1D008FCF70B3}" srcId="{D843294B-77D5-49FC-B54A-AC2896513037}" destId="{C4B22341-1E03-4309-865F-6573270AEC50}" srcOrd="0" destOrd="0" parTransId="{F1971985-7A89-4649-8207-2D1B0B563CD0}" sibTransId="{7307268D-4E46-4788-B99F-9A5C895A7F44}"/>
    <dgm:cxn modelId="{C4EA4F62-40AB-40FE-B054-644CC0A30342}" type="presOf" srcId="{C3F40252-BE4C-4142-926D-C845E57D2906}" destId="{B3C7F7B2-CF8E-4033-9A1C-CC08CCE7BF1C}" srcOrd="0" destOrd="0" presId="urn:microsoft.com/office/officeart/2005/8/layout/chevron2"/>
    <dgm:cxn modelId="{C054A3BF-FC29-4F6E-8F62-8AD64C692E56}" type="presOf" srcId="{D843294B-77D5-49FC-B54A-AC2896513037}" destId="{DCCC08A1-7318-43A6-ACEE-0F2DDA0E2A90}" srcOrd="0" destOrd="0" presId="urn:microsoft.com/office/officeart/2005/8/layout/chevron2"/>
    <dgm:cxn modelId="{2EFF0B4A-86E2-4565-BDD3-2E1503C06CD4}" type="presParOf" srcId="{45755754-ECFB-489E-9A5D-87B5E431A65B}" destId="{F0DD70C0-575D-443D-BADF-AAF829B8C250}" srcOrd="0" destOrd="0" presId="urn:microsoft.com/office/officeart/2005/8/layout/chevron2"/>
    <dgm:cxn modelId="{11FC6216-F146-433A-B9D9-0193A67659DD}" type="presParOf" srcId="{F0DD70C0-575D-443D-BADF-AAF829B8C250}" destId="{B3C7F7B2-CF8E-4033-9A1C-CC08CCE7BF1C}" srcOrd="0" destOrd="0" presId="urn:microsoft.com/office/officeart/2005/8/layout/chevron2"/>
    <dgm:cxn modelId="{1B5C4954-8359-4E69-B009-1F13394CF879}" type="presParOf" srcId="{F0DD70C0-575D-443D-BADF-AAF829B8C250}" destId="{3E31BC33-6055-43B0-AB1E-9EB4EC608704}" srcOrd="1" destOrd="0" presId="urn:microsoft.com/office/officeart/2005/8/layout/chevron2"/>
    <dgm:cxn modelId="{3ACBB595-EB95-4DA6-992C-327AC3799F6B}" type="presParOf" srcId="{45755754-ECFB-489E-9A5D-87B5E431A65B}" destId="{3A1DD1FF-6EE0-46DD-A96B-DAFAE28365ED}" srcOrd="1" destOrd="0" presId="urn:microsoft.com/office/officeart/2005/8/layout/chevron2"/>
    <dgm:cxn modelId="{80F05356-711D-4C96-BA19-73A6F569A223}" type="presParOf" srcId="{45755754-ECFB-489E-9A5D-87B5E431A65B}" destId="{212190A1-6F0A-49BB-9DBE-5FD20017D384}" srcOrd="2" destOrd="0" presId="urn:microsoft.com/office/officeart/2005/8/layout/chevron2"/>
    <dgm:cxn modelId="{80D6D5A9-8919-4FE4-8E2C-4A688D4814F4}" type="presParOf" srcId="{212190A1-6F0A-49BB-9DBE-5FD20017D384}" destId="{DCCC08A1-7318-43A6-ACEE-0F2DDA0E2A90}" srcOrd="0" destOrd="0" presId="urn:microsoft.com/office/officeart/2005/8/layout/chevron2"/>
    <dgm:cxn modelId="{63097AC7-00EF-49E4-A378-C869EEF0B216}" type="presParOf" srcId="{212190A1-6F0A-49BB-9DBE-5FD20017D384}" destId="{30DD2CA9-CE0B-4924-99E2-8CD2FABEF532}" srcOrd="1" destOrd="0" presId="urn:microsoft.com/office/officeart/2005/8/layout/chevron2"/>
    <dgm:cxn modelId="{B930F091-233A-48CE-A6F3-3C7AE1D66C9C}" type="presParOf" srcId="{45755754-ECFB-489E-9A5D-87B5E431A65B}" destId="{AC7105AF-B594-4F19-B625-89E0972B0BFA}" srcOrd="3" destOrd="0" presId="urn:microsoft.com/office/officeart/2005/8/layout/chevron2"/>
    <dgm:cxn modelId="{16AD30BD-56F4-4F79-BAA9-5611FC3070E2}" type="presParOf" srcId="{45755754-ECFB-489E-9A5D-87B5E431A65B}" destId="{C10B16F8-D370-470D-B6F2-DFDCDAB663A4}" srcOrd="4" destOrd="0" presId="urn:microsoft.com/office/officeart/2005/8/layout/chevron2"/>
    <dgm:cxn modelId="{407ACBC3-D40C-4701-8B54-021104F468FD}" type="presParOf" srcId="{C10B16F8-D370-470D-B6F2-DFDCDAB663A4}" destId="{1747C88F-D851-40F1-A00F-22EAB2E34F43}" srcOrd="0" destOrd="0" presId="urn:microsoft.com/office/officeart/2005/8/layout/chevron2"/>
    <dgm:cxn modelId="{F190F2C7-09C7-495C-8B0A-D2300FCED6B0}" type="presParOf" srcId="{C10B16F8-D370-470D-B6F2-DFDCDAB663A4}" destId="{2812E657-11D9-4283-A809-B664777A5B1C}" srcOrd="1" destOrd="0" presId="urn:microsoft.com/office/officeart/2005/8/layout/chevron2"/>
    <dgm:cxn modelId="{D6908AFA-C985-48C8-97F1-D737128B39B4}" type="presParOf" srcId="{45755754-ECFB-489E-9A5D-87B5E431A65B}" destId="{48F43D5F-4330-4F5C-B2DF-9E4BD7A0C901}" srcOrd="5" destOrd="0" presId="urn:microsoft.com/office/officeart/2005/8/layout/chevron2"/>
    <dgm:cxn modelId="{621B10CA-CD95-4DEB-9B57-80B3AF509639}" type="presParOf" srcId="{45755754-ECFB-489E-9A5D-87B5E431A65B}" destId="{0B86FAE1-FD09-42BB-A79E-5E61792A4595}" srcOrd="6" destOrd="0" presId="urn:microsoft.com/office/officeart/2005/8/layout/chevron2"/>
    <dgm:cxn modelId="{F8F2C515-5CC9-4C39-A70E-7F4372270A3C}" type="presParOf" srcId="{0B86FAE1-FD09-42BB-A79E-5E61792A4595}" destId="{2AE65424-129B-4374-9759-8165DE01FA5E}" srcOrd="0" destOrd="0" presId="urn:microsoft.com/office/officeart/2005/8/layout/chevron2"/>
    <dgm:cxn modelId="{47A7F74B-7459-4F4D-8138-B506B8494345}" type="presParOf" srcId="{0B86FAE1-FD09-42BB-A79E-5E61792A4595}" destId="{30A5231C-8337-4540-A7FB-71C6DFE1FA9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C7F7B2-CF8E-4033-9A1C-CC08CCE7BF1C}">
      <dsp:nvSpPr>
        <dsp:cNvPr id="0" name=""/>
        <dsp:cNvSpPr/>
      </dsp:nvSpPr>
      <dsp:spPr>
        <a:xfrm rot="5400000">
          <a:off x="-171880" y="172036"/>
          <a:ext cx="1145866" cy="802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a.</a:t>
          </a:r>
        </a:p>
      </dsp:txBody>
      <dsp:txXfrm rot="-5400000">
        <a:off x="0" y="401209"/>
        <a:ext cx="802106" cy="343760"/>
      </dsp:txXfrm>
    </dsp:sp>
    <dsp:sp modelId="{3E31BC33-6055-43B0-AB1E-9EB4EC608704}">
      <dsp:nvSpPr>
        <dsp:cNvPr id="0" name=""/>
        <dsp:cNvSpPr/>
      </dsp:nvSpPr>
      <dsp:spPr>
        <a:xfrm rot="5400000">
          <a:off x="2788824" y="-1986717"/>
          <a:ext cx="744813" cy="471824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Background of the project and Primary </a:t>
          </a:r>
          <a:r>
            <a:rPr lang="en-US" sz="15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on- site</a:t>
          </a: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 data collection from CSIR- NEIST and NDMA through  visits  of the selected site </a:t>
          </a:r>
        </a:p>
      </dsp:txBody>
      <dsp:txXfrm rot="-5400000">
        <a:off x="802107" y="36359"/>
        <a:ext cx="4681890" cy="672095"/>
      </dsp:txXfrm>
    </dsp:sp>
    <dsp:sp modelId="{DCCC08A1-7318-43A6-ACEE-0F2DDA0E2A90}">
      <dsp:nvSpPr>
        <dsp:cNvPr id="0" name=""/>
        <dsp:cNvSpPr/>
      </dsp:nvSpPr>
      <dsp:spPr>
        <a:xfrm rot="5400000">
          <a:off x="-171880" y="1169597"/>
          <a:ext cx="1145866" cy="802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b.</a:t>
          </a:r>
        </a:p>
      </dsp:txBody>
      <dsp:txXfrm rot="-5400000">
        <a:off x="0" y="1398770"/>
        <a:ext cx="802106" cy="343760"/>
      </dsp:txXfrm>
    </dsp:sp>
    <dsp:sp modelId="{30DD2CA9-CE0B-4924-99E2-8CD2FABEF532}">
      <dsp:nvSpPr>
        <dsp:cNvPr id="0" name=""/>
        <dsp:cNvSpPr/>
      </dsp:nvSpPr>
      <dsp:spPr>
        <a:xfrm rot="5400000">
          <a:off x="2788824" y="-989000"/>
          <a:ext cx="744813" cy="471824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Secondary data evaluation through a series of interviews with stakeholders  to assess their level of understanding  and preparedness to handle a disaster like earthquake </a:t>
          </a:r>
        </a:p>
      </dsp:txBody>
      <dsp:txXfrm rot="-5400000">
        <a:off x="802107" y="1034076"/>
        <a:ext cx="4681890" cy="672095"/>
      </dsp:txXfrm>
    </dsp:sp>
    <dsp:sp modelId="{1747C88F-D851-40F1-A00F-22EAB2E34F43}">
      <dsp:nvSpPr>
        <dsp:cNvPr id="0" name=""/>
        <dsp:cNvSpPr/>
      </dsp:nvSpPr>
      <dsp:spPr>
        <a:xfrm rot="5400000">
          <a:off x="-171880" y="2167158"/>
          <a:ext cx="1145866" cy="802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c.</a:t>
          </a:r>
        </a:p>
      </dsp:txBody>
      <dsp:txXfrm rot="-5400000">
        <a:off x="0" y="2396331"/>
        <a:ext cx="802106" cy="343760"/>
      </dsp:txXfrm>
    </dsp:sp>
    <dsp:sp modelId="{2812E657-11D9-4283-A809-B664777A5B1C}">
      <dsp:nvSpPr>
        <dsp:cNvPr id="0" name=""/>
        <dsp:cNvSpPr/>
      </dsp:nvSpPr>
      <dsp:spPr>
        <a:xfrm rot="5400000">
          <a:off x="2788824" y="8560"/>
          <a:ext cx="744813" cy="471824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Discussion with the key personnel involved in the study through consultative workshop to develop evaluation methodology  </a:t>
          </a:r>
        </a:p>
      </dsp:txBody>
      <dsp:txXfrm rot="-5400000">
        <a:off x="802107" y="2031637"/>
        <a:ext cx="4681890" cy="672095"/>
      </dsp:txXfrm>
    </dsp:sp>
    <dsp:sp modelId="{2AE65424-129B-4374-9759-8165DE01FA5E}">
      <dsp:nvSpPr>
        <dsp:cNvPr id="0" name=""/>
        <dsp:cNvSpPr/>
      </dsp:nvSpPr>
      <dsp:spPr>
        <a:xfrm rot="5400000">
          <a:off x="-171880" y="3164719"/>
          <a:ext cx="1145866" cy="802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d.</a:t>
          </a:r>
        </a:p>
      </dsp:txBody>
      <dsp:txXfrm rot="-5400000">
        <a:off x="0" y="3393892"/>
        <a:ext cx="802106" cy="343760"/>
      </dsp:txXfrm>
    </dsp:sp>
    <dsp:sp modelId="{30A5231C-8337-4540-A7FB-71C6DFE1FA94}">
      <dsp:nvSpPr>
        <dsp:cNvPr id="0" name=""/>
        <dsp:cNvSpPr/>
      </dsp:nvSpPr>
      <dsp:spPr>
        <a:xfrm rot="5400000">
          <a:off x="2788824" y="1006121"/>
          <a:ext cx="744813" cy="471824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Development of evaluation indicators </a:t>
          </a:r>
          <a:endParaRPr lang="en-IN" sz="1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802107" y="3029198"/>
        <a:ext cx="4681890" cy="6720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GGD2</dc:creator>
  <cp:lastModifiedBy>shyamli</cp:lastModifiedBy>
  <cp:revision>7</cp:revision>
  <cp:lastPrinted>2016-05-31T16:19:00Z</cp:lastPrinted>
  <dcterms:created xsi:type="dcterms:W3CDTF">2016-08-05T08:57:00Z</dcterms:created>
  <dcterms:modified xsi:type="dcterms:W3CDTF">2016-08-08T11:10:00Z</dcterms:modified>
</cp:coreProperties>
</file>