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00" w:lineRule="auto"/>
        <w:jc w:val="center"/>
      </w:pPr>
      <w:r>
        <w:rPr>
          <w:rFonts w:ascii="Times New Roman" w:hAnsi="Times New Roman" w:eastAsia="黑体"/>
          <w:b w:val="0"/>
          <w:sz w:val="28"/>
        </w:rPr>
        <w:t>AI工具使用详情</w:t>
      </w:r>
    </w:p>
    <w:p>
      <w:pPr>
        <w:keepNext/>
        <w:spacing w:before="160" w:after="0" w:line="300" w:lineRule="auto"/>
      </w:pPr>
      <w:r>
        <w:rPr>
          <w:rFonts w:ascii="Times New Roman" w:hAnsi="Times New Roman" w:eastAsia="宋体"/>
          <w:b w:val="0"/>
          <w:sz w:val="28"/>
        </w:rPr>
        <w:t>一、所用工具与说明范围</w:t>
      </w:r>
    </w:p>
    <w:p>
      <w:pPr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使用工具为OpenAI Codex；本轮系统标识为GPT-6。记录日期为2026年9月11日。本说明记录当前可核验的使用过程；此前会话的具体模型版本尚未逐一确认，应由参赛队在最终提交前核对。当前论文完成问题一、二的草稿内容，问题三、四保留章节。</w:t>
      </w:r>
    </w:p>
    <w:p>
      <w:pPr>
        <w:keepNext/>
        <w:spacing w:before="160" w:after="0" w:line="300" w:lineRule="auto"/>
      </w:pPr>
      <w:r>
        <w:rPr>
          <w:rFonts w:ascii="Times New Roman" w:hAnsi="Times New Roman" w:eastAsia="宋体"/>
          <w:b w:val="0"/>
          <w:sz w:val="28"/>
        </w:rPr>
        <w:t>二、使用目的与环节</w:t>
      </w:r>
    </w:p>
    <w:p>
      <w:pPr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已有项目记录显示，AI用于建模分析辅助、代码实现与调试、构造场景计算、结果及图表核对。本轮主要用于依据已通过检查的问题一、二成果整理推导、撰写论文草稿、统一符号与数值、构建Word原生公式及表格，并检查导出后的版面。图表副本仅调整了轴向坐标色条标注和检测点形状标记。</w:t>
      </w:r>
    </w:p>
    <w:p>
      <w:pPr>
        <w:keepNext/>
        <w:spacing w:before="160" w:after="0" w:line="300" w:lineRule="auto"/>
      </w:pPr>
      <w:r>
        <w:rPr>
          <w:rFonts w:ascii="Times New Roman" w:hAnsi="Times New Roman" w:eastAsia="宋体"/>
          <w:b w:val="0"/>
          <w:sz w:val="28"/>
        </w:rPr>
        <w:t>三、提示方式与处理过程</w:t>
      </w:r>
    </w:p>
    <w:p>
      <w:pPr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本轮主要提示要求为：“开始写论文；问题三、四的算法在调整，先将问题一、二已通过的成果完整写入，并搭好全文框架，问题三、四留空。”处理时读取题目、建模报告、代码、真实结果表与图件，将每项数值结论与计算输出对应；首次成稿后检查公式、图表引用、参考文献及实际分页。</w:t>
      </w:r>
    </w:p>
    <w:p>
      <w:pPr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采用的文字和数值包括半平面交会区域、顶点对直径证明、直径圆反例、最小包围圆判据，以及第二点保证接收区和有限场景比较。既有正式测试结果未被虚构或填入，问题三、四的算法内容未在本轮展开。</w:t>
      </w:r>
    </w:p>
    <w:p>
      <w:pPr>
        <w:keepNext/>
        <w:spacing w:before="160" w:after="0" w:line="300" w:lineRule="auto"/>
      </w:pPr>
      <w:r>
        <w:rPr>
          <w:rFonts w:ascii="Times New Roman" w:hAnsi="Times New Roman" w:eastAsia="宋体"/>
          <w:b w:val="0"/>
          <w:sz w:val="28"/>
        </w:rPr>
        <w:t>四、采纳与核验情况</w:t>
      </w:r>
    </w:p>
    <w:p>
      <w:pPr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机器辅助核对包括原始结果文件一致性检查、独立证据审查、文档结构和公式检查、实际渲染复核。关键数字包括问题一直径28.96681451 m、直径圆超出0.26548944 m；问题二基础格点(800,−600) m、目标112.14914075 m，局部加密点(850,−525) m、目标111.89311189 m。</w:t>
      </w:r>
    </w:p>
    <w:p>
      <w:pPr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用户已明确问题一、二为通过版本；这不等同于对本轮新生成论文文字的逐项人工审查。本说明不将机器核验冒称为人工核验。参赛队仍需逐项核对、修改并确认新稿，补充此前会话的工具版本、实际采纳内容及人工修改记录；本轮尚无足够证据宣称这些工作全部完成。</w:t>
      </w:r>
    </w:p>
    <w:p>
      <w:pPr>
        <w:keepNext/>
        <w:spacing w:before="160" w:after="0" w:line="300" w:lineRule="auto"/>
      </w:pPr>
      <w:r>
        <w:rPr>
          <w:rFonts w:ascii="Times New Roman" w:hAnsi="Times New Roman" w:eastAsia="宋体"/>
          <w:b w:val="0"/>
          <w:sz w:val="28"/>
        </w:rPr>
        <w:t>五、后续补充事项</w:t>
      </w:r>
    </w:p>
    <w:p>
      <w:pPr>
        <w:spacing w:before="0" w:after="0" w:line="360" w:lineRule="exact"/>
        <w:ind w:firstLine="480"/>
      </w:pPr>
      <w:r>
        <w:rPr>
          <w:rFonts w:ascii="Times New Roman" w:hAnsi="Times New Roman" w:eastAsia="宋体"/>
          <w:b w:val="0"/>
          <w:sz w:val="24"/>
        </w:rPr>
        <w:t>问题三、四确定后，应同步更新实际使用环节和结果核验情况；最终提交前由参赛队核实本说明与论文AI工具使用声明、实际使用过程一致，补齐人工审查记录。本文件为当前阶段的事实说明草稿，不含姓名、队号、学校或赛区信息。</w:t>
      </w:r>
    </w:p>
    <w:sectPr w:rsidR="00FC693F" w:rsidRPr="0006063C" w:rsidSect="00034616">
      <w:pgSz w:w="11906" w:h="16838"/>
      <w:pgMar w:top="1474" w:right="1474" w:bottom="147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