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56"/>
          <w:szCs w:val="56"/>
        </w:rPr>
        <w:t xml:space="preserve">GHOST AI</w:t>
      </w:r>
    </w:p>
    <w:p>
      <w:pPr>
        <w:spacing w:after="120"/>
        <w:jc w:val="center"/>
      </w:pPr>
      <w:r>
        <w:rPr>
          <w:rFonts w:ascii="Arial" w:cs="Arial" w:eastAsia="Arial" w:hAnsi="Arial"/>
          <w:b/>
          <w:bCs/>
          <w:color w:val="8B5CF6"/>
          <w:sz w:val="40"/>
          <w:szCs w:val="40"/>
        </w:rPr>
        <w:t xml:space="preserve">GHAI</w:t>
      </w:r>
    </w:p>
    <w:p>
      <w:pPr>
        <w:spacing w:after="400"/>
        <w:jc w:val="center"/>
      </w:pPr>
      <w:r>
        <w:rPr>
          <w:rFonts w:ascii="Arial" w:cs="Arial" w:eastAsia="Arial" w:hAnsi="Arial"/>
          <w:sz w:val="28"/>
          <w:szCs w:val="28"/>
        </w:rPr>
        <w:t xml:space="preserve">Utility Token White Paper</w:t>
      </w:r>
    </w:p>
    <w:p>
      <w:pPr>
        <w:spacing w:after="100"/>
        <w:jc w:val="center"/>
      </w:pPr>
      <w:r>
        <w:rPr>
          <w:rFonts w:ascii="Arial" w:cs="Arial" w:eastAsia="Arial" w:hAnsi="Arial"/>
          <w:i/>
          <w:iCs/>
          <w:sz w:val="24"/>
          <w:szCs w:val="24"/>
        </w:rPr>
        <w:t xml:space="preserve">Powering the voidexa AI Ecosystem</w:t>
      </w:r>
    </w:p>
    <w:p>
      <w:pPr>
        <w:spacing w:after="200"/>
      </w:pPr>
    </w:p>
    <w:p>
      <w:pPr>
        <w:jc w:val="center"/>
      </w:pPr>
      <w:r>
        <w:rPr>
          <w:rFonts w:ascii="Arial" w:cs="Arial" w:eastAsia="Arial" w:hAnsi="Arial"/>
          <w:sz w:val="22"/>
          <w:szCs w:val="22"/>
        </w:rPr>
        <w:t xml:space="preserve">Version 1.0</w:t>
      </w:r>
    </w:p>
    <w:p>
      <w:pPr>
        <w:jc w:val="center"/>
      </w:pPr>
      <w:r>
        <w:rPr>
          <w:rFonts w:ascii="Arial" w:cs="Arial" w:eastAsia="Arial" w:hAnsi="Arial"/>
          <w:sz w:val="22"/>
          <w:szCs w:val="22"/>
        </w:rPr>
        <w:t xml:space="preserve">March 2026</w:t>
      </w:r>
    </w:p>
    <w:p>
      <w:pPr>
        <w:spacing w:after="200"/>
      </w:pPr>
    </w:p>
    <w:p>
      <w:pPr>
        <w:jc w:val="center"/>
      </w:pPr>
      <w:r>
        <w:rPr>
          <w:rFonts w:ascii="Arial" w:cs="Arial" w:eastAsia="Arial" w:hAnsi="Arial"/>
          <w:sz w:val="22"/>
          <w:szCs w:val="22"/>
        </w:rPr>
        <w:t xml:space="preserve">voidexa · CVR 46343387 · Denmark</w:t>
      </w:r>
    </w:p>
    <w:p>
      <w:pPr>
        <w:jc w:val="center"/>
      </w:pPr>
      <w:r>
        <w:rPr>
          <w:rFonts w:ascii="Arial" w:cs="Arial" w:eastAsia="Arial" w:hAnsi="Arial"/>
          <w:color w:val="8B5CF6"/>
          <w:sz w:val="22"/>
          <w:szCs w:val="22"/>
        </w:rPr>
        <w:t xml:space="preserve">voidexa.com</w:t>
      </w:r>
    </w:p>
    <w:p>
      <w:pPr>
        <w:spacing w:after="200"/>
      </w:pPr>
    </w:p>
    <w:p>
      <w:pPr>
        <w:spacing w:before="200"/>
        <w:jc w:val="center"/>
      </w:pPr>
      <w:r>
        <w:rPr>
          <w:rFonts w:ascii="Arial" w:cs="Arial" w:eastAsia="Arial" w:hAnsi="Arial"/>
          <w:sz w:val="20"/>
          <w:szCs w:val="20"/>
        </w:rPr>
        <w:t xml:space="preserve">Solana SPL Token</w:t>
      </w:r>
    </w:p>
    <w:p>
      <w:pPr>
        <w:jc w:val="center"/>
      </w:pPr>
      <w:r>
        <w:rPr>
          <w:rFonts w:ascii="Arial" w:cs="Arial" w:eastAsia="Arial" w:hAnsi="Arial"/>
          <w:sz w:val="18"/>
          <w:szCs w:val="18"/>
        </w:rPr>
        <w:t xml:space="preserve">Contract: Ch8Ek9PTbzSGdL4EWHC2pQfPq2vTseiCPjeZsAZLx5gK</w:t>
      </w:r>
    </w:p>
    <w:p>
      <w:r>
        <w:br w:type="page"/>
      </w:r>
    </w:p>
    <w:p>
      <w:pPr>
        <w:pStyle w:val="Heading1"/>
        <w:spacing w:after="240" w:before="400"/>
      </w:pPr>
      <w:r>
        <w:rPr>
          <w:rFonts w:ascii="Arial" w:cs="Arial" w:eastAsia="Arial" w:hAnsi="Arial"/>
          <w:b/>
          <w:bCs/>
        </w:rPr>
        <w:t xml:space="preserve">Legal Disclaimer</w:t>
      </w:r>
    </w:p>
    <w:p>
      <w:pPr>
        <w:spacing w:after="160" w:line="320"/>
      </w:pPr>
      <w:r>
        <w:rPr>
          <w:rFonts w:ascii="Arial" w:cs="Arial" w:eastAsia="Arial" w:hAnsi="Arial"/>
          <w:sz w:val="22"/>
          <w:szCs w:val="22"/>
        </w:rPr>
        <w:t xml:space="preserve">This white paper is for informational purposes only and does not constitute financial advice, an investment recommendation, or a solicitation to purchase Ghost AI (GHAI) tokens. GHAI is a utility token designed to provide access to services within the voidexa ecosystem. It is not a security, stablecoin, or asset-referenced token.</w:t>
      </w:r>
    </w:p>
    <w:p>
      <w:pPr>
        <w:spacing w:after="160" w:line="320"/>
      </w:pPr>
      <w:r>
        <w:rPr>
          <w:rFonts w:ascii="Arial" w:cs="Arial" w:eastAsia="Arial" w:hAnsi="Arial"/>
          <w:sz w:val="22"/>
          <w:szCs w:val="22"/>
        </w:rPr>
        <w:t xml:space="preserve">voidexa (CVR 46343387) is a registered Danish company operating under EU regulations including the Markets in Crypto-Assets (MiCA) framework. The purchase and use of GHAI tokens is subject to applicable laws in the buyer's jurisdiction.</w:t>
      </w:r>
    </w:p>
    <w:p>
      <w:pPr>
        <w:spacing w:after="160" w:line="320"/>
      </w:pPr>
      <w:r>
        <w:rPr>
          <w:rFonts w:ascii="Arial" w:cs="Arial" w:eastAsia="Arial" w:hAnsi="Arial"/>
          <w:sz w:val="22"/>
          <w:szCs w:val="22"/>
        </w:rPr>
        <w:t xml:space="preserve">Token holders should be aware that the value of GHAI may fluctuate and there is no guarantee of future value. voidexa does not promote GHAI as an investment vehicle. The token exists solely to facilitate access to platform services.</w:t>
      </w:r>
    </w:p>
    <w:p>
      <w:pPr>
        <w:spacing w:after="160" w:line="320"/>
      </w:pPr>
      <w:r>
        <w:rPr>
          <w:rFonts w:ascii="Arial" w:cs="Arial" w:eastAsia="Arial" w:hAnsi="Arial"/>
          <w:sz w:val="22"/>
          <w:szCs w:val="22"/>
        </w:rPr>
        <w:t xml:space="preserve">Users are responsible for complying with their local regulations regarding cryptocurrency. This document may be updated as the project evolves. The most current version is always available at voidexa.com.</w:t>
      </w:r>
    </w:p>
    <w:p>
      <w:r>
        <w:br w:type="page"/>
      </w:r>
    </w:p>
    <w:p>
      <w:pPr>
        <w:pStyle w:val="Heading1"/>
        <w:spacing w:after="240" w:before="400"/>
      </w:pPr>
      <w:r>
        <w:rPr>
          <w:rFonts w:ascii="Arial" w:cs="Arial" w:eastAsia="Arial" w:hAnsi="Arial"/>
          <w:b/>
          <w:bCs/>
        </w:rPr>
        <w:t xml:space="preserve">1. Executive Summary</w:t>
      </w:r>
    </w:p>
    <w:p>
      <w:pPr>
        <w:spacing w:after="160" w:line="320"/>
      </w:pPr>
      <w:r>
        <w:rPr>
          <w:rFonts w:ascii="Arial" w:cs="Arial" w:eastAsia="Arial" w:hAnsi="Arial"/>
          <w:sz w:val="22"/>
          <w:szCs w:val="22"/>
        </w:rPr>
        <w:t xml:space="preserve">Ghost AI (GHAI) is a Solana-based utility token that powers the voidexa ecosystem — a suite of AI-driven products built around sovereign digital infrastructure, autonomous trading, and multi-AI orchestration.</w:t>
      </w:r>
    </w:p>
    <w:p>
      <w:pPr>
        <w:spacing w:after="160" w:line="320"/>
      </w:pPr>
      <w:r>
        <w:rPr>
          <w:rFonts w:ascii="Arial" w:cs="Arial" w:eastAsia="Arial" w:hAnsi="Arial"/>
          <w:sz w:val="22"/>
          <w:szCs w:val="22"/>
        </w:rPr>
        <w:t xml:space="preserve">voidexa is a Danish technology company building intelligent systems that operate autonomously. Our products include AI-powered trading bots, a multi-AI consensus engine, encrypted communication tools, and a community trading platform.</w:t>
      </w:r>
    </w:p>
    <w:p>
      <w:pPr>
        <w:spacing w:after="160" w:line="320"/>
      </w:pPr>
      <w:r>
        <w:rPr>
          <w:rFonts w:ascii="Arial" w:cs="Arial" w:eastAsia="Arial" w:hAnsi="Arial"/>
          <w:sz w:val="22"/>
          <w:szCs w:val="22"/>
        </w:rPr>
        <w:t xml:space="preserve">GHAI connects all of these products into a unified economy. Users purchase GHAI tokens to access services, earn tokens through platform participation, and benefit from an ecosystem where every product strengthens every other product.</w:t>
      </w:r>
    </w:p>
    <w:p>
      <w:pPr>
        <w:spacing w:after="160" w:line="320"/>
      </w:pPr>
      <w:r>
        <w:rPr>
          <w:rFonts w:ascii="Arial" w:cs="Arial" w:eastAsia="Arial" w:hAnsi="Arial"/>
          <w:sz w:val="22"/>
          <w:szCs w:val="22"/>
        </w:rPr>
        <w:t xml:space="preserve">The token is already live on the Solana blockchain with an active liquidity pool on Raydium. Mint authority has been permanently revoked — no additional tokens can ever be created.</w:t>
      </w:r>
    </w:p>
    <w:p>
      <w:pPr>
        <w:pStyle w:val="Heading1"/>
        <w:spacing w:after="240" w:before="400"/>
      </w:pPr>
      <w:r>
        <w:rPr>
          <w:rFonts w:ascii="Arial" w:cs="Arial" w:eastAsia="Arial" w:hAnsi="Arial"/>
          <w:b/>
          <w:bCs/>
        </w:rPr>
        <w:t xml:space="preserve">2. The Problem</w:t>
      </w:r>
    </w:p>
    <w:p>
      <w:pPr>
        <w:pStyle w:val="Heading2"/>
        <w:spacing w:after="180" w:before="300"/>
      </w:pPr>
      <w:r>
        <w:rPr>
          <w:rFonts w:ascii="Arial" w:cs="Arial" w:eastAsia="Arial" w:hAnsi="Arial"/>
          <w:b/>
          <w:bCs/>
        </w:rPr>
        <w:t xml:space="preserve">2.1 AI Access Is Fragmented</w:t>
      </w:r>
    </w:p>
    <w:p>
      <w:pPr>
        <w:spacing w:after="160" w:line="320"/>
      </w:pPr>
      <w:r>
        <w:rPr>
          <w:rFonts w:ascii="Arial" w:cs="Arial" w:eastAsia="Arial" w:hAnsi="Arial"/>
          <w:sz w:val="22"/>
          <w:szCs w:val="22"/>
        </w:rPr>
        <w:t xml:space="preserve">Today, accessing AI requires multiple subscriptions across multiple platforms. ChatGPT costs $20/month. Claude costs $20/month. Gemini costs $20/month. A professional who needs the best answer from multiple AI providers pays $60+ per month for separate interfaces that don't communicate with each other.</w:t>
      </w:r>
    </w:p>
    <w:p>
      <w:pPr>
        <w:pStyle w:val="Heading2"/>
        <w:spacing w:after="180" w:before="300"/>
      </w:pPr>
      <w:r>
        <w:rPr>
          <w:rFonts w:ascii="Arial" w:cs="Arial" w:eastAsia="Arial" w:hAnsi="Arial"/>
          <w:b/>
          <w:bCs/>
        </w:rPr>
        <w:t xml:space="preserve">2.2 Trading Knowledge Is Siloed</w:t>
      </w:r>
    </w:p>
    <w:p>
      <w:pPr>
        <w:spacing w:after="160" w:line="320"/>
      </w:pPr>
      <w:r>
        <w:rPr>
          <w:rFonts w:ascii="Arial" w:cs="Arial" w:eastAsia="Arial" w:hAnsi="Arial"/>
          <w:sz w:val="22"/>
          <w:szCs w:val="22"/>
        </w:rPr>
        <w:t xml:space="preserve">Individual traders build strategies in isolation. There is no open platform where traders can share automated strategies, compete fairly, and learn from each other's successes and failures. Existing platforms either charge excessive fees or restrict what users can build.</w:t>
      </w:r>
    </w:p>
    <w:p>
      <w:pPr>
        <w:pStyle w:val="Heading2"/>
        <w:spacing w:after="180" w:before="300"/>
      </w:pPr>
      <w:r>
        <w:rPr>
          <w:rFonts w:ascii="Arial" w:cs="Arial" w:eastAsia="Arial" w:hAnsi="Arial"/>
          <w:b/>
          <w:bCs/>
        </w:rPr>
        <w:t xml:space="preserve">2.3 European Digital Sovereignty</w:t>
      </w:r>
    </w:p>
    <w:p>
      <w:pPr>
        <w:spacing w:after="160" w:line="320"/>
      </w:pPr>
      <w:r>
        <w:rPr>
          <w:rFonts w:ascii="Arial" w:cs="Arial" w:eastAsia="Arial" w:hAnsi="Arial"/>
          <w:sz w:val="22"/>
          <w:szCs w:val="22"/>
        </w:rPr>
        <w:t xml:space="preserve">In 2025, Denmark directed companies to exit American cloud services. Copenhagen and Aarhus ended Microsoft dependencies. The EU invested heavily in digital sovereignty. Yet most AI tools, trading platforms, and communication systems still depend entirely on non-European infrastructure.</w:t>
      </w:r>
    </w:p>
    <w:p>
      <w:pPr>
        <w:pStyle w:val="Heading1"/>
        <w:spacing w:after="240" w:before="400"/>
      </w:pPr>
      <w:r>
        <w:rPr>
          <w:rFonts w:ascii="Arial" w:cs="Arial" w:eastAsia="Arial" w:hAnsi="Arial"/>
          <w:b/>
          <w:bCs/>
        </w:rPr>
        <w:t xml:space="preserve">3. The Solution: voidexa Ecosystem</w:t>
      </w:r>
    </w:p>
    <w:p>
      <w:pPr>
        <w:spacing w:after="160" w:line="320"/>
      </w:pPr>
      <w:r>
        <w:rPr>
          <w:rFonts w:ascii="Arial" w:cs="Arial" w:eastAsia="Arial" w:hAnsi="Arial"/>
          <w:sz w:val="22"/>
          <w:szCs w:val="22"/>
        </w:rPr>
        <w:t xml:space="preserve">voidexa builds autonomous systems designed in Denmark. Every product operates independently but connects through the GHAI token economy.</w:t>
      </w:r>
    </w:p>
    <w:p>
      <w:pPr>
        <w:pStyle w:val="Heading2"/>
        <w:spacing w:after="180" w:before="300"/>
      </w:pPr>
      <w:r>
        <w:rPr>
          <w:rFonts w:ascii="Arial" w:cs="Arial" w:eastAsia="Arial" w:hAnsi="Arial"/>
          <w:b/>
          <w:bCs/>
        </w:rPr>
        <w:t xml:space="preserve">3.1 Ghost AI — Instant AI Access</w:t>
      </w:r>
    </w:p>
    <w:p>
      <w:pPr>
        <w:spacing w:after="160" w:line="320"/>
      </w:pPr>
      <w:r>
        <w:rPr>
          <w:rFonts w:ascii="Arial" w:cs="Arial" w:eastAsia="Arial" w:hAnsi="Arial"/>
          <w:sz w:val="22"/>
          <w:szCs w:val="22"/>
        </w:rPr>
        <w:t xml:space="preserve">A unified AI chat interface where users access the world's best AI models through a single platform. Choose your provider. Pay per use with GHAI tokens. No subscriptions. No lock-in. Transparent pricing.</w:t>
      </w:r>
    </w:p>
    <w:p>
      <w:pPr>
        <w:spacing w:after="160" w:line="320"/>
      </w:pPr>
      <w:r>
        <w:rPr>
          <w:rFonts w:ascii="Arial" w:cs="Arial" w:eastAsia="Arial" w:hAnsi="Arial"/>
          <w:sz w:val="22"/>
          <w:szCs w:val="22"/>
        </w:rPr>
        <w:t xml:space="preserve">Powered by Claude, ChatGPT, Gemini — orchestrated by voidexa.</w:t>
      </w:r>
    </w:p>
    <w:p>
      <w:pPr>
        <w:pStyle w:val="Heading2"/>
        <w:spacing w:after="180" w:before="300"/>
      </w:pPr>
      <w:r>
        <w:rPr>
          <w:rFonts w:ascii="Arial" w:cs="Arial" w:eastAsia="Arial" w:hAnsi="Arial"/>
          <w:b/>
          <w:bCs/>
        </w:rPr>
        <w:t xml:space="preserve">3.2 Quantum — Multi-AI Consensus</w:t>
      </w:r>
    </w:p>
    <w:p>
      <w:pPr>
        <w:spacing w:after="160" w:line="320"/>
      </w:pPr>
      <w:r>
        <w:rPr>
          <w:rFonts w:ascii="Arial" w:cs="Arial" w:eastAsia="Arial" w:hAnsi="Arial"/>
          <w:sz w:val="22"/>
          <w:szCs w:val="22"/>
        </w:rPr>
        <w:t xml:space="preserve">When one AI isn't enough. Quantum orchestrates multiple AI providers to debate, verify, and converge on the best answer. Built with proprietary technology that exists nowhere else in the market. Designed for decisions where accuracy matters more than speed.</w:t>
      </w:r>
    </w:p>
    <w:p>
      <w:pPr>
        <w:pStyle w:val="Heading2"/>
        <w:spacing w:after="180" w:before="300"/>
      </w:pPr>
      <w:r>
        <w:rPr>
          <w:rFonts w:ascii="Arial" w:cs="Arial" w:eastAsia="Arial" w:hAnsi="Arial"/>
          <w:b/>
          <w:bCs/>
        </w:rPr>
        <w:t xml:space="preserve">3.3 AI Trading — Autonomous Bot Systems</w:t>
      </w:r>
    </w:p>
    <w:p>
      <w:pPr>
        <w:spacing w:after="160" w:line="320"/>
      </w:pPr>
      <w:r>
        <w:rPr>
          <w:rFonts w:ascii="Arial" w:cs="Arial" w:eastAsia="Arial" w:hAnsi="Arial"/>
          <w:sz w:val="22"/>
          <w:szCs w:val="22"/>
        </w:rPr>
        <w:t xml:space="preserve">A regime-aware trading system that reads the market in real time, classifies market conditions across four phases, and executes through a five-stage risk pipeline. Backtested at +306% over 12 months with a +312% alpha over buy-and-hold. Five dedicated agents operate independently: Scanner, Season Engine, Rebalance, Risk Gate, and Execution.</w:t>
      </w:r>
    </w:p>
    <w:p>
      <w:pPr>
        <w:pStyle w:val="Heading2"/>
        <w:spacing w:after="180" w:before="300"/>
      </w:pPr>
      <w:r>
        <w:rPr>
          <w:rFonts w:ascii="Arial" w:cs="Arial" w:eastAsia="Arial" w:hAnsi="Arial"/>
          <w:b/>
          <w:bCs/>
        </w:rPr>
        <w:t xml:space="preserve">3.4 Trading Hub — Community Trading Platform</w:t>
      </w:r>
    </w:p>
    <w:p>
      <w:pPr>
        <w:spacing w:after="160" w:line="320"/>
      </w:pPr>
      <w:r>
        <w:rPr>
          <w:rFonts w:ascii="Arial" w:cs="Arial" w:eastAsia="Arial" w:hAnsi="Arial"/>
          <w:sz w:val="22"/>
          <w:szCs w:val="22"/>
        </w:rPr>
        <w:t xml:space="preserve">An open platform where traders upload their own bots, compete in monthly challenges, share strategies, and learn from the community. Real-time leaderboards track performance. Top performers earn GHAI prizes. Every participant contributes to a growing knowledge base.</w:t>
      </w:r>
    </w:p>
    <w:p>
      <w:pPr>
        <w:pStyle w:val="Heading2"/>
        <w:spacing w:after="180" w:before="300"/>
      </w:pPr>
      <w:r>
        <w:rPr>
          <w:rFonts w:ascii="Arial" w:cs="Arial" w:eastAsia="Arial" w:hAnsi="Arial"/>
          <w:b/>
          <w:bCs/>
        </w:rPr>
        <w:t xml:space="preserve">3.5 Node System — Shared Trading Pools</w:t>
      </w:r>
    </w:p>
    <w:p>
      <w:pPr>
        <w:spacing w:after="160" w:line="320"/>
      </w:pPr>
      <w:r>
        <w:rPr>
          <w:rFonts w:ascii="Arial" w:cs="Arial" w:eastAsia="Arial" w:hAnsi="Arial"/>
          <w:sz w:val="22"/>
          <w:szCs w:val="22"/>
        </w:rPr>
        <w:t xml:space="preserve">Users buy into shared trading pools powered by voidexa's All-Season Bot. Early participants lock in at the lowest price tier. As more nodes join, the cost per node increases. The bot trades the collective pool. Profits are distributed proportionally.</w:t>
      </w:r>
    </w:p>
    <w:p>
      <w:pPr>
        <w:pStyle w:val="Heading2"/>
        <w:spacing w:after="180" w:before="300"/>
      </w:pPr>
      <w:r>
        <w:rPr>
          <w:rFonts w:ascii="Arial" w:cs="Arial" w:eastAsia="Arial" w:hAnsi="Arial"/>
          <w:b/>
          <w:bCs/>
        </w:rPr>
        <w:t xml:space="preserve">3.6 Comlink — Encrypted Communication</w:t>
      </w:r>
    </w:p>
    <w:p>
      <w:pPr>
        <w:spacing w:after="160" w:line="320"/>
      </w:pPr>
      <w:r>
        <w:rPr>
          <w:rFonts w:ascii="Arial" w:cs="Arial" w:eastAsia="Arial" w:hAnsi="Arial"/>
          <w:sz w:val="22"/>
          <w:szCs w:val="22"/>
        </w:rPr>
        <w:t xml:space="preserve">End-to-end encrypted messaging with zero-knowledge architecture. Anonymous server rental paid with GHAI tokens. Your data, your keys, your privacy.</w:t>
      </w:r>
    </w:p>
    <w:p>
      <w:r>
        <w:br w:type="page"/>
      </w:r>
    </w:p>
    <w:p>
      <w:pPr>
        <w:pStyle w:val="Heading1"/>
        <w:spacing w:after="240" w:before="400"/>
      </w:pPr>
      <w:r>
        <w:rPr>
          <w:rFonts w:ascii="Arial" w:cs="Arial" w:eastAsia="Arial" w:hAnsi="Arial"/>
          <w:b/>
          <w:bCs/>
        </w:rPr>
        <w:t xml:space="preserve">4. Technology</w:t>
      </w:r>
    </w:p>
    <w:p>
      <w:pPr>
        <w:spacing w:after="160" w:line="320"/>
      </w:pPr>
      <w:r>
        <w:rPr>
          <w:rFonts w:ascii="Arial" w:cs="Arial" w:eastAsia="Arial" w:hAnsi="Arial"/>
          <w:sz w:val="22"/>
          <w:szCs w:val="22"/>
        </w:rPr>
        <w:t xml:space="preserve">voidexa's competitive advantage is built on proprietary technology developed in-house.</w:t>
      </w:r>
    </w:p>
    <w:p>
      <w:pPr>
        <w:pStyle w:val="Heading2"/>
        <w:spacing w:after="180" w:before="300"/>
      </w:pPr>
      <w:r>
        <w:rPr>
          <w:rFonts w:ascii="Arial" w:cs="Arial" w:eastAsia="Arial" w:hAnsi="Arial"/>
          <w:b/>
          <w:bCs/>
        </w:rPr>
        <w:t xml:space="preserve">4.1 Compressed Intelligence</w:t>
      </w:r>
    </w:p>
    <w:p>
      <w:pPr>
        <w:spacing w:after="160" w:line="320"/>
      </w:pPr>
      <w:r>
        <w:rPr>
          <w:rFonts w:ascii="Arial" w:cs="Arial" w:eastAsia="Arial" w:hAnsi="Arial"/>
          <w:sz w:val="22"/>
          <w:szCs w:val="22"/>
        </w:rPr>
        <w:t xml:space="preserve">Our AI systems communicate using a proprietary protocol that reduces resource consumption by up to 90% compared to industry standard. We didn't optimize the pipeline — we reinvented the language AI systems use to talk to each other.</w:t>
      </w:r>
    </w:p>
    <w:p>
      <w:pPr>
        <w:pStyle w:val="Heading2"/>
        <w:spacing w:after="180" w:before="300"/>
      </w:pPr>
      <w:r>
        <w:rPr>
          <w:rFonts w:ascii="Arial" w:cs="Arial" w:eastAsia="Arial" w:hAnsi="Arial"/>
          <w:b/>
          <w:bCs/>
        </w:rPr>
        <w:t xml:space="preserve">4.2 Persistent Memory</w:t>
      </w:r>
    </w:p>
    <w:p>
      <w:pPr>
        <w:spacing w:after="160" w:line="320"/>
      </w:pPr>
      <w:r>
        <w:rPr>
          <w:rFonts w:ascii="Arial" w:cs="Arial" w:eastAsia="Arial" w:hAnsi="Arial"/>
          <w:sz w:val="22"/>
          <w:szCs w:val="22"/>
        </w:rPr>
        <w:t xml:space="preserve">Every interaction builds on the last. Our systems maintain persistent knowledge across sessions, compounding intelligence over time. This means better answers, faster decisions, and continuous improvement without retraining.</w:t>
      </w:r>
    </w:p>
    <w:p>
      <w:pPr>
        <w:pStyle w:val="Heading2"/>
        <w:spacing w:after="180" w:before="300"/>
      </w:pPr>
      <w:r>
        <w:rPr>
          <w:rFonts w:ascii="Arial" w:cs="Arial" w:eastAsia="Arial" w:hAnsi="Arial"/>
          <w:b/>
          <w:bCs/>
        </w:rPr>
        <w:t xml:space="preserve">4.3 Collective Verification</w:t>
      </w:r>
    </w:p>
    <w:p>
      <w:pPr>
        <w:spacing w:after="160" w:line="320"/>
      </w:pPr>
      <w:r>
        <w:rPr>
          <w:rFonts w:ascii="Arial" w:cs="Arial" w:eastAsia="Arial" w:hAnsi="Arial"/>
          <w:sz w:val="22"/>
          <w:szCs w:val="22"/>
        </w:rPr>
        <w:t xml:space="preserve">One AI gives you an opinion. Our systems give you verified consensus — through methods nobody else has built. Multiple AI providers analyze, debate, and converge, producing answers that are more reliable than any single provider.</w:t>
      </w:r>
    </w:p>
    <w:p>
      <w:pPr>
        <w:spacing w:after="160" w:line="320"/>
      </w:pPr>
      <w:r>
        <w:rPr>
          <w:rFonts w:ascii="Arial" w:cs="Arial" w:eastAsia="Arial" w:hAnsi="Arial"/>
          <w:sz w:val="22"/>
          <w:szCs w:val="22"/>
        </w:rPr>
        <w:t xml:space="preserve">Additional proprietary capabilities are in active development. Details will be published as products launch.</w:t>
      </w:r>
    </w:p>
    <w:p>
      <w:pPr>
        <w:pStyle w:val="Heading1"/>
        <w:spacing w:after="240" w:before="400"/>
      </w:pPr>
      <w:r>
        <w:rPr>
          <w:rFonts w:ascii="Arial" w:cs="Arial" w:eastAsia="Arial" w:hAnsi="Arial"/>
          <w:b/>
          <w:bCs/>
        </w:rPr>
        <w:t xml:space="preserve">5. Ghost AI Token (GHAI)</w:t>
      </w:r>
    </w:p>
    <w:p>
      <w:pPr>
        <w:pStyle w:val="Heading2"/>
        <w:spacing w:after="180" w:before="300"/>
      </w:pPr>
      <w:r>
        <w:rPr>
          <w:rFonts w:ascii="Arial" w:cs="Arial" w:eastAsia="Arial" w:hAnsi="Arial"/>
          <w:b/>
          <w:bCs/>
        </w:rPr>
        <w:t xml:space="preserve">5.1 Token Specifications</w:t>
      </w:r>
    </w:p>
    <w:p>
      <w:pPr>
        <w:spacing w:after="160" w:line="320"/>
      </w:pPr>
      <w:r>
        <w:rPr>
          <w:rFonts w:ascii="Arial" w:cs="Arial" w:eastAsia="Arial" w:hAnsi="Arial"/>
          <w:sz w:val="22"/>
          <w:szCs w:val="22"/>
        </w:rPr>
        <w:t xml:space="preserve">Blockchain: Solana</w:t>
      </w:r>
    </w:p>
    <w:p>
      <w:pPr>
        <w:spacing w:after="160" w:line="320"/>
      </w:pPr>
      <w:r>
        <w:rPr>
          <w:rFonts w:ascii="Arial" w:cs="Arial" w:eastAsia="Arial" w:hAnsi="Arial"/>
          <w:sz w:val="22"/>
          <w:szCs w:val="22"/>
        </w:rPr>
        <w:t xml:space="preserve">Token Standard: SPL Token</w:t>
      </w:r>
    </w:p>
    <w:p>
      <w:pPr>
        <w:spacing w:after="160" w:line="320"/>
      </w:pPr>
      <w:r>
        <w:rPr>
          <w:rFonts w:ascii="Arial" w:cs="Arial" w:eastAsia="Arial" w:hAnsi="Arial"/>
          <w:sz w:val="22"/>
          <w:szCs w:val="22"/>
        </w:rPr>
        <w:t xml:space="preserve">Contract Address: Ch8Ek9PTbzSGdL4EWHC2pQfPq2vTseiCPjeZsAZLx5gK</w:t>
      </w:r>
    </w:p>
    <w:p>
      <w:pPr>
        <w:spacing w:after="160" w:line="320"/>
      </w:pPr>
      <w:r>
        <w:rPr>
          <w:rFonts w:ascii="Arial" w:cs="Arial" w:eastAsia="Arial" w:hAnsi="Arial"/>
          <w:sz w:val="22"/>
          <w:szCs w:val="22"/>
        </w:rPr>
        <w:t xml:space="preserve">Symbol: GHAI</w:t>
      </w:r>
    </w:p>
    <w:p>
      <w:pPr>
        <w:spacing w:after="160" w:line="320"/>
      </w:pPr>
      <w:r>
        <w:rPr>
          <w:rFonts w:ascii="Arial" w:cs="Arial" w:eastAsia="Arial" w:hAnsi="Arial"/>
          <w:sz w:val="22"/>
          <w:szCs w:val="22"/>
        </w:rPr>
        <w:t xml:space="preserve">Decimals: 6</w:t>
      </w:r>
    </w:p>
    <w:p>
      <w:pPr>
        <w:spacing w:after="160" w:line="320"/>
      </w:pPr>
      <w:r>
        <w:rPr>
          <w:rFonts w:ascii="Arial" w:cs="Arial" w:eastAsia="Arial" w:hAnsi="Arial"/>
          <w:sz w:val="22"/>
          <w:szCs w:val="22"/>
        </w:rPr>
        <w:t xml:space="preserve">Total Supply: 1,000,000,000 (1 billion)</w:t>
      </w:r>
    </w:p>
    <w:p>
      <w:pPr>
        <w:spacing w:after="160" w:line="320"/>
      </w:pPr>
      <w:r>
        <w:rPr>
          <w:rFonts w:ascii="Arial" w:cs="Arial" w:eastAsia="Arial" w:hAnsi="Arial"/>
          <w:sz w:val="22"/>
          <w:szCs w:val="22"/>
        </w:rPr>
        <w:t xml:space="preserve">Mint Authority: Permanently Revoked</w:t>
      </w:r>
    </w:p>
    <w:p>
      <w:pPr>
        <w:spacing w:after="160" w:line="320"/>
      </w:pPr>
      <w:r>
        <w:rPr>
          <w:rFonts w:ascii="Arial" w:cs="Arial" w:eastAsia="Arial" w:hAnsi="Arial"/>
          <w:sz w:val="22"/>
          <w:szCs w:val="22"/>
        </w:rPr>
        <w:t xml:space="preserve">Freeze Authority: Permanently Revoked</w:t>
      </w:r>
    </w:p>
    <w:p>
      <w:pPr>
        <w:spacing w:after="200"/>
      </w:pPr>
    </w:p>
    <w:p>
      <w:pPr>
        <w:pStyle w:val="Heading2"/>
        <w:spacing w:after="180" w:before="300"/>
      </w:pPr>
      <w:r>
        <w:rPr>
          <w:rFonts w:ascii="Arial" w:cs="Arial" w:eastAsia="Arial" w:hAnsi="Arial"/>
          <w:b/>
          <w:bCs/>
        </w:rPr>
        <w:t xml:space="preserve">5.2 Token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333355" w:sz="1"/>
              <w:left w:val="single" w:color="333355" w:sz="1"/>
              <w:bottom w:val="single" w:color="333355" w:sz="1"/>
              <w:right w:val="single" w:color="333355" w:sz="1"/>
            </w:tcBorders>
            <w:shd w:fill="1A1A3A" w:val="clear"/>
            <w:tcMar>
              <w:top w:type="dxa" w:w="100"/>
              <w:left w:type="dxa" w:w="140"/>
              <w:bottom w:type="dxa" w:w="100"/>
              <w:right w:type="dxa" w:w="140"/>
            </w:tcMar>
          </w:tcPr>
          <w:p>
            <w:r>
              <w:rPr>
                <w:rFonts w:ascii="Arial" w:cs="Arial" w:eastAsia="Arial" w:hAnsi="Arial"/>
                <w:b/>
                <w:bCs/>
                <w:color w:val="00D4FF"/>
                <w:sz w:val="20"/>
                <w:szCs w:val="20"/>
              </w:rPr>
              <w:t xml:space="preserve">Allocation</w:t>
            </w:r>
          </w:p>
        </w:tc>
        <w:tc>
          <w:tcPr>
            <w:tcW w:type="dxa" w:w="2000"/>
            <w:tcBorders>
              <w:top w:val="single" w:color="333355" w:sz="1"/>
              <w:left w:val="single" w:color="333355" w:sz="1"/>
              <w:bottom w:val="single" w:color="333355" w:sz="1"/>
              <w:right w:val="single" w:color="333355" w:sz="1"/>
            </w:tcBorders>
            <w:shd w:fill="1A1A3A" w:val="clear"/>
            <w:tcMar>
              <w:top w:type="dxa" w:w="100"/>
              <w:left w:type="dxa" w:w="140"/>
              <w:bottom w:type="dxa" w:w="100"/>
              <w:right w:type="dxa" w:w="140"/>
            </w:tcMar>
          </w:tcPr>
          <w:p>
            <w:r>
              <w:rPr>
                <w:rFonts w:ascii="Arial" w:cs="Arial" w:eastAsia="Arial" w:hAnsi="Arial"/>
                <w:b/>
                <w:bCs/>
                <w:color w:val="00D4FF"/>
                <w:sz w:val="20"/>
                <w:szCs w:val="20"/>
              </w:rPr>
              <w:t xml:space="preserve">Amount</w:t>
            </w:r>
          </w:p>
        </w:tc>
        <w:tc>
          <w:tcPr>
            <w:tcW w:type="dxa" w:w="4160"/>
            <w:tcBorders>
              <w:top w:val="single" w:color="333355" w:sz="1"/>
              <w:left w:val="single" w:color="333355" w:sz="1"/>
              <w:bottom w:val="single" w:color="333355" w:sz="1"/>
              <w:right w:val="single" w:color="333355" w:sz="1"/>
            </w:tcBorders>
            <w:shd w:fill="1A1A3A" w:val="clear"/>
            <w:tcMar>
              <w:top w:type="dxa" w:w="100"/>
              <w:left w:type="dxa" w:w="140"/>
              <w:bottom w:type="dxa" w:w="100"/>
              <w:right w:type="dxa" w:w="140"/>
            </w:tcMar>
          </w:tcPr>
          <w:p>
            <w:r>
              <w:rPr>
                <w:rFonts w:ascii="Arial" w:cs="Arial" w:eastAsia="Arial" w:hAnsi="Arial"/>
                <w:b/>
                <w:bCs/>
                <w:color w:val="00D4FF"/>
                <w:sz w:val="20"/>
                <w:szCs w:val="20"/>
              </w:rPr>
              <w:t xml:space="preserve">Purpose</w:t>
            </w:r>
          </w:p>
        </w:tc>
      </w:tr>
      <w:tr>
        <w:tc>
          <w:tcPr>
            <w:tcW w:type="dxa" w:w="32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Ecosystem Reserve</w:t>
            </w:r>
          </w:p>
        </w:tc>
        <w:tc>
          <w:tcPr>
            <w:tcW w:type="dxa" w:w="20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450,000,000 (45%)</w:t>
            </w:r>
          </w:p>
        </w:tc>
        <w:tc>
          <w:tcPr>
            <w:tcW w:type="dxa" w:w="416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Platform development, partnerships, future product launches</w:t>
            </w:r>
          </w:p>
        </w:tc>
      </w:tr>
      <w:tr>
        <w:tc>
          <w:tcPr>
            <w:tcW w:type="dxa" w:w="32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Permanently Burned</w:t>
            </w:r>
          </w:p>
        </w:tc>
        <w:tc>
          <w:tcPr>
            <w:tcW w:type="dxa" w:w="20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300,000,000 (30%)</w:t>
            </w:r>
          </w:p>
        </w:tc>
        <w:tc>
          <w:tcPr>
            <w:tcW w:type="dxa" w:w="416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Deflationary measure — these tokens are destroyed forever</w:t>
            </w:r>
          </w:p>
        </w:tc>
      </w:tr>
      <w:tr>
        <w:tc>
          <w:tcPr>
            <w:tcW w:type="dxa" w:w="32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Cold Storage (Ledger)</w:t>
            </w:r>
          </w:p>
        </w:tc>
        <w:tc>
          <w:tcPr>
            <w:tcW w:type="dxa" w:w="20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200,000,000 (20%)</w:t>
            </w:r>
          </w:p>
        </w:tc>
        <w:tc>
          <w:tcPr>
            <w:tcW w:type="dxa" w:w="416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Long-term reserve, team allocation, vesting</w:t>
            </w:r>
          </w:p>
        </w:tc>
      </w:tr>
      <w:tr>
        <w:tc>
          <w:tcPr>
            <w:tcW w:type="dxa" w:w="32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Liquidity + Community</w:t>
            </w:r>
          </w:p>
        </w:tc>
        <w:tc>
          <w:tcPr>
            <w:tcW w:type="dxa" w:w="20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50,000,000 (5%)</w:t>
            </w:r>
          </w:p>
        </w:tc>
        <w:tc>
          <w:tcPr>
            <w:tcW w:type="dxa" w:w="416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Raydium liquidity pool, community rewards, competitions</w:t>
            </w:r>
          </w:p>
        </w:tc>
      </w:tr>
    </w:tbl>
    <w:p>
      <w:pPr>
        <w:spacing w:after="200"/>
      </w:pPr>
    </w:p>
    <w:p>
      <w:pPr>
        <w:pStyle w:val="Heading2"/>
        <w:spacing w:after="180" w:before="300"/>
      </w:pPr>
      <w:r>
        <w:rPr>
          <w:rFonts w:ascii="Arial" w:cs="Arial" w:eastAsia="Arial" w:hAnsi="Arial"/>
          <w:b/>
          <w:bCs/>
        </w:rPr>
        <w:t xml:space="preserve">5.3 Utility — How GHAI Is Used</w:t>
      </w:r>
    </w:p>
    <w:p>
      <w:pPr>
        <w:spacing w:after="160" w:line="320"/>
      </w:pPr>
      <w:r>
        <w:rPr>
          <w:rFonts w:ascii="Arial" w:cs="Arial" w:eastAsia="Arial" w:hAnsi="Arial"/>
          <w:sz w:val="22"/>
          <w:szCs w:val="22"/>
        </w:rPr>
        <w:t xml:space="preserve">GHAI is the sole utility token of the voidexa ecosystem. It is used to:</w:t>
      </w:r>
    </w:p>
    <w:p>
      <w:pPr>
        <w:pStyle w:val="ListParagraph"/>
        <w:numPr>
          <w:ilvl w:val="0"/>
          <w:numId w:val="2"/>
        </w:numPr>
        <w:spacing w:after="80"/>
      </w:pPr>
      <w:r>
        <w:rPr>
          <w:rFonts w:ascii="Arial" w:cs="Arial" w:eastAsia="Arial" w:hAnsi="Arial"/>
          <w:sz w:val="22"/>
          <w:szCs w:val="22"/>
        </w:rPr>
        <w:t xml:space="preserve">Access Ghost AI chat services (pay per message)</w:t>
      </w:r>
    </w:p>
    <w:p>
      <w:pPr>
        <w:pStyle w:val="ListParagraph"/>
        <w:numPr>
          <w:ilvl w:val="0"/>
          <w:numId w:val="2"/>
        </w:numPr>
        <w:spacing w:after="80"/>
      </w:pPr>
      <w:r>
        <w:rPr>
          <w:rFonts w:ascii="Arial" w:cs="Arial" w:eastAsia="Arial" w:hAnsi="Arial"/>
          <w:sz w:val="22"/>
          <w:szCs w:val="22"/>
        </w:rPr>
        <w:t xml:space="preserve">Access Quantum premium multi-AI queries</w:t>
      </w:r>
    </w:p>
    <w:p>
      <w:pPr>
        <w:pStyle w:val="ListParagraph"/>
        <w:numPr>
          <w:ilvl w:val="0"/>
          <w:numId w:val="2"/>
        </w:numPr>
        <w:spacing w:after="80"/>
      </w:pPr>
      <w:r>
        <w:rPr>
          <w:rFonts w:ascii="Arial" w:cs="Arial" w:eastAsia="Arial" w:hAnsi="Arial"/>
          <w:sz w:val="22"/>
          <w:szCs w:val="22"/>
        </w:rPr>
        <w:t xml:space="preserve">Upload and run trading bots on Trading Hub</w:t>
      </w:r>
    </w:p>
    <w:p>
      <w:pPr>
        <w:pStyle w:val="ListParagraph"/>
        <w:numPr>
          <w:ilvl w:val="0"/>
          <w:numId w:val="2"/>
        </w:numPr>
        <w:spacing w:after="80"/>
      </w:pPr>
      <w:r>
        <w:rPr>
          <w:rFonts w:ascii="Arial" w:cs="Arial" w:eastAsia="Arial" w:hAnsi="Arial"/>
          <w:sz w:val="22"/>
          <w:szCs w:val="22"/>
        </w:rPr>
        <w:t xml:space="preserve">Enter monthly trading competitions</w:t>
      </w:r>
    </w:p>
    <w:p>
      <w:pPr>
        <w:pStyle w:val="ListParagraph"/>
        <w:numPr>
          <w:ilvl w:val="0"/>
          <w:numId w:val="2"/>
        </w:numPr>
        <w:spacing w:after="80"/>
      </w:pPr>
      <w:r>
        <w:rPr>
          <w:rFonts w:ascii="Arial" w:cs="Arial" w:eastAsia="Arial" w:hAnsi="Arial"/>
          <w:sz w:val="22"/>
          <w:szCs w:val="22"/>
        </w:rPr>
        <w:t xml:space="preserve">Purchase nodes in shared trading pools</w:t>
      </w:r>
    </w:p>
    <w:p>
      <w:pPr>
        <w:pStyle w:val="ListParagraph"/>
        <w:numPr>
          <w:ilvl w:val="0"/>
          <w:numId w:val="2"/>
        </w:numPr>
        <w:spacing w:after="80"/>
      </w:pPr>
      <w:r>
        <w:rPr>
          <w:rFonts w:ascii="Arial" w:cs="Arial" w:eastAsia="Arial" w:hAnsi="Arial"/>
          <w:sz w:val="22"/>
          <w:szCs w:val="22"/>
        </w:rPr>
        <w:t xml:space="preserve">Pay for Comlink encrypted server rental</w:t>
      </w:r>
    </w:p>
    <w:p>
      <w:pPr>
        <w:pStyle w:val="ListParagraph"/>
        <w:numPr>
          <w:ilvl w:val="0"/>
          <w:numId w:val="2"/>
        </w:numPr>
        <w:spacing w:after="80"/>
      </w:pPr>
      <w:r>
        <w:rPr>
          <w:rFonts w:ascii="Arial" w:cs="Arial" w:eastAsia="Arial" w:hAnsi="Arial"/>
          <w:sz w:val="22"/>
          <w:szCs w:val="22"/>
        </w:rPr>
        <w:t xml:space="preserve">Unlock copy-trading features</w:t>
      </w:r>
    </w:p>
    <w:p>
      <w:pPr>
        <w:pStyle w:val="ListParagraph"/>
        <w:numPr>
          <w:ilvl w:val="0"/>
          <w:numId w:val="2"/>
        </w:numPr>
        <w:spacing w:after="80"/>
      </w:pPr>
      <w:r>
        <w:rPr>
          <w:rFonts w:ascii="Arial" w:cs="Arial" w:eastAsia="Arial" w:hAnsi="Arial"/>
          <w:sz w:val="22"/>
          <w:szCs w:val="22"/>
        </w:rPr>
        <w:t xml:space="preserve">Earn rewards through referrals and achievements</w:t>
      </w:r>
    </w:p>
    <w:p>
      <w:pPr>
        <w:spacing w:after="200"/>
      </w:pPr>
    </w:p>
    <w:p>
      <w:pPr>
        <w:spacing w:after="160" w:line="320"/>
      </w:pPr>
      <w:r>
        <w:rPr>
          <w:rFonts w:ascii="Arial" w:cs="Arial" w:eastAsia="Arial" w:hAnsi="Arial"/>
          <w:sz w:val="22"/>
          <w:szCs w:val="22"/>
        </w:rPr>
        <w:t xml:space="preserve">All services also accept fiat payment (credit card via Stripe) at a 15% premium. This incentivizes GHAI usage while ensuring accessibility for users who prefer traditional payment.</w:t>
      </w:r>
    </w:p>
    <w:p>
      <w:pPr>
        <w:pStyle w:val="Heading2"/>
        <w:spacing w:after="180" w:before="300"/>
      </w:pPr>
      <w:r>
        <w:rPr>
          <w:rFonts w:ascii="Arial" w:cs="Arial" w:eastAsia="Arial" w:hAnsi="Arial"/>
          <w:b/>
          <w:bCs/>
        </w:rPr>
        <w:t xml:space="preserve">5.4 Deflationary Mechanics</w:t>
      </w:r>
    </w:p>
    <w:p>
      <w:pPr>
        <w:spacing w:after="160" w:line="320"/>
      </w:pPr>
      <w:r>
        <w:rPr>
          <w:rFonts w:ascii="Arial" w:cs="Arial" w:eastAsia="Arial" w:hAnsi="Arial"/>
          <w:sz w:val="22"/>
          <w:szCs w:val="22"/>
        </w:rPr>
        <w:t xml:space="preserve">30% of total supply (300 million tokens) has been permanently burned. Mint authority is revoked — no new tokens can ever be created. As demand for platform services grows and tokens circulate, the fixed supply creates natural scarcity.</w:t>
      </w:r>
    </w:p>
    <w:p>
      <w:pPr>
        <w:spacing w:after="160" w:line="320"/>
      </w:pPr>
      <w:r>
        <w:rPr>
          <w:rFonts w:ascii="Arial" w:cs="Arial" w:eastAsia="Arial" w:hAnsi="Arial"/>
          <w:sz w:val="22"/>
          <w:szCs w:val="22"/>
        </w:rPr>
        <w:t xml:space="preserve">A portion of platform fees collected in GHAI may be periodically burned, further reducing supply. Burn events will be announced publicly and verified on-chain.</w:t>
      </w:r>
    </w:p>
    <w:p>
      <w:r>
        <w:br w:type="page"/>
      </w:r>
    </w:p>
    <w:p>
      <w:pPr>
        <w:pStyle w:val="Heading1"/>
        <w:spacing w:after="240" w:before="400"/>
      </w:pPr>
      <w:r>
        <w:rPr>
          <w:rFonts w:ascii="Arial" w:cs="Arial" w:eastAsia="Arial" w:hAnsi="Arial"/>
          <w:b/>
          <w:bCs/>
        </w:rPr>
        <w:t xml:space="preserve">6.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333355" w:sz="1"/>
              <w:left w:val="single" w:color="333355" w:sz="1"/>
              <w:bottom w:val="single" w:color="333355" w:sz="1"/>
              <w:right w:val="single" w:color="333355" w:sz="1"/>
            </w:tcBorders>
            <w:shd w:fill="1A1A3A" w:val="clear"/>
            <w:tcMar>
              <w:top w:type="dxa" w:w="100"/>
              <w:left w:type="dxa" w:w="140"/>
              <w:bottom w:type="dxa" w:w="100"/>
              <w:right w:type="dxa" w:w="140"/>
            </w:tcMar>
          </w:tcPr>
          <w:p>
            <w:r>
              <w:rPr>
                <w:rFonts w:ascii="Arial" w:cs="Arial" w:eastAsia="Arial" w:hAnsi="Arial"/>
                <w:b/>
                <w:bCs/>
                <w:color w:val="00D4FF"/>
                <w:sz w:val="20"/>
                <w:szCs w:val="20"/>
              </w:rPr>
              <w:t xml:space="preserve">Timeline</w:t>
            </w:r>
          </w:p>
        </w:tc>
        <w:tc>
          <w:tcPr>
            <w:tcW w:type="dxa" w:w="3600"/>
            <w:tcBorders>
              <w:top w:val="single" w:color="333355" w:sz="1"/>
              <w:left w:val="single" w:color="333355" w:sz="1"/>
              <w:bottom w:val="single" w:color="333355" w:sz="1"/>
              <w:right w:val="single" w:color="333355" w:sz="1"/>
            </w:tcBorders>
            <w:shd w:fill="1A1A3A" w:val="clear"/>
            <w:tcMar>
              <w:top w:type="dxa" w:w="100"/>
              <w:left w:type="dxa" w:w="140"/>
              <w:bottom w:type="dxa" w:w="100"/>
              <w:right w:type="dxa" w:w="140"/>
            </w:tcMar>
          </w:tcPr>
          <w:p>
            <w:r>
              <w:rPr>
                <w:rFonts w:ascii="Arial" w:cs="Arial" w:eastAsia="Arial" w:hAnsi="Arial"/>
                <w:b/>
                <w:bCs/>
                <w:color w:val="00D4FF"/>
                <w:sz w:val="20"/>
                <w:szCs w:val="20"/>
              </w:rPr>
              <w:t xml:space="preserve">Milestone</w:t>
            </w:r>
          </w:p>
        </w:tc>
        <w:tc>
          <w:tcPr>
            <w:tcW w:type="dxa" w:w="3760"/>
            <w:tcBorders>
              <w:top w:val="single" w:color="333355" w:sz="1"/>
              <w:left w:val="single" w:color="333355" w:sz="1"/>
              <w:bottom w:val="single" w:color="333355" w:sz="1"/>
              <w:right w:val="single" w:color="333355" w:sz="1"/>
            </w:tcBorders>
            <w:shd w:fill="1A1A3A" w:val="clear"/>
            <w:tcMar>
              <w:top w:type="dxa" w:w="100"/>
              <w:left w:type="dxa" w:w="140"/>
              <w:bottom w:type="dxa" w:w="100"/>
              <w:right w:type="dxa" w:w="140"/>
            </w:tcMar>
          </w:tcPr>
          <w:p>
            <w:r>
              <w:rPr>
                <w:rFonts w:ascii="Arial" w:cs="Arial" w:eastAsia="Arial" w:hAnsi="Arial"/>
                <w:b/>
                <w:bCs/>
                <w:color w:val="00D4FF"/>
                <w:sz w:val="20"/>
                <w:szCs w:val="20"/>
              </w:rPr>
              <w:t xml:space="preserve">Deliverable</w:t>
            </w:r>
          </w:p>
        </w:tc>
      </w:tr>
      <w:tr>
        <w:tc>
          <w:tcPr>
            <w:tcW w:type="dxa" w:w="20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Q1 2026</w:t>
            </w:r>
          </w:p>
        </w:tc>
        <w:tc>
          <w:tcPr>
            <w:tcW w:type="dxa" w:w="36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Token Launch</w:t>
            </w:r>
          </w:p>
        </w:tc>
        <w:tc>
          <w:tcPr>
            <w:tcW w:type="dxa" w:w="376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GHAI live on Solana, Raydium liquidity, website launch</w:t>
            </w:r>
          </w:p>
        </w:tc>
      </w:tr>
      <w:tr>
        <w:tc>
          <w:tcPr>
            <w:tcW w:type="dxa" w:w="20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Q2 2026</w:t>
            </w:r>
          </w:p>
        </w:tc>
        <w:tc>
          <w:tcPr>
            <w:tcW w:type="dxa" w:w="36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Platform Foundation</w:t>
            </w:r>
          </w:p>
        </w:tc>
        <w:tc>
          <w:tcPr>
            <w:tcW w:type="dxa" w:w="376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User accounts, wallet connection, waitlist system</w:t>
            </w:r>
          </w:p>
        </w:tc>
      </w:tr>
      <w:tr>
        <w:tc>
          <w:tcPr>
            <w:tcW w:type="dxa" w:w="20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Q2 2026</w:t>
            </w:r>
          </w:p>
        </w:tc>
        <w:tc>
          <w:tcPr>
            <w:tcW w:type="dxa" w:w="36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Ghost AI Chat MVP</w:t>
            </w:r>
          </w:p>
        </w:tc>
        <w:tc>
          <w:tcPr>
            <w:tcW w:type="dxa" w:w="376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Multi-provider AI chat with GHAI payment</w:t>
            </w:r>
          </w:p>
        </w:tc>
      </w:tr>
      <w:tr>
        <w:tc>
          <w:tcPr>
            <w:tcW w:type="dxa" w:w="20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Q3 2026</w:t>
            </w:r>
          </w:p>
        </w:tc>
        <w:tc>
          <w:tcPr>
            <w:tcW w:type="dxa" w:w="36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Trading Hub Launch</w:t>
            </w:r>
          </w:p>
        </w:tc>
        <w:tc>
          <w:tcPr>
            <w:tcW w:type="dxa" w:w="376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Bot uploads, sandbox, leaderboard, first competition</w:t>
            </w:r>
          </w:p>
        </w:tc>
      </w:tr>
      <w:tr>
        <w:tc>
          <w:tcPr>
            <w:tcW w:type="dxa" w:w="20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Q3 2026</w:t>
            </w:r>
          </w:p>
        </w:tc>
        <w:tc>
          <w:tcPr>
            <w:tcW w:type="dxa" w:w="36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Node System</w:t>
            </w:r>
          </w:p>
        </w:tc>
        <w:tc>
          <w:tcPr>
            <w:tcW w:type="dxa" w:w="376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Shared trading pools, tiered pricing, profit distribution</w:t>
            </w:r>
          </w:p>
        </w:tc>
      </w:tr>
      <w:tr>
        <w:tc>
          <w:tcPr>
            <w:tcW w:type="dxa" w:w="20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Q4 2026</w:t>
            </w:r>
          </w:p>
        </w:tc>
        <w:tc>
          <w:tcPr>
            <w:tcW w:type="dxa" w:w="36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Quantum Public Access</w:t>
            </w:r>
          </w:p>
        </w:tc>
        <w:tc>
          <w:tcPr>
            <w:tcW w:type="dxa" w:w="376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Multi-AI consensus engine available to all users</w:t>
            </w:r>
          </w:p>
        </w:tc>
      </w:tr>
      <w:tr>
        <w:tc>
          <w:tcPr>
            <w:tcW w:type="dxa" w:w="20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Q4 2026</w:t>
            </w:r>
          </w:p>
        </w:tc>
        <w:tc>
          <w:tcPr>
            <w:tcW w:type="dxa" w:w="36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Gamification</w:t>
            </w:r>
          </w:p>
        </w:tc>
        <w:tc>
          <w:tcPr>
            <w:tcW w:type="dxa" w:w="376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Referrals, achievements, GHAI rewards engine</w:t>
            </w:r>
          </w:p>
        </w:tc>
      </w:tr>
      <w:tr>
        <w:tc>
          <w:tcPr>
            <w:tcW w:type="dxa" w:w="20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2027</w:t>
            </w:r>
          </w:p>
        </w:tc>
        <w:tc>
          <w:tcPr>
            <w:tcW w:type="dxa" w:w="36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Ecosystem Expansion</w:t>
            </w:r>
          </w:p>
        </w:tc>
        <w:tc>
          <w:tcPr>
            <w:tcW w:type="dxa" w:w="376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Copy-trading marketplace, mobile access, API marketplace</w:t>
            </w:r>
          </w:p>
        </w:tc>
      </w:tr>
      <w:tr>
        <w:tc>
          <w:tcPr>
            <w:tcW w:type="dxa" w:w="20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2027+</w:t>
            </w:r>
          </w:p>
        </w:tc>
        <w:tc>
          <w:tcPr>
            <w:tcW w:type="dxa" w:w="360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Advanced Products</w:t>
            </w:r>
          </w:p>
        </w:tc>
        <w:tc>
          <w:tcPr>
            <w:tcW w:type="dxa" w:w="3760"/>
            <w:tcBorders>
              <w:top w:val="single" w:color="333355" w:sz="1"/>
              <w:left w:val="single" w:color="333355" w:sz="1"/>
              <w:bottom w:val="single" w:color="333355" w:sz="1"/>
              <w:right w:val="single" w:color="333355" w:sz="1"/>
            </w:tcBorders>
            <w:tcMar>
              <w:top w:type="dxa" w:w="100"/>
              <w:left w:type="dxa" w:w="140"/>
              <w:bottom w:type="dxa" w:w="100"/>
              <w:right w:type="dxa" w:w="140"/>
            </w:tcMar>
          </w:tcPr>
          <w:p>
            <w:r>
              <w:rPr>
                <w:rFonts w:ascii="Arial" w:cs="Arial" w:eastAsia="Arial" w:hAnsi="Arial"/>
                <w:sz w:val="20"/>
                <w:szCs w:val="20"/>
              </w:rPr>
              <w:t xml:space="preserve">Decentralized AI compute, cross-platform integrations</w:t>
            </w:r>
          </w:p>
        </w:tc>
      </w:tr>
    </w:tbl>
    <w:p>
      <w:r>
        <w:br w:type="page"/>
      </w:r>
    </w:p>
    <w:p>
      <w:pPr>
        <w:pStyle w:val="Heading1"/>
        <w:spacing w:after="240" w:before="400"/>
      </w:pPr>
      <w:r>
        <w:rPr>
          <w:rFonts w:ascii="Arial" w:cs="Arial" w:eastAsia="Arial" w:hAnsi="Arial"/>
          <w:b/>
          <w:bCs/>
        </w:rPr>
        <w:t xml:space="preserve">7. Team</w:t>
      </w:r>
    </w:p>
    <w:p>
      <w:pPr>
        <w:spacing w:after="160" w:line="320"/>
      </w:pPr>
      <w:r>
        <w:rPr>
          <w:rFonts w:ascii="Arial" w:cs="Arial" w:eastAsia="Arial" w:hAnsi="Arial"/>
          <w:sz w:val="22"/>
          <w:szCs w:val="22"/>
        </w:rPr>
        <w:t xml:space="preserve">voidexa is founded and operated by a solo technical founder based in Denmark. The company is registered under CVR 46343387.</w:t>
      </w:r>
    </w:p>
    <w:p>
      <w:pPr>
        <w:spacing w:after="160" w:line="320"/>
      </w:pPr>
      <w:r>
        <w:rPr>
          <w:rFonts w:ascii="Arial" w:cs="Arial" w:eastAsia="Arial" w:hAnsi="Arial"/>
          <w:sz w:val="22"/>
          <w:szCs w:val="22"/>
        </w:rPr>
        <w:t xml:space="preserve">The founder brings expertise in AI systems architecture, autonomous trading systems, encrypted communication protocols, and multi-AI orchestration. All products are designed, built, and maintained in-house using a multi-AI development workflow.</w:t>
      </w:r>
    </w:p>
    <w:p>
      <w:pPr>
        <w:spacing w:after="160" w:line="320"/>
      </w:pPr>
      <w:r>
        <w:rPr>
          <w:rFonts w:ascii="Arial" w:cs="Arial" w:eastAsia="Arial" w:hAnsi="Arial"/>
          <w:sz w:val="22"/>
          <w:szCs w:val="22"/>
        </w:rPr>
        <w:t xml:space="preserve">voidexa operates with radical transparency: all AI products clearly state which providers power them. We sell orchestration value — not API access disguised as proprietary technology.</w:t>
      </w:r>
    </w:p>
    <w:p>
      <w:pPr>
        <w:pStyle w:val="Heading1"/>
        <w:spacing w:after="240" w:before="400"/>
      </w:pPr>
      <w:r>
        <w:rPr>
          <w:rFonts w:ascii="Arial" w:cs="Arial" w:eastAsia="Arial" w:hAnsi="Arial"/>
          <w:b/>
          <w:bCs/>
        </w:rPr>
        <w:t xml:space="preserve">8. Governance &amp; Transparency</w:t>
      </w:r>
    </w:p>
    <w:p>
      <w:pPr>
        <w:pStyle w:val="Heading2"/>
        <w:spacing w:after="180" w:before="300"/>
      </w:pPr>
      <w:r>
        <w:rPr>
          <w:rFonts w:ascii="Arial" w:cs="Arial" w:eastAsia="Arial" w:hAnsi="Arial"/>
          <w:b/>
          <w:bCs/>
        </w:rPr>
        <w:t xml:space="preserve">8.1 Open Token Economics</w:t>
      </w:r>
    </w:p>
    <w:p>
      <w:pPr>
        <w:spacing w:after="160" w:line="320"/>
      </w:pPr>
      <w:r>
        <w:rPr>
          <w:rFonts w:ascii="Arial" w:cs="Arial" w:eastAsia="Arial" w:hAnsi="Arial"/>
          <w:sz w:val="22"/>
          <w:szCs w:val="22"/>
        </w:rPr>
        <w:t xml:space="preserve">All GHAI transactions are verifiable on the Solana blockchain. Token distribution, burns, and liquidity pool activity are publicly visible at any time via Solscan or any Solana block explorer.</w:t>
      </w:r>
    </w:p>
    <w:p>
      <w:pPr>
        <w:pStyle w:val="Heading2"/>
        <w:spacing w:after="180" w:before="300"/>
      </w:pPr>
      <w:r>
        <w:rPr>
          <w:rFonts w:ascii="Arial" w:cs="Arial" w:eastAsia="Arial" w:hAnsi="Arial"/>
          <w:b/>
          <w:bCs/>
        </w:rPr>
        <w:t xml:space="preserve">8.2 Product-First Approach</w:t>
      </w:r>
    </w:p>
    <w:p>
      <w:pPr>
        <w:spacing w:after="160" w:line="320"/>
      </w:pPr>
      <w:r>
        <w:rPr>
          <w:rFonts w:ascii="Arial" w:cs="Arial" w:eastAsia="Arial" w:hAnsi="Arial"/>
          <w:sz w:val="22"/>
          <w:szCs w:val="22"/>
        </w:rPr>
        <w:t xml:space="preserve">voidexa builds products first, then integrates token economics. GHAI exists to power real services — not the other way around. Every product on the platform must deliver genuine value independent of the token.</w:t>
      </w:r>
    </w:p>
    <w:p>
      <w:pPr>
        <w:pStyle w:val="Heading2"/>
        <w:spacing w:after="180" w:before="300"/>
      </w:pPr>
      <w:r>
        <w:rPr>
          <w:rFonts w:ascii="Arial" w:cs="Arial" w:eastAsia="Arial" w:hAnsi="Arial"/>
          <w:b/>
          <w:bCs/>
        </w:rPr>
        <w:t xml:space="preserve">8.3 Regulatory Compliance</w:t>
      </w:r>
    </w:p>
    <w:p>
      <w:pPr>
        <w:spacing w:after="160" w:line="320"/>
      </w:pPr>
      <w:r>
        <w:rPr>
          <w:rFonts w:ascii="Arial" w:cs="Arial" w:eastAsia="Arial" w:hAnsi="Arial"/>
          <w:sz w:val="22"/>
          <w:szCs w:val="22"/>
        </w:rPr>
        <w:t xml:space="preserve">voidexa operates under Danish law and EU regulations including MiCA. The company maintains compliance with anti-money laundering (AML) requirements and will implement identity verification as required by applicable regulations.</w:t>
      </w:r>
    </w:p>
    <w:p>
      <w:pPr>
        <w:pStyle w:val="Heading2"/>
        <w:spacing w:after="180" w:before="300"/>
      </w:pPr>
      <w:r>
        <w:rPr>
          <w:rFonts w:ascii="Arial" w:cs="Arial" w:eastAsia="Arial" w:hAnsi="Arial"/>
          <w:b/>
          <w:bCs/>
        </w:rPr>
        <w:t xml:space="preserve">8.4 Communication</w:t>
      </w:r>
    </w:p>
    <w:p>
      <w:pPr>
        <w:spacing w:after="160" w:line="320"/>
      </w:pPr>
      <w:r>
        <w:rPr>
          <w:rFonts w:ascii="Arial" w:cs="Arial" w:eastAsia="Arial" w:hAnsi="Arial"/>
          <w:sz w:val="22"/>
          <w:szCs w:val="22"/>
        </w:rPr>
        <w:t xml:space="preserve">Official channels:</w:t>
      </w:r>
    </w:p>
    <w:p>
      <w:pPr>
        <w:pStyle w:val="ListParagraph"/>
        <w:numPr>
          <w:ilvl w:val="0"/>
          <w:numId w:val="2"/>
        </w:numPr>
        <w:spacing w:after="80"/>
      </w:pPr>
      <w:r>
        <w:rPr>
          <w:rFonts w:ascii="Arial" w:cs="Arial" w:eastAsia="Arial" w:hAnsi="Arial"/>
          <w:sz w:val="22"/>
          <w:szCs w:val="22"/>
        </w:rPr>
        <w:t xml:space="preserve">Website: voidexa.com</w:t>
      </w:r>
    </w:p>
    <w:p>
      <w:pPr>
        <w:pStyle w:val="ListParagraph"/>
        <w:numPr>
          <w:ilvl w:val="0"/>
          <w:numId w:val="2"/>
        </w:numPr>
        <w:spacing w:after="80"/>
      </w:pPr>
      <w:r>
        <w:rPr>
          <w:rFonts w:ascii="Arial" w:cs="Arial" w:eastAsia="Arial" w:hAnsi="Arial"/>
          <w:sz w:val="22"/>
          <w:szCs w:val="22"/>
        </w:rPr>
        <w:t xml:space="preserve">Email: contact@voidexa.com</w:t>
      </w:r>
    </w:p>
    <w:p>
      <w:pPr>
        <w:pStyle w:val="ListParagraph"/>
        <w:numPr>
          <w:ilvl w:val="0"/>
          <w:numId w:val="2"/>
        </w:numPr>
        <w:spacing w:after="80"/>
      </w:pPr>
      <w:r>
        <w:rPr>
          <w:rFonts w:ascii="Arial" w:cs="Arial" w:eastAsia="Arial" w:hAnsi="Arial"/>
          <w:sz w:val="22"/>
          <w:szCs w:val="22"/>
        </w:rPr>
        <w:t xml:space="preserve">Telegram: Ghost AI community group</w:t>
      </w:r>
    </w:p>
    <w:p>
      <w:pPr>
        <w:spacing w:after="160" w:line="320"/>
      </w:pPr>
      <w:r>
        <w:rPr>
          <w:rFonts w:ascii="Arial" w:cs="Arial" w:eastAsia="Arial" w:hAnsi="Arial"/>
          <w:sz w:val="22"/>
          <w:szCs w:val="22"/>
        </w:rPr>
        <w:t xml:space="preserve">voidexa will never contact users requesting private keys, seed phrases, or token transfers. Be cautious of impersonators.</w:t>
      </w:r>
    </w:p>
    <w:p>
      <w:r>
        <w:br w:type="page"/>
      </w:r>
    </w:p>
    <w:p>
      <w:pPr>
        <w:pStyle w:val="Heading1"/>
        <w:spacing w:after="240" w:before="400"/>
      </w:pPr>
      <w:r>
        <w:rPr>
          <w:rFonts w:ascii="Arial" w:cs="Arial" w:eastAsia="Arial" w:hAnsi="Arial"/>
          <w:b/>
          <w:bCs/>
        </w:rPr>
        <w:t xml:space="preserve">9. Risk Factors</w:t>
      </w:r>
    </w:p>
    <w:p>
      <w:pPr>
        <w:spacing w:after="160" w:line="320"/>
      </w:pPr>
      <w:r>
        <w:rPr>
          <w:rFonts w:ascii="Arial" w:cs="Arial" w:eastAsia="Arial" w:hAnsi="Arial"/>
          <w:sz w:val="22"/>
          <w:szCs w:val="22"/>
        </w:rPr>
        <w:t xml:space="preserve">Potential GHAI holders should carefully consider the following risks:</w:t>
      </w:r>
    </w:p>
    <w:p>
      <w:pPr>
        <w:spacing w:after="160" w:line="320"/>
      </w:pPr>
      <w:r>
        <w:rPr>
          <w:rFonts w:ascii="Arial" w:cs="Arial" w:eastAsia="Arial" w:hAnsi="Arial"/>
          <w:b w:val="false"/>
          <w:bCs w:val="false"/>
          <w:sz w:val="22"/>
          <w:szCs w:val="22"/>
        </w:rPr>
        <w:t xml:space="preserve">Market Risk: The value of GHAI may fluctuate significantly. Cryptocurrency markets are volatile. Past performance of any voidexa product does not guarantee future results.</w:t>
      </w:r>
    </w:p>
    <w:p>
      <w:pPr>
        <w:spacing w:after="200"/>
      </w:pPr>
    </w:p>
    <w:p>
      <w:pPr>
        <w:spacing w:after="160" w:line="320"/>
      </w:pPr>
      <w:r>
        <w:rPr>
          <w:rFonts w:ascii="Arial" w:cs="Arial" w:eastAsia="Arial" w:hAnsi="Arial"/>
          <w:b w:val="false"/>
          <w:bCs w:val="false"/>
          <w:sz w:val="22"/>
          <w:szCs w:val="22"/>
        </w:rPr>
        <w:t xml:space="preserve">Regulatory Risk: Cryptocurrency regulations vary by jurisdiction and may change. Future regulations could impact the availability or utility of GHAI tokens.</w:t>
      </w:r>
    </w:p>
    <w:p>
      <w:pPr>
        <w:spacing w:after="200"/>
      </w:pPr>
    </w:p>
    <w:p>
      <w:pPr>
        <w:spacing w:after="160" w:line="320"/>
      </w:pPr>
      <w:r>
        <w:rPr>
          <w:rFonts w:ascii="Arial" w:cs="Arial" w:eastAsia="Arial" w:hAnsi="Arial"/>
          <w:b w:val="false"/>
          <w:bCs w:val="false"/>
          <w:sz w:val="22"/>
          <w:szCs w:val="22"/>
        </w:rPr>
        <w:t xml:space="preserve">Technology Risk: The voidexa platform is under active development. Product timelines may shift. Technical challenges may delay or alter planned features.</w:t>
      </w:r>
    </w:p>
    <w:p>
      <w:pPr>
        <w:spacing w:after="200"/>
      </w:pPr>
    </w:p>
    <w:p>
      <w:pPr>
        <w:spacing w:after="160" w:line="320"/>
      </w:pPr>
      <w:r>
        <w:rPr>
          <w:rFonts w:ascii="Arial" w:cs="Arial" w:eastAsia="Arial" w:hAnsi="Arial"/>
          <w:b w:val="false"/>
          <w:bCs w:val="false"/>
          <w:sz w:val="22"/>
          <w:szCs w:val="22"/>
        </w:rPr>
        <w:t xml:space="preserve">Liquidity Risk: GHAI is a new token with limited trading history. Liquidity may be low, which can affect the ability to buy or sell tokens at desired prices.</w:t>
      </w:r>
    </w:p>
    <w:p>
      <w:pPr>
        <w:spacing w:after="200"/>
      </w:pPr>
    </w:p>
    <w:p>
      <w:pPr>
        <w:spacing w:after="160" w:line="320"/>
      </w:pPr>
      <w:r>
        <w:rPr>
          <w:rFonts w:ascii="Arial" w:cs="Arial" w:eastAsia="Arial" w:hAnsi="Arial"/>
          <w:b w:val="false"/>
          <w:bCs w:val="false"/>
          <w:sz w:val="22"/>
          <w:szCs w:val="22"/>
        </w:rPr>
        <w:t xml:space="preserve">Smart Contract Risk: While the GHAI token contract has been deployed on Solana with standard SPL token specifications, all smart contracts carry inherent risk.</w:t>
      </w:r>
    </w:p>
    <w:p>
      <w:pPr>
        <w:spacing w:after="200"/>
      </w:pPr>
    </w:p>
    <w:p>
      <w:pPr>
        <w:spacing w:after="160" w:line="320"/>
      </w:pPr>
      <w:r>
        <w:rPr>
          <w:rFonts w:ascii="Arial" w:cs="Arial" w:eastAsia="Arial" w:hAnsi="Arial"/>
          <w:b w:val="false"/>
          <w:bCs w:val="false"/>
          <w:sz w:val="22"/>
          <w:szCs w:val="22"/>
        </w:rPr>
        <w:t xml:space="preserve">Single Founder Risk: voidexa is currently operated by a single founder. This creates concentration risk in decision-making and execution capacity.</w:t>
      </w:r>
    </w:p>
    <w:p>
      <w:pPr>
        <w:spacing w:after="200"/>
      </w:pPr>
    </w:p>
    <w:p>
      <w:pPr>
        <w:spacing w:after="160" w:line="320"/>
      </w:pPr>
      <w:r>
        <w:rPr>
          <w:rFonts w:ascii="Arial" w:cs="Arial" w:eastAsia="Arial" w:hAnsi="Arial"/>
          <w:b w:val="false"/>
          <w:bCs w:val="false"/>
          <w:sz w:val="22"/>
          <w:szCs w:val="22"/>
        </w:rPr>
        <w:t xml:space="preserve">Competition Risk: The AI and crypto industries are highly competitive. Larger companies with more resources may develop competing products.</w:t>
      </w:r>
    </w:p>
    <w:p>
      <w:pPr>
        <w:pStyle w:val="Heading1"/>
        <w:spacing w:after="240" w:before="400"/>
      </w:pPr>
      <w:r>
        <w:rPr>
          <w:rFonts w:ascii="Arial" w:cs="Arial" w:eastAsia="Arial" w:hAnsi="Arial"/>
          <w:b/>
          <w:bCs/>
        </w:rPr>
        <w:t xml:space="preserve">10. Conclusion</w:t>
      </w:r>
    </w:p>
    <w:p>
      <w:pPr>
        <w:spacing w:after="160" w:line="320"/>
      </w:pPr>
      <w:r>
        <w:rPr>
          <w:rFonts w:ascii="Arial" w:cs="Arial" w:eastAsia="Arial" w:hAnsi="Arial"/>
          <w:sz w:val="22"/>
          <w:szCs w:val="22"/>
        </w:rPr>
        <w:t xml:space="preserve">Ghost AI (GHAI) is not a speculative token. It is the economic backbone of a real platform being built by a real company in Denmark.</w:t>
      </w:r>
    </w:p>
    <w:p>
      <w:pPr>
        <w:spacing w:after="160" w:line="320"/>
      </w:pPr>
      <w:r>
        <w:rPr>
          <w:rFonts w:ascii="Arial" w:cs="Arial" w:eastAsia="Arial" w:hAnsi="Arial"/>
          <w:sz w:val="22"/>
          <w:szCs w:val="22"/>
        </w:rPr>
        <w:t xml:space="preserve">voidexa exists because we believe AI should be accessible, trading knowledge should be shared, and digital infrastructure should be sovereign. GHAI makes this possible by creating a unified economy where every product and every user contributes to a growing ecosystem.</w:t>
      </w:r>
    </w:p>
    <w:p>
      <w:pPr>
        <w:spacing w:after="160" w:line="320"/>
      </w:pPr>
      <w:r>
        <w:rPr>
          <w:rFonts w:ascii="Arial" w:cs="Arial" w:eastAsia="Arial" w:hAnsi="Arial"/>
          <w:sz w:val="22"/>
          <w:szCs w:val="22"/>
        </w:rPr>
        <w:t xml:space="preserve">The token is live. The products are being built. The community is forming. What comes next is determined by what we build together.</w:t>
      </w:r>
    </w:p>
    <w:p>
      <w:pPr>
        <w:spacing w:after="200"/>
      </w:pPr>
    </w:p>
    <w:p>
      <w:pPr>
        <w:spacing w:after="200"/>
      </w:pPr>
    </w:p>
    <w:p>
      <w:pPr>
        <w:jc w:val="center"/>
      </w:pPr>
      <w:r>
        <w:rPr>
          <w:rFonts w:ascii="Arial" w:cs="Arial" w:eastAsia="Arial" w:hAnsi="Arial"/>
          <w:b/>
          <w:bCs/>
          <w:color w:val="8B5CF6"/>
          <w:sz w:val="24"/>
          <w:szCs w:val="24"/>
        </w:rPr>
        <w:t xml:space="preserve">voidexa.com</w:t>
      </w:r>
    </w:p>
    <w:p>
      <w:pPr>
        <w:jc w:val="center"/>
      </w:pPr>
      <w:r>
        <w:rPr>
          <w:rFonts w:ascii="Arial" w:cs="Arial" w:eastAsia="Arial" w:hAnsi="Arial"/>
          <w:sz w:val="20"/>
          <w:szCs w:val="20"/>
        </w:rPr>
        <w:t xml:space="preserve">Sovereign AI Infrastructure · Denmark</w:t>
      </w:r>
    </w:p>
    <w:p>
      <w:pPr>
        <w:jc w:val="center"/>
      </w:pPr>
      <w:r>
        <w:rPr>
          <w:rFonts w:ascii="Arial" w:cs="Arial" w:eastAsia="Arial" w:hAnsi="Arial"/>
          <w:sz w:val="18"/>
          <w:szCs w:val="18"/>
        </w:rPr>
        <w:t xml:space="preserve">Contract: Ch8Ek9PTbzSGdL4EWHC2pQfPq2vTseiCPjeZsAZLx5gK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80" w:before="300"/>
      <w:outlineLvl w:val="1"/>
    </w:pPr>
    <w:rPr>
      <w:rFonts w:ascii="Arial" w:cs="Arial" w:eastAsia="Arial" w:hAnsi="Arial"/>
      <w:b/>
      <w:bCs/>
      <w:color w:val="2D2D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2026-03-25T15:36:23.484Z</dcterms:created>
  <dcterms:modified xsi:type="dcterms:W3CDTF">2026-03-25T15:36:23.485Z</dcterms:modified>
</cp:coreProperties>
</file>

<file path=docProps/custom.xml><?xml version="1.0" encoding="utf-8"?>
<Properties xmlns="http://schemas.openxmlformats.org/officeDocument/2006/custom-properties" xmlns:vt="http://schemas.openxmlformats.org/officeDocument/2006/docPropsVTypes"/>
</file>