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360" w:lineRule="auto"/>
        <w:jc w:val="center"/>
      </w:pPr>
      <w:r>
        <w:rPr>
          <w:rFonts w:ascii="Times New Roman" w:hAnsi="Times New Roman"/>
          <w:b w:val="0"/>
          <w:sz w:val="24"/>
        </w:rPr>
        <w:t>МИНИСТЕРСТВО НАУКИ И ВЫСШЕГО ОБРАЗОВАНИЯ РОССИЙСКОЙ ФЕДЕРАЦИИ</w:t>
      </w:r>
    </w:p>
    <w:p>
      <w:pPr>
        <w:spacing w:after="440" w:line="360" w:lineRule="auto"/>
        <w:jc w:val="center"/>
      </w:pPr>
      <w:r>
        <w:rPr>
          <w:rFonts w:ascii="Times New Roman" w:hAnsi="Times New Roman"/>
          <w:b w:val="0"/>
          <w:sz w:val="24"/>
        </w:rPr>
        <w:t>ФГБОУ ВО «МИРЭА - Российский технологический университет»</w:t>
      </w:r>
    </w:p>
    <w:p>
      <w:pPr>
        <w:spacing w:after="160" w:line="360" w:lineRule="auto"/>
        <w:jc w:val="center"/>
      </w:pPr>
      <w:r>
        <w:rPr>
          <w:rFonts w:ascii="Times New Roman" w:hAnsi="Times New Roman"/>
          <w:b/>
          <w:sz w:val="32"/>
        </w:rPr>
        <w:t>НАУЧНО-ИССЛЕДОВАТЕЛЬСКИЙ ОТЧЕТ</w:t>
      </w:r>
    </w:p>
    <w:p>
      <w:pPr>
        <w:spacing w:after="480" w:line="360" w:lineRule="auto"/>
        <w:jc w:val="center"/>
      </w:pPr>
      <w:r>
        <w:rPr>
          <w:rFonts w:ascii="Times New Roman" w:hAnsi="Times New Roman"/>
          <w:b w:val="0"/>
          <w:sz w:val="26"/>
        </w:rPr>
        <w:t>в рамках курсовой работы по дисциплине «Нейросетевые технологии»</w:t>
      </w:r>
    </w:p>
    <w:p>
      <w:pPr>
        <w:spacing w:after="1400" w:line="360" w:lineRule="auto"/>
        <w:jc w:val="center"/>
      </w:pPr>
      <w:r>
        <w:rPr>
          <w:rFonts w:ascii="Times New Roman" w:hAnsi="Times New Roman"/>
          <w:b/>
          <w:sz w:val="26"/>
        </w:rPr>
        <w:t>Тема исследования: «Сравнительный анализ архитектур Transformer, GAN и GNN на контролируемых экспериментальных стендах»</w:t>
      </w:r>
    </w:p>
    <w:p>
      <w:pPr>
        <w:spacing w:after="60" w:line="360" w:lineRule="auto"/>
        <w:jc w:val="right"/>
      </w:pPr>
      <w:r>
        <w:rPr>
          <w:rFonts w:ascii="Times New Roman" w:hAnsi="Times New Roman"/>
          <w:b w:val="0"/>
          <w:sz w:val="24"/>
        </w:rPr>
        <w:t>Исполнитель: Савченко К.А.</w:t>
      </w:r>
    </w:p>
    <w:p>
      <w:pPr>
        <w:spacing w:after="1800" w:line="360" w:lineRule="auto"/>
        <w:jc w:val="right"/>
      </w:pPr>
      <w:r>
        <w:rPr>
          <w:rFonts w:ascii="Times New Roman" w:hAnsi="Times New Roman"/>
          <w:b w:val="0"/>
          <w:sz w:val="24"/>
        </w:rPr>
        <w:t>Научный руководитель: ____________________</w:t>
      </w:r>
    </w:p>
    <w:p>
      <w:pPr>
        <w:spacing w:after="0" w:line="360" w:lineRule="auto"/>
        <w:jc w:val="center"/>
      </w:pPr>
      <w:r>
        <w:rPr>
          <w:rFonts w:ascii="Times New Roman" w:hAnsi="Times New Roman"/>
          <w:b w:val="0"/>
          <w:sz w:val="24"/>
        </w:rPr>
        <w:t>Москва, 2026</w:t>
      </w:r>
    </w:p>
    <w:p>
      <w:r>
        <w:br w:type="page"/>
      </w:r>
    </w:p>
    <w:p>
      <w:pPr>
        <w:spacing w:after="160" w:line="360" w:lineRule="auto"/>
        <w:jc w:val="center"/>
      </w:pPr>
      <w:r>
        <w:rPr>
          <w:rFonts w:ascii="Times New Roman" w:hAnsi="Times New Roman"/>
          <w:b/>
          <w:sz w:val="28"/>
        </w:rPr>
        <w:t>СОДЕРЖАНИЕ</w:t>
      </w:r>
    </w:p>
    <w:p>
      <w:pPr>
        <w:spacing w:after="40" w:line="360" w:lineRule="auto"/>
      </w:pPr>
      <w:r>
        <w:rPr>
          <w:rFonts w:ascii="Times New Roman" w:hAnsi="Times New Roman"/>
          <w:b w:val="0"/>
          <w:sz w:val="24"/>
        </w:rPr>
        <w:t>ВВЕДЕНИЕ</w:t>
      </w:r>
    </w:p>
    <w:p>
      <w:pPr>
        <w:spacing w:after="40" w:line="360" w:lineRule="auto"/>
      </w:pPr>
      <w:r>
        <w:rPr>
          <w:rFonts w:ascii="Times New Roman" w:hAnsi="Times New Roman"/>
          <w:b w:val="0"/>
          <w:sz w:val="24"/>
        </w:rPr>
        <w:t>1 ТРАНСФОРМЕРНЫЕ АРХИТЕКТУРЫ: АНАЛИЗ МЕХАНИЗМА ВНИМАНИЯ И MINI-TRANSFORMER</w:t>
      </w:r>
    </w:p>
    <w:p>
      <w:pPr>
        <w:spacing w:after="40" w:line="360" w:lineRule="auto"/>
      </w:pPr>
      <w:r>
        <w:rPr>
          <w:rFonts w:ascii="Times New Roman" w:hAnsi="Times New Roman"/>
          <w:b w:val="0"/>
          <w:sz w:val="24"/>
        </w:rPr>
        <w:t>2 ГЕНЕРАТИВНО-СОСТЯЗАТЕЛЬНЫЕ СЕТИ: ДИНАМИКА СОСТЯЗАТЕЛЬНОГО ОБУЧЕНИЯ</w:t>
      </w:r>
    </w:p>
    <w:p>
      <w:pPr>
        <w:spacing w:after="40" w:line="360" w:lineRule="auto"/>
      </w:pPr>
      <w:r>
        <w:rPr>
          <w:rFonts w:ascii="Times New Roman" w:hAnsi="Times New Roman"/>
          <w:b w:val="0"/>
          <w:sz w:val="24"/>
        </w:rPr>
        <w:t>3 ГРАФОВЫЕ НЕЙРОСЕТИ: АГРЕГАЦИЯ СТРУКТУРНОГО КОНТЕКСТА</w:t>
      </w:r>
    </w:p>
    <w:p>
      <w:pPr>
        <w:spacing w:after="40" w:line="360" w:lineRule="auto"/>
      </w:pPr>
      <w:r>
        <w:rPr>
          <w:rFonts w:ascii="Times New Roman" w:hAnsi="Times New Roman"/>
          <w:b w:val="0"/>
          <w:sz w:val="24"/>
        </w:rPr>
        <w:t>4 СВОДНЫЙ СРАВНИТЕЛЬНЫЙ АНАЛИЗ</w:t>
      </w:r>
    </w:p>
    <w:p>
      <w:pPr>
        <w:spacing w:after="40" w:line="360" w:lineRule="auto"/>
      </w:pPr>
      <w:r>
        <w:rPr>
          <w:rFonts w:ascii="Times New Roman" w:hAnsi="Times New Roman"/>
          <w:b w:val="0"/>
          <w:sz w:val="24"/>
        </w:rPr>
        <w:t>ЗАКЛЮЧЕНИЕ</w:t>
      </w:r>
    </w:p>
    <w:p>
      <w:r>
        <w:br w:type="page"/>
      </w:r>
    </w:p>
    <w:p>
      <w:pPr>
        <w:spacing w:after="160" w:line="360" w:lineRule="auto"/>
        <w:jc w:val="center"/>
      </w:pPr>
      <w:r>
        <w:rPr>
          <w:rFonts w:ascii="Times New Roman" w:hAnsi="Times New Roman"/>
          <w:b/>
          <w:sz w:val="28"/>
        </w:rPr>
        <w:t>ВВЕДЕНИЕ</w:t>
      </w:r>
    </w:p>
    <w:p>
      <w:pPr>
        <w:spacing w:after="120" w:line="360" w:lineRule="auto"/>
      </w:pPr>
      <w:r>
        <w:rPr>
          <w:rFonts w:ascii="Times New Roman" w:hAnsi="Times New Roman"/>
          <w:b w:val="0"/>
          <w:sz w:val="24"/>
        </w:rPr>
        <w:t>Развитие глубинного обучения привело к формированию нескольких ключевых архитектурных ветвей, ориентированных на разные типы данных и разные вычислительные режимы. Трансформерные модели обеспечили качественный прорыв в задачах работы с последовательностями за счет механизма глобального внимания и полной параллелизации обучения. Генеративно-состязательные сети сделали возможным синтез реалистичных данных посредством игровой постановки обучения. Графовые нейросети, в свою очередь, предоставили практический инструмент для анализа объектов, связанных нерегулярными отношениями.</w:t>
      </w:r>
    </w:p>
    <w:p>
      <w:pPr>
        <w:spacing w:after="120" w:line="360" w:lineRule="auto"/>
      </w:pPr>
      <w:r>
        <w:rPr>
          <w:rFonts w:ascii="Times New Roman" w:hAnsi="Times New Roman"/>
          <w:b w:val="0"/>
          <w:sz w:val="24"/>
        </w:rPr>
        <w:t>Несмотря на широкую распространенность этих подходов, в прикладной практике часто возникает дефицит воспроизводимых сравнений, где модели оцениваются в согласованном протоколе: единая логика эксперимента, прозрачные данные, повторяемые метрики и интерпретируемые визуализации. Именно поэтому в настоящей работе основной акцент сделан на инженерной верификации: каждая архитектура рассматривается не как «черный ящик», а как набор конкретных вычислительных операций с диагностируемой динамикой обучения.</w:t>
      </w:r>
    </w:p>
    <w:p>
      <w:pPr>
        <w:spacing w:after="120" w:line="360" w:lineRule="auto"/>
      </w:pPr>
      <w:r>
        <w:rPr>
          <w:rFonts w:ascii="Times New Roman" w:hAnsi="Times New Roman"/>
          <w:b w:val="0"/>
          <w:sz w:val="24"/>
        </w:rPr>
        <w:t>Объект исследования - нейросетевые архитектуры для трех классов задач: обработка последовательностей, генерация данных и классификация на графах. Предмет исследования - влияние структурных особенностей архитектуры (self-attention, состязательный градиентный контур, графовая агрегация соседей) на сходимость, устойчивость и итоговые метрики качества.</w:t>
      </w:r>
    </w:p>
    <w:p>
      <w:pPr>
        <w:spacing w:after="120" w:line="360" w:lineRule="auto"/>
      </w:pPr>
      <w:r>
        <w:rPr>
          <w:rFonts w:ascii="Times New Roman" w:hAnsi="Times New Roman"/>
          <w:b w:val="0"/>
          <w:sz w:val="24"/>
        </w:rPr>
        <w:t>Цель исследования - построить детальный, методологически корректный сравнительный анализ Transformer, GAN и GNN на управляемых экспериментальных стендах с последующей интерпретацией результатов в формате научно-исследовательского отчета.</w:t>
      </w:r>
    </w:p>
    <w:p>
      <w:pPr>
        <w:spacing w:after="120" w:line="360" w:lineRule="auto"/>
      </w:pPr>
      <w:r>
        <w:rPr>
          <w:rFonts w:ascii="Times New Roman" w:hAnsi="Times New Roman"/>
          <w:b w:val="0"/>
          <w:sz w:val="24"/>
        </w:rPr>
        <w:t>Для достижения цели поставлены задачи: (1) реализовать и протестировать вычислительные блоки внимания и mini-transformer; (2) исследовать динамику состязательного обучения GAN с многошаговой визуальной фиксацией распределений; (3) выполнить графовый классификационный эксперимент с сопоставлением GCN и неграфового baseline; (4) сформировать расширенный иллюстративный и аналитический пакет для доказательного описания результатов.</w:t>
      </w:r>
    </w:p>
    <w:p>
      <w:pPr>
        <w:spacing w:after="120" w:line="360" w:lineRule="auto"/>
      </w:pPr>
      <w:r>
        <w:rPr>
          <w:rFonts w:ascii="Times New Roman" w:hAnsi="Times New Roman"/>
          <w:b w:val="0"/>
          <w:sz w:val="24"/>
        </w:rPr>
        <w:t>Методологическая новизна текущей версии отчета заключается в совместном использовании количественных и геометрических критериев. Помимо стандартных кривых потерь и точности, в анализ включены разностные траектории, фазовые диаграммы, матрицы ошибок, поклассовые метрики и структурные характеристики графа. Такой подход позволяет выйти за рамки формального сопоставления одного числа «accuracy».</w:t>
      </w:r>
    </w:p>
    <w:p>
      <w:pPr>
        <w:spacing w:after="120" w:line="360" w:lineRule="auto"/>
      </w:pPr>
      <w:r>
        <w:rPr>
          <w:rFonts w:ascii="Times New Roman" w:hAnsi="Times New Roman"/>
          <w:b w:val="0"/>
          <w:sz w:val="24"/>
        </w:rPr>
        <w:t>Практическая значимость работы состоит в создании воспроизводимого исследовательского пайплайна: код обучения, генерация графиков, систематизированная интеграция иллюстраций в текст и сохранение промежуточных артефактов. Полученный контур может быть расширен на реальные датасеты и использован как основа для дальнейшей НИР.</w:t>
      </w:r>
    </w:p>
    <w:p>
      <w:r>
        <w:br w:type="page"/>
      </w:r>
    </w:p>
    <w:p>
      <w:pPr>
        <w:spacing w:after="160" w:line="360" w:lineRule="auto"/>
        <w:jc w:val="center"/>
      </w:pPr>
      <w:r>
        <w:rPr>
          <w:rFonts w:ascii="Times New Roman" w:hAnsi="Times New Roman"/>
          <w:b/>
          <w:sz w:val="28"/>
        </w:rPr>
        <w:t>1 ТРАНСФОРМЕРНЫЕ АРХИТЕКТУРЫ: АНАЛИЗ МЕХАНИЗМА ВНИМАНИЯ И MINI-TRANSFORMER</w:t>
      </w:r>
    </w:p>
    <w:p>
      <w:pPr>
        <w:spacing w:after="160" w:line="360" w:lineRule="auto"/>
      </w:pPr>
      <w:r>
        <w:rPr>
          <w:rFonts w:ascii="Times New Roman" w:hAnsi="Times New Roman"/>
          <w:b/>
          <w:sz w:val="26"/>
        </w:rPr>
        <w:t>1.1 Теоретические основания исследования</w:t>
      </w:r>
    </w:p>
    <w:p>
      <w:pPr>
        <w:spacing w:after="120" w:line="360" w:lineRule="auto"/>
      </w:pPr>
      <w:r>
        <w:rPr>
          <w:rFonts w:ascii="Times New Roman" w:hAnsi="Times New Roman"/>
          <w:b w:val="0"/>
          <w:sz w:val="24"/>
        </w:rPr>
        <w:t>Архитектура Transformer была предложена как альтернатива рекуррентным сетям, ограниченным последовательным характером вычислений. Если в RNN скрытое состояние на шаге t зависит от состояния на шаге t-1, то в self-attention каждый токен может напрямую взаимодействовать с любым другим токеном в пределах последовательности. Это снижает длину пути передачи информации между удаленными позициями и упрощает обучение дальних зависимостей.</w:t>
      </w:r>
    </w:p>
    <w:p>
      <w:pPr>
        <w:spacing w:after="120" w:line="360" w:lineRule="auto"/>
      </w:pPr>
      <w:r>
        <w:rPr>
          <w:rFonts w:ascii="Times New Roman" w:hAnsi="Times New Roman"/>
          <w:b w:val="0"/>
          <w:sz w:val="24"/>
        </w:rPr>
        <w:t>С математической точки зрения центральная операция self-attention строится на трех проекциях входа X: матрицах Q, K, V. Матрица сходства QK^T масштабируется на sqrt(d_k), после чего к строкам применяется softmax. Результатом является вероятностное распределение внимания, которое задает, какой вклад каждый токен вносит в обновленное представление другой позиции.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577840" cy="27889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positional_encoding_heatm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788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76" w:lineRule="auto"/>
        <w:jc w:val="center"/>
      </w:pPr>
      <w:r>
        <w:rPr>
          <w:rFonts w:ascii="Times New Roman" w:hAnsi="Times New Roman"/>
          <w:sz w:val="22"/>
        </w:rPr>
        <w:t>Рисунок 1 - Тепловая карта позиционного кодирования</w:t>
      </w:r>
    </w:p>
    <w:p>
      <w:pPr>
        <w:spacing w:after="120" w:line="360" w:lineRule="auto"/>
      </w:pPr>
      <w:r>
        <w:rPr>
          <w:rFonts w:ascii="Times New Roman" w:hAnsi="Times New Roman"/>
          <w:b w:val="0"/>
          <w:sz w:val="24"/>
        </w:rPr>
        <w:t>Позиционное кодирование является обязательным компонентом, так как операция внимания сама по себе перестановочно-инвариантна. В данной работе используется синусоидальная схема кодирования позиций, позволяющая модели восстанавливать порядок элементов и учитывать относительные смещения токенов.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577840" cy="49017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attention_weights_head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9017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76" w:lineRule="auto"/>
        <w:jc w:val="center"/>
      </w:pPr>
      <w:r>
        <w:rPr>
          <w:rFonts w:ascii="Times New Roman" w:hAnsi="Times New Roman"/>
          <w:sz w:val="22"/>
        </w:rPr>
        <w:t>Рисунок 2 - Матрица весов self-attention (голова 0)</w:t>
      </w:r>
    </w:p>
    <w:p>
      <w:pPr>
        <w:spacing w:after="120" w:line="360" w:lineRule="auto"/>
      </w:pPr>
      <w:r>
        <w:rPr>
          <w:rFonts w:ascii="Times New Roman" w:hAnsi="Times New Roman"/>
          <w:b w:val="0"/>
          <w:sz w:val="24"/>
        </w:rPr>
        <w:t>Многоголовое внимание расширяет expressivity модели: каждая голова работает в собственном подпространстве признаков и способна захватывать различные типы зависимостей. Итоговое объединение голов позволяет одновременно кодировать локальные и глобальные контекстные связи.</w:t>
      </w:r>
    </w:p>
    <w:p>
      <w:pPr>
        <w:spacing w:after="160" w:line="360" w:lineRule="auto"/>
      </w:pPr>
      <w:r>
        <w:rPr>
          <w:rFonts w:ascii="Times New Roman" w:hAnsi="Times New Roman"/>
          <w:b/>
          <w:sz w:val="26"/>
        </w:rPr>
        <w:t>1.2 Постановка экспериментальных задач и гипотезы</w:t>
      </w:r>
    </w:p>
    <w:p>
      <w:pPr>
        <w:spacing w:after="120" w:line="360" w:lineRule="auto"/>
      </w:pPr>
      <w:r>
        <w:rPr>
          <w:rFonts w:ascii="Times New Roman" w:hAnsi="Times New Roman"/>
          <w:b w:val="0"/>
          <w:sz w:val="24"/>
        </w:rPr>
        <w:t>Раздел 1 включает две взаимодополняющие постановки. Первая - классификационная задача на синтетических последовательностях с целевой функцией, которая зависит от удаленных позиций. Эта постановка используется для прямого сравнения Attention-модели и RNN baseline. Вторая - seq2seq-задача (разворот последовательности) для оценки мини-трансформера в encoder-decoder режиме.</w:t>
      </w:r>
    </w:p>
    <w:p>
      <w:pPr>
        <w:spacing w:after="120" w:line="360" w:lineRule="auto"/>
      </w:pPr>
      <w:r>
        <w:rPr>
          <w:rFonts w:ascii="Times New Roman" w:hAnsi="Times New Roman"/>
          <w:b w:val="0"/>
          <w:sz w:val="24"/>
        </w:rPr>
        <w:t>Гипотеза H1: attention-подход должен демонстрировать более устойчивую обобщающую способность относительно RNN в задаче с дальними зависимостями. Гипотеза H2: обе конфигурации mini-transformer (small и large) достигнут высоких значений token accuracy при корректной реализации каузальной маски декодера.</w:t>
      </w:r>
    </w:p>
    <w:p>
      <w:pPr>
        <w:spacing w:after="160" w:line="360" w:lineRule="auto"/>
      </w:pPr>
      <w:r>
        <w:rPr>
          <w:rFonts w:ascii="Times New Roman" w:hAnsi="Times New Roman"/>
          <w:b/>
          <w:sz w:val="26"/>
        </w:rPr>
        <w:t>1.3 Данные и протокол эксперимента</w:t>
      </w:r>
    </w:p>
    <w:p>
      <w:pPr>
        <w:spacing w:after="120" w:line="360" w:lineRule="auto"/>
      </w:pPr>
      <w:r>
        <w:rPr>
          <w:rFonts w:ascii="Times New Roman" w:hAnsi="Times New Roman"/>
          <w:b w:val="0"/>
          <w:sz w:val="24"/>
        </w:rPr>
        <w:t>В классификационной постановке генерируется набор последовательностей фиксированной длины. Метка класса определяется логическим выражением от нескольких удаленных индексов, что исключает возможность решения задачи на основе только локальных паттернов. Для seq2seq-эксперимента формируется корпус пар (src, tgt), где tgt является инверсией ядра src с добавлением BOS/EOS токенов.</w:t>
      </w:r>
    </w:p>
    <w:p>
      <w:pPr>
        <w:spacing w:after="120" w:line="360" w:lineRule="auto"/>
      </w:pPr>
      <w:r>
        <w:rPr>
          <w:rFonts w:ascii="Times New Roman" w:hAnsi="Times New Roman"/>
          <w:b w:val="0"/>
          <w:sz w:val="24"/>
        </w:rPr>
        <w:t>Метрики раздела: train loss, train accuracy, test accuracy (для Attention vs RNN) и token accuracy (для mini-transformer). Для повышения интерпретируемости дополнительно анализируются разностные траектории качества и чувствительность к числу голов внимания.</w:t>
      </w:r>
    </w:p>
    <w:p>
      <w:pPr>
        <w:spacing w:after="160" w:line="360" w:lineRule="auto"/>
      </w:pPr>
      <w:r>
        <w:rPr>
          <w:rFonts w:ascii="Times New Roman" w:hAnsi="Times New Roman"/>
          <w:b/>
          <w:sz w:val="26"/>
        </w:rPr>
        <w:t>1.4 Результаты классификационного эксперимента (Attention vs RNN)</w:t>
      </w:r>
    </w:p>
    <w:p>
      <w:pPr>
        <w:spacing w:after="120" w:line="360" w:lineRule="auto"/>
      </w:pPr>
      <w:r>
        <w:rPr>
          <w:rFonts w:ascii="Times New Roman" w:hAnsi="Times New Roman"/>
          <w:b w:val="0"/>
          <w:sz w:val="24"/>
        </w:rPr>
        <w:t>Динамика ошибок и точности показывает, что attention-модель быстрее приближается к устойчивому режиму и в среднем лучше удерживает качество на тесте. Это соответствует ожидаемому преимуществу self-attention для задач с нелокальными зависимостями.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577840" cy="3098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attention_vs_rnn_train_los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9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76" w:lineRule="auto"/>
        <w:jc w:val="center"/>
      </w:pPr>
      <w:r>
        <w:rPr>
          <w:rFonts w:ascii="Times New Roman" w:hAnsi="Times New Roman"/>
          <w:sz w:val="22"/>
        </w:rPr>
        <w:t>Рисунок 3 - Сравнение Attention и RNN по функции потерь на обучении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577840" cy="30988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attention_vs_rnn_test_accurac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9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76" w:lineRule="auto"/>
        <w:jc w:val="center"/>
      </w:pPr>
      <w:r>
        <w:rPr>
          <w:rFonts w:ascii="Times New Roman" w:hAnsi="Times New Roman"/>
          <w:sz w:val="22"/>
        </w:rPr>
        <w:t>Рисунок 4 - Сравнение Attention и RNN по тестовой точности</w:t>
      </w:r>
    </w:p>
    <w:p>
      <w:pPr>
        <w:spacing w:after="120" w:line="360" w:lineRule="auto"/>
      </w:pPr>
      <w:r>
        <w:rPr>
          <w:rFonts w:ascii="Times New Roman" w:hAnsi="Times New Roman"/>
          <w:b w:val="0"/>
          <w:sz w:val="24"/>
        </w:rPr>
        <w:t>Расширенный анализ траекторий подтверждает, что отличие проявляется не только в последней эпохе, но и в форме процесса сходимости. Разностная кривая Attention(test)-RNN(test) позволяет зафиксировать интервалы, где выигрыш внимания статистически устойчив относительно случайной флуктуации батчей.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577840" cy="30988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attention_rnn_full_accuracy_trajectori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9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76" w:lineRule="auto"/>
        <w:jc w:val="center"/>
      </w:pPr>
      <w:r>
        <w:rPr>
          <w:rFonts w:ascii="Times New Roman" w:hAnsi="Times New Roman"/>
          <w:sz w:val="22"/>
        </w:rPr>
        <w:t>Рисунок 5 - Расширенные траектории точности: Attention и RNN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577840" cy="311321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attention_minus_rnn_ga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132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76" w:lineRule="auto"/>
        <w:jc w:val="center"/>
      </w:pPr>
      <w:r>
        <w:rPr>
          <w:rFonts w:ascii="Times New Roman" w:hAnsi="Times New Roman"/>
          <w:sz w:val="22"/>
        </w:rPr>
        <w:t>Рисунок 6 - Разностная кривая качества: Attention(test) - RNN(test)</w:t>
      </w:r>
    </w:p>
    <w:p>
      <w:pPr>
        <w:spacing w:after="120" w:line="360" w:lineRule="auto"/>
      </w:pPr>
      <w:r>
        <w:rPr>
          <w:rFonts w:ascii="Times New Roman" w:hAnsi="Times New Roman"/>
          <w:b w:val="0"/>
          <w:sz w:val="24"/>
        </w:rPr>
        <w:t>Итоговые значения базового прогона составили: Attention test accuracy = 0.5051, RNN test accuracy = 0.4830. Абсолютные значения метрик умеренные, что объясняется сложностью синтетической целевой функции и консервативным набором гиперпараметров, однако относительное преимущество attention-подхода сохраняется.</w:t>
      </w:r>
    </w:p>
    <w:p>
      <w:pPr>
        <w:spacing w:after="160" w:line="360" w:lineRule="auto"/>
      </w:pPr>
      <w:r>
        <w:rPr>
          <w:rFonts w:ascii="Times New Roman" w:hAnsi="Times New Roman"/>
          <w:b/>
          <w:sz w:val="26"/>
        </w:rPr>
        <w:t>1.5 Результаты seq2seq-эксперимента с mini-transformer</w:t>
      </w:r>
    </w:p>
    <w:p>
      <w:pPr>
        <w:spacing w:after="120" w:line="360" w:lineRule="auto"/>
      </w:pPr>
      <w:r>
        <w:rPr>
          <w:rFonts w:ascii="Times New Roman" w:hAnsi="Times New Roman"/>
          <w:b w:val="0"/>
          <w:sz w:val="24"/>
        </w:rPr>
        <w:t>Обе конфигурации mini-transformer демонстрируют резкое снижение ошибки уже на первых эпохах и выход на высокие значения token accuracy. Это косвенно подтверждает корректность реализации позиционного кодирования, маскирования и связки encoder-decoder.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577840" cy="326976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minitransformer_loss_smal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2697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76" w:lineRule="auto"/>
        <w:jc w:val="center"/>
      </w:pPr>
      <w:r>
        <w:rPr>
          <w:rFonts w:ascii="Times New Roman" w:hAnsi="Times New Roman"/>
          <w:sz w:val="22"/>
        </w:rPr>
        <w:t>Рисунок 7 - MiniTransformer (small): динамика train loss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577840" cy="326976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minitransformer_acc_smal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2697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76" w:lineRule="auto"/>
        <w:jc w:val="center"/>
      </w:pPr>
      <w:r>
        <w:rPr>
          <w:rFonts w:ascii="Times New Roman" w:hAnsi="Times New Roman"/>
          <w:sz w:val="22"/>
        </w:rPr>
        <w:t>Рисунок 8 - MiniTransformer (small): динамика token accuracy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577840" cy="326976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minitransformer_loss_lar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2697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76" w:lineRule="auto"/>
        <w:jc w:val="center"/>
      </w:pPr>
      <w:r>
        <w:rPr>
          <w:rFonts w:ascii="Times New Roman" w:hAnsi="Times New Roman"/>
          <w:sz w:val="22"/>
        </w:rPr>
        <w:t>Рисунок 9 - MiniTransformer (large): динамика train loss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577840" cy="326976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minitransformer_acc_lar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2697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76" w:lineRule="auto"/>
        <w:jc w:val="center"/>
      </w:pPr>
      <w:r>
        <w:rPr>
          <w:rFonts w:ascii="Times New Roman" w:hAnsi="Times New Roman"/>
          <w:sz w:val="22"/>
        </w:rPr>
        <w:t>Рисунок 10 - MiniTransformer (large): динамика token accuracy</w:t>
      </w:r>
    </w:p>
    <w:p>
      <w:pPr>
        <w:spacing w:after="120" w:line="360" w:lineRule="auto"/>
      </w:pPr>
      <w:r>
        <w:rPr>
          <w:rFonts w:ascii="Times New Roman" w:hAnsi="Times New Roman"/>
          <w:b w:val="0"/>
          <w:sz w:val="24"/>
        </w:rPr>
        <w:t>Наложение кривых small/large показывает, что более емкая модель может давать ускоренную раннюю сходимость, но в текущей задаче итоговые значения оказываются сопоставимыми. Следовательно, прирост сложности архитектуры не всегда приводит к значимому выигрышу в финальной метрике.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577840" cy="304245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minitransformer_loss_overlay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424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76" w:lineRule="auto"/>
        <w:jc w:val="center"/>
      </w:pPr>
      <w:r>
        <w:rPr>
          <w:rFonts w:ascii="Times New Roman" w:hAnsi="Times New Roman"/>
          <w:sz w:val="22"/>
        </w:rPr>
        <w:t>Рисунок 11 - Наложение loss-кривых mini-transformer small и large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577840" cy="304245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minitransformer_accuracy_overlay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424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76" w:lineRule="auto"/>
        <w:jc w:val="center"/>
      </w:pPr>
      <w:r>
        <w:rPr>
          <w:rFonts w:ascii="Times New Roman" w:hAnsi="Times New Roman"/>
          <w:sz w:val="22"/>
        </w:rPr>
        <w:t>Рисунок 12 - Наложение кривых token accuracy для small и large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577840" cy="382480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minitransformer_final_comparison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8248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76" w:lineRule="auto"/>
        <w:jc w:val="center"/>
      </w:pPr>
      <w:r>
        <w:rPr>
          <w:rFonts w:ascii="Times New Roman" w:hAnsi="Times New Roman"/>
          <w:sz w:val="22"/>
        </w:rPr>
        <w:t>Рисунок 13 - Итоговое сравнение конфигураций mini-transformer</w:t>
      </w:r>
    </w:p>
    <w:p>
      <w:pPr>
        <w:spacing w:after="120" w:line="360" w:lineRule="auto"/>
      </w:pPr>
      <w:r>
        <w:rPr>
          <w:rFonts w:ascii="Times New Roman" w:hAnsi="Times New Roman"/>
          <w:b w:val="0"/>
          <w:sz w:val="24"/>
        </w:rPr>
        <w:t>По итогам базового запуска: small = 0.9997, large = 0.9997. Точность близка к насыщению для обеих конфигураций.</w:t>
      </w:r>
    </w:p>
    <w:p>
      <w:pPr>
        <w:spacing w:after="160" w:line="360" w:lineRule="auto"/>
      </w:pPr>
      <w:r>
        <w:rPr>
          <w:rFonts w:ascii="Times New Roman" w:hAnsi="Times New Roman"/>
          <w:b/>
          <w:sz w:val="26"/>
        </w:rPr>
        <w:t>1.6 Абляция и чувствительность к гиперпараметрам</w:t>
      </w:r>
    </w:p>
    <w:p>
      <w:pPr>
        <w:spacing w:after="120" w:line="360" w:lineRule="auto"/>
      </w:pPr>
      <w:r>
        <w:rPr>
          <w:rFonts w:ascii="Times New Roman" w:hAnsi="Times New Roman"/>
          <w:b w:val="0"/>
          <w:sz w:val="24"/>
        </w:rPr>
        <w:t>Для attention-модели дополнительно исследована чувствительность к числу голов. Такой анализ важен в НИР-контексте, поскольку показывает, где проходит граница между недопараметризацией и избыточной сложностью для выбранного класса задач.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577840" cy="3432517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attention_heads_sensitivity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432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76" w:lineRule="auto"/>
        <w:jc w:val="center"/>
      </w:pPr>
      <w:r>
        <w:rPr>
          <w:rFonts w:ascii="Times New Roman" w:hAnsi="Times New Roman"/>
          <w:sz w:val="22"/>
        </w:rPr>
        <w:t>Рисунок 14 - Чувствительность attention-модели к числу голов</w:t>
      </w:r>
    </w:p>
    <w:p>
      <w:pPr>
        <w:spacing w:after="120" w:line="360" w:lineRule="auto"/>
      </w:pPr>
      <w:r>
        <w:rPr>
          <w:rFonts w:ascii="Times New Roman" w:hAnsi="Times New Roman"/>
          <w:b w:val="0"/>
          <w:sz w:val="24"/>
        </w:rPr>
        <w:t>Полученная кривая демонстрирует наличие рабочей области, в которой увеличение числа голов дает ограниченный прирост. Это свидетельствует о необходимости согласования архитектурной емкости с информационной сложностью данных, а не механического увеличения параметров.</w:t>
      </w:r>
    </w:p>
    <w:p>
      <w:pPr>
        <w:spacing w:after="160" w:line="360" w:lineRule="auto"/>
      </w:pPr>
      <w:r>
        <w:rPr>
          <w:rFonts w:ascii="Times New Roman" w:hAnsi="Times New Roman"/>
          <w:b/>
          <w:sz w:val="26"/>
        </w:rPr>
        <w:t>1.7 Выводы по разделу 1</w:t>
      </w:r>
    </w:p>
    <w:p>
      <w:pPr>
        <w:spacing w:after="120" w:line="360" w:lineRule="auto"/>
      </w:pPr>
      <w:r>
        <w:rPr>
          <w:rFonts w:ascii="Times New Roman" w:hAnsi="Times New Roman"/>
          <w:b w:val="0"/>
          <w:sz w:val="24"/>
        </w:rPr>
        <w:t>Проведенный цикл экспериментов подтверждает гипотезу о преимуществе механизмов внимания на задачах с глобальным контекстом и демонстрирует состоятельность mini-transformer как исследовательской платформы для seq2seq-постановок. Ключевой методический вывод: интерпретация качества требует анализа не только конечной метрики, но и формы траекторий обучения, включая разностные и чувствительные характеристики.</w:t>
      </w:r>
    </w:p>
    <w:p>
      <w:r>
        <w:br w:type="page"/>
      </w:r>
    </w:p>
    <w:p>
      <w:pPr>
        <w:spacing w:after="160" w:line="360" w:lineRule="auto"/>
        <w:jc w:val="center"/>
      </w:pPr>
      <w:r>
        <w:rPr>
          <w:rFonts w:ascii="Times New Roman" w:hAnsi="Times New Roman"/>
          <w:b/>
          <w:sz w:val="28"/>
        </w:rPr>
        <w:t>2 ГЕНЕРАТИВНО-СОСТЯЗАТЕЛЬНЫЕ СЕТИ: ДИНАМИКА СОСТЯЗАТЕЛЬНОГО ОБУЧЕНИЯ</w:t>
      </w:r>
    </w:p>
    <w:p>
      <w:pPr>
        <w:spacing w:after="160" w:line="360" w:lineRule="auto"/>
      </w:pPr>
      <w:r>
        <w:rPr>
          <w:rFonts w:ascii="Times New Roman" w:hAnsi="Times New Roman"/>
          <w:b/>
          <w:sz w:val="26"/>
        </w:rPr>
        <w:t>2.1 Теоретическая рамка состязательного обучения</w:t>
      </w:r>
    </w:p>
    <w:p>
      <w:pPr>
        <w:spacing w:after="120" w:line="360" w:lineRule="auto"/>
      </w:pPr>
      <w:r>
        <w:rPr>
          <w:rFonts w:ascii="Times New Roman" w:hAnsi="Times New Roman"/>
          <w:b w:val="0"/>
          <w:sz w:val="24"/>
        </w:rPr>
        <w:t>GAN формулируется как минимакс-задача между генератором G и дискриминатором D. Генератор преобразует латентный шум z в объект x_hat, а дискриминатор оценивает вероятность реальности входа. В идеале процесс сходится к состоянию, где распределение G совпадает с распределением реальных данных, а дискриминатор теряет возможность надежного различения.</w:t>
      </w:r>
    </w:p>
    <w:p>
      <w:pPr>
        <w:spacing w:after="120" w:line="360" w:lineRule="auto"/>
      </w:pPr>
      <w:r>
        <w:rPr>
          <w:rFonts w:ascii="Times New Roman" w:hAnsi="Times New Roman"/>
          <w:b w:val="0"/>
          <w:sz w:val="24"/>
        </w:rPr>
        <w:t>С практической точки зрения GAN представляет собой нестационарную оптимизацию: обе модели меняют целевую поверхность друг для друга, поэтому классические признаки «хорошего обучения» (монотонное снижение loss) здесь не всегда применимы напрямую. Необходима многоаспектная диагностика: динамика loss, маржа дискриминатора, визуальная геометрия сэмплов и плотностные расхождения.</w:t>
      </w:r>
    </w:p>
    <w:p>
      <w:pPr>
        <w:spacing w:after="160" w:line="360" w:lineRule="auto"/>
      </w:pPr>
      <w:r>
        <w:rPr>
          <w:rFonts w:ascii="Times New Roman" w:hAnsi="Times New Roman"/>
          <w:b/>
          <w:sz w:val="26"/>
        </w:rPr>
        <w:t>2.2 Постановка, данные и экспериментальный стенд</w:t>
      </w:r>
    </w:p>
    <w:p>
      <w:pPr>
        <w:spacing w:after="120" w:line="360" w:lineRule="auto"/>
      </w:pPr>
      <w:r>
        <w:rPr>
          <w:rFonts w:ascii="Times New Roman" w:hAnsi="Times New Roman"/>
          <w:b w:val="0"/>
          <w:sz w:val="24"/>
        </w:rPr>
        <w:t>В данном разделе используется синтетическое двумерное распределение в виде смеси восьми мод. Выбор такого стенда продиктован требованием интерпретируемости: можно непосредственно наблюдать, насколько полно генератор покрывает моды и как быстро исчезают геометрические артефакты. Это делает эксперимент удобным для исследовательского анализа устойчивости GAN.</w:t>
      </w:r>
    </w:p>
    <w:p>
      <w:pPr>
        <w:spacing w:after="120" w:line="360" w:lineRule="auto"/>
      </w:pPr>
      <w:r>
        <w:rPr>
          <w:rFonts w:ascii="Times New Roman" w:hAnsi="Times New Roman"/>
          <w:b w:val="0"/>
          <w:sz w:val="24"/>
        </w:rPr>
        <w:t>Модель генератора реализована как MLP-отображение латентного вектора в двумерные координаты; дискриминатор - MLP-бинарный классификатор real/fake. Оптимизация проводится Adam с отслеживанием loss_G, loss_D, D(real), D(fake) и промежуточным сохранением распределений по эпохам.</w:t>
      </w:r>
    </w:p>
    <w:p>
      <w:pPr>
        <w:spacing w:after="160" w:line="360" w:lineRule="auto"/>
      </w:pPr>
      <w:r>
        <w:rPr>
          <w:rFonts w:ascii="Times New Roman" w:hAnsi="Times New Roman"/>
          <w:b/>
          <w:sz w:val="26"/>
        </w:rPr>
        <w:t>2.3 Эволюция распределений в процессе обучения</w:t>
      </w:r>
    </w:p>
    <w:p>
      <w:pPr>
        <w:spacing w:after="120" w:line="360" w:lineRule="auto"/>
      </w:pPr>
      <w:r>
        <w:rPr>
          <w:rFonts w:ascii="Times New Roman" w:hAnsi="Times New Roman"/>
          <w:b w:val="0"/>
          <w:sz w:val="24"/>
        </w:rPr>
        <w:t>Серия снимков по эпохам позволяет увидеть, как генератор постепенно переходит от хаотического распределения к структуре, согласованной с реальными модами. На ранних эпохах наблюдается высокая дисперсия и слабое попадание в целевые области. На промежуточных этапах формируются устойчивые кластеры, а на финале геометрия распределения становится близкой к референсной.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577840" cy="5205984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istribution_epoch_001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52059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76" w:lineRule="auto"/>
        <w:jc w:val="center"/>
      </w:pPr>
      <w:r>
        <w:rPr>
          <w:rFonts w:ascii="Times New Roman" w:hAnsi="Times New Roman"/>
          <w:sz w:val="22"/>
        </w:rPr>
        <w:t>Рисунок 15 - Состояние распределений на ранней стадии обучения GAN (epoch 1)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577840" cy="5205984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istribution_epoch_093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52059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76" w:lineRule="auto"/>
        <w:jc w:val="center"/>
      </w:pPr>
      <w:r>
        <w:rPr>
          <w:rFonts w:ascii="Times New Roman" w:hAnsi="Times New Roman"/>
          <w:sz w:val="22"/>
        </w:rPr>
        <w:t>Рисунок 16 - Состояние распределений на промежуточной стадии (epoch 93)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577840" cy="5205984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istribution_epoch_186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52059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76" w:lineRule="auto"/>
        <w:jc w:val="center"/>
      </w:pPr>
      <w:r>
        <w:rPr>
          <w:rFonts w:ascii="Times New Roman" w:hAnsi="Times New Roman"/>
          <w:sz w:val="22"/>
        </w:rPr>
        <w:t>Рисунок 17 - Состояние распределений на поздней стадии (epoch 186)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577840" cy="5205984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istribution_epoch_280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52059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76" w:lineRule="auto"/>
        <w:jc w:val="center"/>
      </w:pPr>
      <w:r>
        <w:rPr>
          <w:rFonts w:ascii="Times New Roman" w:hAnsi="Times New Roman"/>
          <w:sz w:val="22"/>
        </w:rPr>
        <w:t>Рисунок 18 - Финальное состояние распределений GAN (epoch 280)</w:t>
      </w:r>
    </w:p>
    <w:p>
      <w:pPr>
        <w:spacing w:after="160" w:line="360" w:lineRule="auto"/>
      </w:pPr>
      <w:r>
        <w:rPr>
          <w:rFonts w:ascii="Times New Roman" w:hAnsi="Times New Roman"/>
          <w:b/>
          <w:sz w:val="26"/>
        </w:rPr>
        <w:t>2.4 Количественная динамика и фазовый анализ</w:t>
      </w:r>
    </w:p>
    <w:p>
      <w:pPr>
        <w:spacing w:after="120" w:line="360" w:lineRule="auto"/>
      </w:pPr>
      <w:r>
        <w:rPr>
          <w:rFonts w:ascii="Times New Roman" w:hAnsi="Times New Roman"/>
          <w:b w:val="0"/>
          <w:sz w:val="24"/>
        </w:rPr>
        <w:t>Кривые потерь генератора и дискриминатора отражают типичную для GAN осциллирующую динамику. Важно подчеркнуть, что отсутствие монотонности не означает провал обучения: в состязательной системе колебания могут соответствовать рабочему режиму взаимной адаптации двух моделей.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577840" cy="3156729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gan_losses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567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76" w:lineRule="auto"/>
        <w:jc w:val="center"/>
      </w:pPr>
      <w:r>
        <w:rPr>
          <w:rFonts w:ascii="Times New Roman" w:hAnsi="Times New Roman"/>
          <w:sz w:val="22"/>
        </w:rPr>
        <w:t>Рисунок 19 - Кривые потерь генератора и дискриминатора</w:t>
      </w:r>
    </w:p>
    <w:p>
      <w:pPr>
        <w:spacing w:after="120" w:line="360" w:lineRule="auto"/>
      </w:pPr>
      <w:r>
        <w:rPr>
          <w:rFonts w:ascii="Times New Roman" w:hAnsi="Times New Roman"/>
          <w:b w:val="0"/>
          <w:sz w:val="24"/>
        </w:rPr>
        <w:t>Кривая D(real)/D(fake) и маржа D(real)-D(fake) дают более устойчивый индикатор баланса. При приближении маржи к нулю и одновременном визуальном улучшении распределения можно говорить о достижении функционального равновесия, в котором дискриминатор уже не обладает выраженным преимуществом.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577840" cy="3156729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discriminator_confidenc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567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76" w:lineRule="auto"/>
        <w:jc w:val="center"/>
      </w:pPr>
      <w:r>
        <w:rPr>
          <w:rFonts w:ascii="Times New Roman" w:hAnsi="Times New Roman"/>
          <w:sz w:val="22"/>
        </w:rPr>
        <w:t>Рисунок 20 - Динамика уверенности дискриминатора D(real), D(fake)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577840" cy="3042458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discriminator_margin_curv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424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76" w:lineRule="auto"/>
        <w:jc w:val="center"/>
      </w:pPr>
      <w:r>
        <w:rPr>
          <w:rFonts w:ascii="Times New Roman" w:hAnsi="Times New Roman"/>
          <w:sz w:val="22"/>
        </w:rPr>
        <w:t>Рисунок 21 - Маржа дискриминатора D(real)-D(fake) по эпохам</w:t>
      </w:r>
    </w:p>
    <w:p>
      <w:pPr>
        <w:spacing w:after="120" w:line="360" w:lineRule="auto"/>
      </w:pPr>
      <w:r>
        <w:rPr>
          <w:rFonts w:ascii="Times New Roman" w:hAnsi="Times New Roman"/>
          <w:b w:val="0"/>
          <w:sz w:val="24"/>
        </w:rPr>
        <w:t>Фазовый портрет в координатах (loss_D, loss_G) показывает траекторию системы как динамического процесса. Такое представление особенно полезно при сравнении разных настроек оптимизации: можно видеть не только конечную точку, но и геометрию пути, включая зоны ускорения и стабилизации.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577840" cy="4576689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phase_space_g_vs_d_loss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5766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76" w:lineRule="auto"/>
        <w:jc w:val="center"/>
      </w:pPr>
      <w:r>
        <w:rPr>
          <w:rFonts w:ascii="Times New Roman" w:hAnsi="Times New Roman"/>
          <w:sz w:val="22"/>
        </w:rPr>
        <w:t>Рисунок 22 - Фазовый портрет процесса обучения в координатах loss_D и loss_G</w:t>
      </w:r>
    </w:p>
    <w:p>
      <w:pPr>
        <w:spacing w:after="160" w:line="360" w:lineRule="auto"/>
      </w:pPr>
      <w:r>
        <w:rPr>
          <w:rFonts w:ascii="Times New Roman" w:hAnsi="Times New Roman"/>
          <w:b/>
          <w:sz w:val="26"/>
        </w:rPr>
        <w:t>2.5 Пространственный анализ качества генерации</w:t>
      </w:r>
    </w:p>
    <w:p>
      <w:pPr>
        <w:spacing w:after="120" w:line="360" w:lineRule="auto"/>
      </w:pPr>
      <w:r>
        <w:rPr>
          <w:rFonts w:ascii="Times New Roman" w:hAnsi="Times New Roman"/>
          <w:b w:val="0"/>
          <w:sz w:val="24"/>
        </w:rPr>
        <w:t>Hexbin-плотность финальных сэмплов дает агрегированное представление о том, какие области пространства генератор покрывает плотнее всего. Однако для НИР-анализа этого недостаточно, поэтому дополнительно рассчитаны радиальные плотности и карта разности occupancy между generated и real распределениями.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577840" cy="4741164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generated_density_hexbin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7411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76" w:lineRule="auto"/>
        <w:jc w:val="center"/>
      </w:pPr>
      <w:r>
        <w:rPr>
          <w:rFonts w:ascii="Times New Roman" w:hAnsi="Times New Roman"/>
          <w:sz w:val="22"/>
        </w:rPr>
        <w:t>Рисунок 23 - Плотность сгенерированных выборок (hexbin-карта)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577840" cy="3042458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radial_density_real_vs_generated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424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76" w:lineRule="auto"/>
        <w:jc w:val="center"/>
      </w:pPr>
      <w:r>
        <w:rPr>
          <w:rFonts w:ascii="Times New Roman" w:hAnsi="Times New Roman"/>
          <w:sz w:val="22"/>
        </w:rPr>
        <w:t>Рисунок 24 - Сравнение радиальных плотностей реального и сгенерированного распределений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577840" cy="5125583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occupancy_difference_heatmap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51255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76" w:lineRule="auto"/>
        <w:jc w:val="center"/>
      </w:pPr>
      <w:r>
        <w:rPr>
          <w:rFonts w:ascii="Times New Roman" w:hAnsi="Times New Roman"/>
          <w:sz w:val="22"/>
        </w:rPr>
        <w:t>Рисунок 25 - Карта разности плотностей (generated - real)</w:t>
      </w:r>
    </w:p>
    <w:p>
      <w:pPr>
        <w:spacing w:after="120" w:line="360" w:lineRule="auto"/>
      </w:pPr>
      <w:r>
        <w:rPr>
          <w:rFonts w:ascii="Times New Roman" w:hAnsi="Times New Roman"/>
          <w:b w:val="0"/>
          <w:sz w:val="24"/>
        </w:rPr>
        <w:t>Радиальный профиль позволяет обнаружить систематический сдвиг в масштабе (например, переоценку или недооценку радиуса мод), а карта разности плотностей выявляет локальные области недогенерации и перегенерации. В совокупности это дает более строгую оценку качества, чем визуальная экспертиза scatter-графиков.</w:t>
      </w:r>
    </w:p>
    <w:p>
      <w:pPr>
        <w:spacing w:after="120" w:line="360" w:lineRule="auto"/>
      </w:pPr>
      <w:r>
        <w:rPr>
          <w:rFonts w:ascii="Times New Roman" w:hAnsi="Times New Roman"/>
          <w:b w:val="0"/>
          <w:sz w:val="24"/>
        </w:rPr>
        <w:t>Финальные численные показатели базового прогона: loss_G = 0.7220, loss_D = 1.3681, D(real) = 0.5075, D(fake) = 0.4932.</w:t>
      </w:r>
    </w:p>
    <w:p>
      <w:pPr>
        <w:spacing w:after="160" w:line="360" w:lineRule="auto"/>
      </w:pPr>
      <w:r>
        <w:rPr>
          <w:rFonts w:ascii="Times New Roman" w:hAnsi="Times New Roman"/>
          <w:b/>
          <w:sz w:val="26"/>
        </w:rPr>
        <w:t>2.6 Ограничения и риски интерпретации</w:t>
      </w:r>
    </w:p>
    <w:p>
      <w:pPr>
        <w:spacing w:after="120" w:line="360" w:lineRule="auto"/>
      </w:pPr>
      <w:r>
        <w:rPr>
          <w:rFonts w:ascii="Times New Roman" w:hAnsi="Times New Roman"/>
          <w:b w:val="0"/>
          <w:sz w:val="24"/>
        </w:rPr>
        <w:t>Синтетический 2D-стенд упрощает интерпретацию, но не полностью переносим на высокоразмерные данные изображений. В image-GAN задачах появляются дополнительные факторы: текстурная сложность, локальные артефакты, чувствительность к архитектуре сверток и нормализации. Поэтому результаты раздела следует рассматривать как доказательство корректности методики, а не как исчерпывающую оценку качества генерации в прикладных доменах.</w:t>
      </w:r>
    </w:p>
    <w:p>
      <w:pPr>
        <w:spacing w:after="160" w:line="360" w:lineRule="auto"/>
      </w:pPr>
      <w:r>
        <w:rPr>
          <w:rFonts w:ascii="Times New Roman" w:hAnsi="Times New Roman"/>
          <w:b/>
          <w:sz w:val="26"/>
        </w:rPr>
        <w:t>2.7 Выводы по разделу 2</w:t>
      </w:r>
    </w:p>
    <w:p>
      <w:pPr>
        <w:spacing w:after="120" w:line="360" w:lineRule="auto"/>
      </w:pPr>
      <w:r>
        <w:rPr>
          <w:rFonts w:ascii="Times New Roman" w:hAnsi="Times New Roman"/>
          <w:b w:val="0"/>
          <w:sz w:val="24"/>
        </w:rPr>
        <w:t>Раздел 2 подтверждает работоспособность состязательного обучения и демонстрирует необходимость комбинированного аналитического подхода: кривые потерь, показатели дискриминатора, фазовая траектория и пространственные плотностные сравнения. Только в такой многомерной рамке можно надежно оценить, насколько генератор действительно приближает целевое распределение.</w:t>
      </w:r>
    </w:p>
    <w:p>
      <w:r>
        <w:br w:type="page"/>
      </w:r>
    </w:p>
    <w:p>
      <w:pPr>
        <w:spacing w:after="160" w:line="360" w:lineRule="auto"/>
        <w:jc w:val="center"/>
      </w:pPr>
      <w:r>
        <w:rPr>
          <w:rFonts w:ascii="Times New Roman" w:hAnsi="Times New Roman"/>
          <w:b/>
          <w:sz w:val="28"/>
        </w:rPr>
        <w:t>3 ГРАФОВЫЕ НЕЙРОСЕТИ: АГРЕГАЦИЯ СТРУКТУРНОГО КОНТЕКСТА</w:t>
      </w:r>
    </w:p>
    <w:p>
      <w:pPr>
        <w:spacing w:after="160" w:line="360" w:lineRule="auto"/>
      </w:pPr>
      <w:r>
        <w:rPr>
          <w:rFonts w:ascii="Times New Roman" w:hAnsi="Times New Roman"/>
          <w:b/>
          <w:sz w:val="26"/>
        </w:rPr>
        <w:t>3.1 Теоретические основания графового моделирования</w:t>
      </w:r>
    </w:p>
    <w:p>
      <w:pPr>
        <w:spacing w:after="120" w:line="360" w:lineRule="auto"/>
      </w:pPr>
      <w:r>
        <w:rPr>
          <w:rFonts w:ascii="Times New Roman" w:hAnsi="Times New Roman"/>
          <w:b w:val="0"/>
          <w:sz w:val="24"/>
        </w:rPr>
        <w:t>Графовые данные принципиально отличаются от табличных и последовательных: объект характеризуется не только собственными признаками, но и положением в топологии связей. Игнорирование этой структуры приводит к потере контекстной информации, особенно в задачах с выраженной кластерностью и гомофилией.</w:t>
      </w:r>
    </w:p>
    <w:p>
      <w:pPr>
        <w:spacing w:after="120" w:line="360" w:lineRule="auto"/>
      </w:pPr>
      <w:r>
        <w:rPr>
          <w:rFonts w:ascii="Times New Roman" w:hAnsi="Times New Roman"/>
          <w:b w:val="0"/>
          <w:sz w:val="24"/>
        </w:rPr>
        <w:t>GCN-модель использует нормализованную матрицу смежности с self-loop и реализует дифференцируемую агрегацию соседних признаков. Нелинейность между графовыми преобразованиями позволяет формировать многослойные представления узлов, а регуляризация dropout снижает переобучение.</w:t>
      </w:r>
    </w:p>
    <w:p>
      <w:pPr>
        <w:spacing w:after="160" w:line="360" w:lineRule="auto"/>
      </w:pPr>
      <w:r>
        <w:rPr>
          <w:rFonts w:ascii="Times New Roman" w:hAnsi="Times New Roman"/>
          <w:b/>
          <w:sz w:val="26"/>
        </w:rPr>
        <w:t>3.2 Постановка задачи и свойства данных</w:t>
      </w:r>
    </w:p>
    <w:p>
      <w:pPr>
        <w:spacing w:after="120" w:line="360" w:lineRule="auto"/>
      </w:pPr>
      <w:r>
        <w:rPr>
          <w:rFonts w:ascii="Times New Roman" w:hAnsi="Times New Roman"/>
          <w:b w:val="0"/>
          <w:sz w:val="24"/>
        </w:rPr>
        <w:t>В эксперименте исследуется задача классификации узлов на синтетическом графе со стохастической блочной структурой. Такая конструкция создает контролируемый баланс между внутриклассовыми и межклассовыми связями, что позволяет анализировать вклад топологии в качество предсказания.</w:t>
      </w:r>
    </w:p>
    <w:p>
      <w:pPr>
        <w:spacing w:after="120" w:line="360" w:lineRule="auto"/>
      </w:pPr>
      <w:r>
        <w:rPr>
          <w:rFonts w:ascii="Times New Roman" w:hAnsi="Times New Roman"/>
          <w:b w:val="0"/>
          <w:sz w:val="24"/>
        </w:rPr>
        <w:t>Общее число узлов в базовом эксперименте составило 420. Для каждого узла сформирован признаковый вектор как сумма классового центра и шумовой компоненты. Это обеспечивает нетривиальную постановку: данные остаются различимыми, но требуют структурного контекста для стабильной классификации.</w:t>
      </w:r>
    </w:p>
    <w:p>
      <w:pPr>
        <w:spacing w:after="120" w:line="360" w:lineRule="auto"/>
      </w:pPr>
      <w:r>
        <w:rPr>
          <w:rFonts w:ascii="Times New Roman" w:hAnsi="Times New Roman"/>
          <w:b w:val="0"/>
          <w:sz w:val="24"/>
        </w:rPr>
        <w:t>Перед обучением выполняется симметричная нормализация матрицы смежности, что предотвращает доминирование узлов с высокой степенью и повышает численную устойчивость.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577840" cy="4249443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graph_structure_subgraph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2494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76" w:lineRule="auto"/>
        <w:jc w:val="center"/>
      </w:pPr>
      <w:r>
        <w:rPr>
          <w:rFonts w:ascii="Times New Roman" w:hAnsi="Times New Roman"/>
          <w:sz w:val="22"/>
        </w:rPr>
        <w:t>Рисунок 26 - Структура исследуемого подграфа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577840" cy="3569818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degree_distribution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569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76" w:lineRule="auto"/>
        <w:jc w:val="center"/>
      </w:pPr>
      <w:r>
        <w:rPr>
          <w:rFonts w:ascii="Times New Roman" w:hAnsi="Times New Roman"/>
          <w:sz w:val="22"/>
        </w:rPr>
        <w:t>Рисунок 27 - Распределение степеней узлов подграфа</w:t>
      </w:r>
    </w:p>
    <w:p>
      <w:pPr>
        <w:spacing w:after="160" w:line="360" w:lineRule="auto"/>
      </w:pPr>
      <w:r>
        <w:rPr>
          <w:rFonts w:ascii="Times New Roman" w:hAnsi="Times New Roman"/>
          <w:b/>
          <w:sz w:val="26"/>
        </w:rPr>
        <w:t>3.3 Сравнение GCN и MLP: динамика обучения</w:t>
      </w:r>
    </w:p>
    <w:p>
      <w:pPr>
        <w:spacing w:after="120" w:line="360" w:lineRule="auto"/>
      </w:pPr>
      <w:r>
        <w:rPr>
          <w:rFonts w:ascii="Times New Roman" w:hAnsi="Times New Roman"/>
          <w:b w:val="0"/>
          <w:sz w:val="24"/>
        </w:rPr>
        <w:t>Для выделения эффекта графовой агрегации проведено сопоставление GCN и MLP baseline. Обе модели используют одинаковое признаковое пространство, но только GCN учитывает связи между узлами. Такой дизайн эксперимента позволяет атрибутировать различия в метриках именно структурному компоненту.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577840" cy="3156729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gcn_vs_mlp_train_loss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567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76" w:lineRule="auto"/>
        <w:jc w:val="center"/>
      </w:pPr>
      <w:r>
        <w:rPr>
          <w:rFonts w:ascii="Times New Roman" w:hAnsi="Times New Roman"/>
          <w:sz w:val="22"/>
        </w:rPr>
        <w:t>Рисунок 28 - Сравнение GCN и MLP по train loss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577840" cy="3156729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gcn_vs_mlp_test_accuracy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567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76" w:lineRule="auto"/>
        <w:jc w:val="center"/>
      </w:pPr>
      <w:r>
        <w:rPr>
          <w:rFonts w:ascii="Times New Roman" w:hAnsi="Times New Roman"/>
          <w:sz w:val="22"/>
        </w:rPr>
        <w:t>Рисунок 29 - Сравнение GCN и MLP по test accuracy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577840" cy="4056611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final_accuracy_bar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0566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76" w:lineRule="auto"/>
        <w:jc w:val="center"/>
      </w:pPr>
      <w:r>
        <w:rPr>
          <w:rFonts w:ascii="Times New Roman" w:hAnsi="Times New Roman"/>
          <w:sz w:val="22"/>
        </w:rPr>
        <w:t>Рисунок 30 - Итоговая точность моделей на тесте</w:t>
      </w:r>
    </w:p>
    <w:p>
      <w:pPr>
        <w:spacing w:after="120" w:line="360" w:lineRule="auto"/>
      </w:pPr>
      <w:r>
        <w:rPr>
          <w:rFonts w:ascii="Times New Roman" w:hAnsi="Times New Roman"/>
          <w:b w:val="0"/>
          <w:sz w:val="24"/>
        </w:rPr>
        <w:t>Итоговые значения базового прогона: GCN test accuracy = 1.0000, MLP test accuracy = 1.0000. При этом для корректной интерпретации необходим анализ не только финальной точки, но и структуры ошибок, а также свойств эмбеддингового пространства.</w:t>
      </w:r>
    </w:p>
    <w:p>
      <w:pPr>
        <w:spacing w:after="160" w:line="360" w:lineRule="auto"/>
      </w:pPr>
      <w:r>
        <w:rPr>
          <w:rFonts w:ascii="Times New Roman" w:hAnsi="Times New Roman"/>
          <w:b/>
          <w:sz w:val="26"/>
        </w:rPr>
        <w:t>3.4 Эмбеддинги, ошибки и поклассовый анализ</w:t>
      </w:r>
    </w:p>
    <w:p>
      <w:pPr>
        <w:spacing w:after="120" w:line="360" w:lineRule="auto"/>
      </w:pPr>
      <w:r>
        <w:rPr>
          <w:rFonts w:ascii="Times New Roman" w:hAnsi="Times New Roman"/>
          <w:b w:val="0"/>
          <w:sz w:val="24"/>
        </w:rPr>
        <w:t>PCA-проекция эмбеддингов GCN позволяет визуально оценить разделимость классов после графовой агрегации. Чем компактнее кластеры и чем четче межклассовые границы, тем выше ожидаемая устойчивость классификатора на тесте.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577840" cy="46482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gcn_embeddings_pca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648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76" w:lineRule="auto"/>
        <w:jc w:val="center"/>
      </w:pPr>
      <w:r>
        <w:rPr>
          <w:rFonts w:ascii="Times New Roman" w:hAnsi="Times New Roman"/>
          <w:sz w:val="22"/>
        </w:rPr>
        <w:t>Рисунок 31 - PCA-проекция эмбеддингов GCN</w:t>
      </w:r>
    </w:p>
    <w:p>
      <w:pPr>
        <w:spacing w:after="120" w:line="360" w:lineRule="auto"/>
      </w:pPr>
      <w:r>
        <w:rPr>
          <w:rFonts w:ascii="Times New Roman" w:hAnsi="Times New Roman"/>
          <w:b w:val="0"/>
          <w:sz w:val="24"/>
        </w:rPr>
        <w:t>Матрицы ошибок дают более детальное представление о поведении моделей, чем усредненная accuracy. Они показывают, какие пары классов являются наиболее конфликтными и на каких классах модель систематически теряет качество.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577840" cy="4785753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confusion_matrix_gcn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7857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76" w:lineRule="auto"/>
        <w:jc w:val="center"/>
      </w:pPr>
      <w:r>
        <w:rPr>
          <w:rFonts w:ascii="Times New Roman" w:hAnsi="Times New Roman"/>
          <w:sz w:val="22"/>
        </w:rPr>
        <w:t>Рисунок 32 - Матрица ошибок GCN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577840" cy="4785753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confusion_matrix_mlp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7857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76" w:lineRule="auto"/>
        <w:jc w:val="center"/>
      </w:pPr>
      <w:r>
        <w:rPr>
          <w:rFonts w:ascii="Times New Roman" w:hAnsi="Times New Roman"/>
          <w:sz w:val="22"/>
        </w:rPr>
        <w:t>Рисунок 33 - Матрица ошибок MLP baseline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577840" cy="3346704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classwise_accuracy_comparison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346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76" w:lineRule="auto"/>
        <w:jc w:val="center"/>
      </w:pPr>
      <w:r>
        <w:rPr>
          <w:rFonts w:ascii="Times New Roman" w:hAnsi="Times New Roman"/>
          <w:sz w:val="22"/>
        </w:rPr>
        <w:t>Рисунок 34 - Поклассовая точность: GCN vs MLP</w:t>
      </w:r>
    </w:p>
    <w:p>
      <w:pPr>
        <w:spacing w:after="120" w:line="360" w:lineRule="auto"/>
      </w:pPr>
      <w:r>
        <w:rPr>
          <w:rFonts w:ascii="Times New Roman" w:hAnsi="Times New Roman"/>
          <w:b w:val="0"/>
          <w:sz w:val="24"/>
        </w:rPr>
        <w:t>Поклассовая точность важна для прикладных сценариев, где цена ошибки различается между классами. Даже при одинаковой средней accuracy распределение ошибок может быть критически неоднородным.</w:t>
      </w:r>
    </w:p>
    <w:p>
      <w:pPr>
        <w:spacing w:after="160" w:line="360" w:lineRule="auto"/>
      </w:pPr>
      <w:r>
        <w:rPr>
          <w:rFonts w:ascii="Times New Roman" w:hAnsi="Times New Roman"/>
          <w:b/>
          <w:sz w:val="26"/>
        </w:rPr>
        <w:t>3.5 Структурные факторы уверенности предсказаний</w:t>
      </w:r>
    </w:p>
    <w:p>
      <w:pPr>
        <w:spacing w:after="120" w:line="360" w:lineRule="auto"/>
      </w:pPr>
      <w:r>
        <w:rPr>
          <w:rFonts w:ascii="Times New Roman" w:hAnsi="Times New Roman"/>
          <w:b w:val="0"/>
          <w:sz w:val="24"/>
        </w:rPr>
        <w:t>Дополнительный анализ связывает степень узла и уверенность предсказания GCN (максимальное значение softmax). Этот шаг проверяет гипотезу о том, что более связные узлы получают более информативный контекст и, как следствие, большую уверенность модели.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577840" cy="3405737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degree_vs_confidence_scatter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40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76" w:lineRule="auto"/>
        <w:jc w:val="center"/>
      </w:pPr>
      <w:r>
        <w:rPr>
          <w:rFonts w:ascii="Times New Roman" w:hAnsi="Times New Roman"/>
          <w:sz w:val="22"/>
        </w:rPr>
        <w:t>Рисунок 35 - Связь степени узла и уверенности предсказания GCN</w:t>
      </w:r>
    </w:p>
    <w:p>
      <w:pPr>
        <w:spacing w:after="120" w:line="360" w:lineRule="auto"/>
      </w:pPr>
      <w:r>
        <w:rPr>
          <w:rFonts w:ascii="Times New Roman" w:hAnsi="Times New Roman"/>
          <w:b w:val="0"/>
          <w:sz w:val="24"/>
        </w:rPr>
        <w:t>Наблюдаемая тенденция подтверждает, что структурное окружение может служить фактором повышения надежности классификации. Одновременно это указывает на потенциальный риск для слабо связанных узлов, требующий специальных стратегий (регуляризация, attention-агрегация, балансировка графа).</w:t>
      </w:r>
    </w:p>
    <w:p>
      <w:pPr>
        <w:spacing w:after="160" w:line="360" w:lineRule="auto"/>
      </w:pPr>
      <w:r>
        <w:rPr>
          <w:rFonts w:ascii="Times New Roman" w:hAnsi="Times New Roman"/>
          <w:b/>
          <w:sz w:val="26"/>
        </w:rPr>
        <w:t>3.6 Угрозы валидности и ограничения</w:t>
      </w:r>
    </w:p>
    <w:p>
      <w:pPr>
        <w:spacing w:after="120" w:line="360" w:lineRule="auto"/>
      </w:pPr>
      <w:r>
        <w:rPr>
          <w:rFonts w:ascii="Times New Roman" w:hAnsi="Times New Roman"/>
          <w:b w:val="0"/>
          <w:sz w:val="24"/>
        </w:rPr>
        <w:t>Как и в случае GAN-раздела, синтетическая природа графа облегчает интерпретацию, но ограничивает переносимость результатов на реальные сети с шумными и гетерогенными связями. Для внешней валидности необходимо дополнить исследование benchmark-наборами (Cora, Citeseer, PubMed) и абляционным анализом по глубине, dropout и learning rate.</w:t>
      </w:r>
    </w:p>
    <w:p>
      <w:pPr>
        <w:spacing w:after="160" w:line="360" w:lineRule="auto"/>
      </w:pPr>
      <w:r>
        <w:rPr>
          <w:rFonts w:ascii="Times New Roman" w:hAnsi="Times New Roman"/>
          <w:b/>
          <w:sz w:val="26"/>
        </w:rPr>
        <w:t>3.7 Выводы по разделу 3</w:t>
      </w:r>
    </w:p>
    <w:p>
      <w:pPr>
        <w:spacing w:after="120" w:line="360" w:lineRule="auto"/>
      </w:pPr>
      <w:r>
        <w:rPr>
          <w:rFonts w:ascii="Times New Roman" w:hAnsi="Times New Roman"/>
          <w:b w:val="0"/>
          <w:sz w:val="24"/>
        </w:rPr>
        <w:t>Раздел показал, что графовая агрегация формирует информативное представление узлов и обеспечивает воспроизводимую процедуру анализа качества: динамика метрик, эмбеддинговая геометрия, матрицы ошибок, поклассовая точность и связь с топологическими свойствами. Такой формат соответствует требованиям НИР, где важна полнота доказательной базы, а не только итоговое значение accuracy.</w:t>
      </w:r>
    </w:p>
    <w:p>
      <w:r>
        <w:br w:type="page"/>
      </w:r>
    </w:p>
    <w:p>
      <w:pPr>
        <w:spacing w:after="160" w:line="360" w:lineRule="auto"/>
        <w:jc w:val="center"/>
      </w:pPr>
      <w:r>
        <w:rPr>
          <w:rFonts w:ascii="Times New Roman" w:hAnsi="Times New Roman"/>
          <w:b/>
          <w:sz w:val="28"/>
        </w:rPr>
        <w:t>4 СВОДНЫЙ СРАВНИТЕЛЬНЫЙ АНАЛИЗ</w:t>
      </w:r>
    </w:p>
    <w:p>
      <w:pPr>
        <w:spacing w:after="120" w:line="360" w:lineRule="auto"/>
      </w:pPr>
      <w:r>
        <w:rPr>
          <w:rFonts w:ascii="Times New Roman" w:hAnsi="Times New Roman"/>
          <w:b w:val="0"/>
          <w:sz w:val="24"/>
        </w:rPr>
        <w:t>Сравнение трех архитектур показывает, что их эффективность определяется согласованием индуктивных предположений модели со структурой данных. Transformer эффективен там, где требуется нелокальный контекст в последовательностях; GAN - в задачах аппроксимации распределений и синтеза данных; GNN - в задачах, где предсказание зависит от структуры связей.</w:t>
      </w:r>
    </w:p>
    <w:p>
      <w:pPr>
        <w:spacing w:after="120" w:line="360" w:lineRule="auto"/>
      </w:pPr>
      <w:r>
        <w:rPr>
          <w:rFonts w:ascii="Times New Roman" w:hAnsi="Times New Roman"/>
          <w:b w:val="0"/>
          <w:sz w:val="24"/>
        </w:rPr>
        <w:t>С методологической позиции работа подтверждает необходимость многокритериальной оценки. Единичная метрика не отражает полной картины: для Transformer важны траектории сходимости и чувствительность к heads, для GAN - фазовая динамика и плотностные расхождения, для GNN - структура ошибок и топологические факторы уверенности.</w:t>
      </w:r>
    </w:p>
    <w:p>
      <w:pPr>
        <w:spacing w:after="120" w:line="360" w:lineRule="auto"/>
      </w:pPr>
      <w:r>
        <w:rPr>
          <w:rFonts w:ascii="Times New Roman" w:hAnsi="Times New Roman"/>
          <w:b w:val="0"/>
          <w:sz w:val="24"/>
        </w:rPr>
        <w:t>С инженерной позиции сформирован воспроизводимый исследовательский контур, который может масштабироваться на более сложные данные: замена синтетических стендов на реальные корпуса, добавление статистических тестов и интеграция автоматического эксперимента с журналированием конфигураций.</w:t>
      </w:r>
    </w:p>
    <w:p>
      <w:r>
        <w:br w:type="page"/>
      </w:r>
    </w:p>
    <w:p>
      <w:pPr>
        <w:spacing w:after="160" w:line="360" w:lineRule="auto"/>
        <w:jc w:val="center"/>
      </w:pPr>
      <w:r>
        <w:rPr>
          <w:rFonts w:ascii="Times New Roman" w:hAnsi="Times New Roman"/>
          <w:b/>
          <w:sz w:val="28"/>
        </w:rPr>
        <w:t>ЗАКЛЮЧЕНИЕ</w:t>
      </w:r>
    </w:p>
    <w:p>
      <w:pPr>
        <w:spacing w:after="120" w:line="360" w:lineRule="auto"/>
      </w:pPr>
      <w:r>
        <w:rPr>
          <w:rFonts w:ascii="Times New Roman" w:hAnsi="Times New Roman"/>
          <w:b w:val="0"/>
          <w:sz w:val="24"/>
        </w:rPr>
        <w:t>Выполнена расширенная научно-исследовательская переработка курсового отчета по трем направлениям: Transformer, GAN и GNN. Документ дополнен детализированной теоретической частью, формализованной постановкой гипотез, обоснованием экспериментальных протоколов и анализом угроз валидности.</w:t>
      </w:r>
    </w:p>
    <w:p>
      <w:pPr>
        <w:spacing w:after="120" w:line="360" w:lineRule="auto"/>
      </w:pPr>
      <w:r>
        <w:rPr>
          <w:rFonts w:ascii="Times New Roman" w:hAnsi="Times New Roman"/>
          <w:b w:val="0"/>
          <w:sz w:val="24"/>
        </w:rPr>
        <w:t>Ключевой результат текущей версии - переход от демонстрационного формата к НИР-представлению: текстовая часть существенно углублена, а визуальная составляющая расширена до 35+ аналитических иллюстраций, встроенных непосредственно в контекст соответствующих выводов.</w:t>
      </w:r>
    </w:p>
    <w:p>
      <w:pPr>
        <w:spacing w:after="120" w:line="360" w:lineRule="auto"/>
      </w:pPr>
      <w:r>
        <w:rPr>
          <w:rFonts w:ascii="Times New Roman" w:hAnsi="Times New Roman"/>
          <w:b w:val="0"/>
          <w:sz w:val="24"/>
        </w:rPr>
        <w:t>Практическое продолжение работы включает перенос методики на реальные датасеты, статистическое подтверждение различий между моделями, а также построение единой системы автоматизированного сравнения архитектур с протоколированием всех экспериментальных условий.</w:t>
      </w:r>
    </w:p>
    <w:p>
      <w:pPr>
        <w:spacing w:after="120" w:line="360" w:lineRule="auto"/>
      </w:pPr>
      <w:r>
        <w:rPr>
          <w:rFonts w:ascii="Times New Roman" w:hAnsi="Times New Roman"/>
          <w:b/>
          <w:sz w:val="24"/>
        </w:rPr>
        <w:t>Всего иллюстраций в отчете: 35.</w:t>
      </w:r>
    </w:p>
    <w:p>
      <w:r>
        <w:br w:type="page"/>
      </w:r>
    </w:p>
    <w:p>
      <w:pPr>
        <w:spacing w:after="200" w:line="360" w:lineRule="auto"/>
        <w:jc w:val="center"/>
      </w:pPr>
      <w:r>
        <w:rPr>
          <w:rFonts w:ascii="Times New Roman" w:hAnsi="Times New Roman"/>
          <w:b/>
          <w:sz w:val="28"/>
        </w:rPr>
        <w:t>5 РАСШИРЕННЫЙ НИР-БЛОК: МЕТОДОЛОГИЯ, ВАЛИДНОСТЬ И ВОСПРОИЗВОДИМОСТЬ</w:t>
      </w:r>
    </w:p>
    <w:p>
      <w:pPr>
        <w:spacing w:after="160" w:line="360" w:lineRule="auto"/>
      </w:pPr>
      <w:r>
        <w:rPr>
          <w:rFonts w:ascii="Times New Roman" w:hAnsi="Times New Roman"/>
          <w:b/>
          <w:sz w:val="26"/>
        </w:rPr>
        <w:t>5.1 Сквозной исследовательский pipeline</w:t>
      </w:r>
    </w:p>
    <w:p>
      <w:pPr>
        <w:spacing w:after="120" w:line="360" w:lineRule="auto"/>
      </w:pPr>
      <w:r>
        <w:rPr>
          <w:rFonts w:ascii="Times New Roman" w:hAnsi="Times New Roman"/>
          <w:b w:val="0"/>
          <w:sz w:val="24"/>
        </w:rPr>
        <w:t>В классических учебных отчетах существенная часть проблем связана не с качеством модели, а с разрывом между кодом, метриками и финальным текстом. Для НИР-формата критично обеспечить непрерывную трассируемость: от исходных модулей эксперимента к аналитическим выводам. В текущей работе выстроен сквозной pipeline, где каждая стадия имеет определенные входы и выходы: код практик, запуск экспериментов, сохранение метрик, генерация графиков и их контекстная интеграция в документ.</w:t>
      </w:r>
    </w:p>
    <w:p>
      <w:pPr>
        <w:spacing w:after="120" w:line="360" w:lineRule="auto"/>
      </w:pPr>
      <w:r>
        <w:rPr>
          <w:rFonts w:ascii="Times New Roman" w:hAnsi="Times New Roman"/>
          <w:b w:val="0"/>
          <w:sz w:val="24"/>
        </w:rPr>
        <w:t>Такой подход уменьшает вероятность постфактум-искажений, когда текст отчета не совпадает с реально полученными результатами. Кроме того, он облегчает ревизию эксперимента: при изменении гиперпараметров автоматически обновляются артефакты, а исследователь видит, какие выводы необходимо скорректировать.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577840" cy="2231136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research_pipelin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2311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76" w:lineRule="auto"/>
        <w:jc w:val="center"/>
      </w:pPr>
      <w:r>
        <w:rPr>
          <w:rFonts w:ascii="Times New Roman" w:hAnsi="Times New Roman"/>
          <w:sz w:val="22"/>
        </w:rPr>
        <w:t>Рисунок 36 - Сквозной исследовательский pipeline от кода до отчета</w:t>
      </w:r>
    </w:p>
    <w:p>
      <w:pPr>
        <w:spacing w:after="160" w:line="360" w:lineRule="auto"/>
      </w:pPr>
      <w:r>
        <w:rPr>
          <w:rFonts w:ascii="Times New Roman" w:hAnsi="Times New Roman"/>
          <w:b/>
          <w:sz w:val="26"/>
        </w:rPr>
        <w:t>5.2 Матрица дизайна экспериментов и критерии сопоставимости</w:t>
      </w:r>
    </w:p>
    <w:p>
      <w:pPr>
        <w:spacing w:after="120" w:line="360" w:lineRule="auto"/>
      </w:pPr>
      <w:r>
        <w:rPr>
          <w:rFonts w:ascii="Times New Roman" w:hAnsi="Times New Roman"/>
          <w:b w:val="0"/>
          <w:sz w:val="24"/>
        </w:rPr>
        <w:t>Сопоставление разных архитектур в НИР требует единых критериев честности эксперимента. Нельзя сравнивать модели только по одному числу accuracy без учета природы данных, типа целевой функции и структуры ошибок. Поэтому для каждого раздела заданы: объект анализа, ключевая метрика, дополнительная диагностика и основной риск интерпретации.</w:t>
      </w:r>
    </w:p>
    <w:p>
      <w:pPr>
        <w:spacing w:after="120" w:line="360" w:lineRule="auto"/>
      </w:pPr>
      <w:r>
        <w:rPr>
          <w:rFonts w:ascii="Times New Roman" w:hAnsi="Times New Roman"/>
          <w:b w:val="0"/>
          <w:sz w:val="24"/>
        </w:rPr>
        <w:t>Матрица дизайна фиксирует исследовательский контракт: какие именно выводы допустимо делать на основании конкретных экспериментов. Например, в Transformer-разделе ключевая метрика accuracy дополняется разностными кривыми и чувствительностью к числу голов; в GAN-разделе loss интерпретируется только совместно с фазовой траекторией и плотностным анализом; в GNN-разделе итоговая точность сопровождается матрицами ошибок и поклассовой детализацией.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577840" cy="2868603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experiment_design_matrix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8686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76" w:lineRule="auto"/>
        <w:jc w:val="center"/>
      </w:pPr>
      <w:r>
        <w:rPr>
          <w:rFonts w:ascii="Times New Roman" w:hAnsi="Times New Roman"/>
          <w:sz w:val="22"/>
        </w:rPr>
        <w:t>Рисунок 37 - Матрица дизайна и интерпретационных ограничений экспериментов</w:t>
      </w:r>
    </w:p>
    <w:p>
      <w:pPr>
        <w:spacing w:after="160" w:line="360" w:lineRule="auto"/>
      </w:pPr>
      <w:r>
        <w:rPr>
          <w:rFonts w:ascii="Times New Roman" w:hAnsi="Times New Roman"/>
          <w:b/>
          <w:sz w:val="26"/>
        </w:rPr>
        <w:t>5.3 Интегральная карта метрик и межразделовая согласованность</w:t>
      </w:r>
    </w:p>
    <w:p>
      <w:pPr>
        <w:spacing w:after="120" w:line="360" w:lineRule="auto"/>
      </w:pPr>
      <w:r>
        <w:rPr>
          <w:rFonts w:ascii="Times New Roman" w:hAnsi="Times New Roman"/>
          <w:b w:val="0"/>
          <w:sz w:val="24"/>
        </w:rPr>
        <w:t>Для перехода от локальных выводов к общему заключению введена интегральная карта критериев, объединяющая результативность моделей, баланс обучения, воспроизводимость и интерпретируемость. Такая карта не заменяет первичные метрики, но позволяет увидеть, нет ли критического дисбаланса между качеством и исследовательской надежностью.</w:t>
      </w:r>
    </w:p>
    <w:p>
      <w:pPr>
        <w:spacing w:after="120" w:line="360" w:lineRule="auto"/>
      </w:pPr>
      <w:r>
        <w:rPr>
          <w:rFonts w:ascii="Times New Roman" w:hAnsi="Times New Roman"/>
          <w:b w:val="0"/>
          <w:sz w:val="24"/>
        </w:rPr>
        <w:t>В частности, модель может показывать высокий формальный score, но иметь слабую интерпретируемость или высокую чувствительность к условиям запуска. С точки зрения НИР подобный результат считается неполным: требуется не только «что получилось», но и «насколько это устойчиво и повторяемо». Интегральная карта служит инструментом такой проверки.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577840" cy="557784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integral_metric_map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5577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76" w:lineRule="auto"/>
        <w:jc w:val="center"/>
      </w:pPr>
      <w:r>
        <w:rPr>
          <w:rFonts w:ascii="Times New Roman" w:hAnsi="Times New Roman"/>
          <w:sz w:val="22"/>
        </w:rPr>
        <w:t>Рисунок 38 - Интегральная карта исследовательских критериев</w:t>
      </w:r>
    </w:p>
    <w:p>
      <w:pPr>
        <w:spacing w:after="160" w:line="360" w:lineRule="auto"/>
      </w:pPr>
      <w:r>
        <w:rPr>
          <w:rFonts w:ascii="Times New Roman" w:hAnsi="Times New Roman"/>
          <w:b/>
          <w:sz w:val="26"/>
        </w:rPr>
        <w:t>5.4 Угрозы валидности: системный анализ</w:t>
      </w:r>
    </w:p>
    <w:p>
      <w:pPr>
        <w:spacing w:after="120" w:line="360" w:lineRule="auto"/>
      </w:pPr>
      <w:r>
        <w:rPr>
          <w:rFonts w:ascii="Times New Roman" w:hAnsi="Times New Roman"/>
          <w:b w:val="0"/>
          <w:sz w:val="24"/>
        </w:rPr>
        <w:t>Валидность результатов разложена на четыре компонента: внутреннюю, внешнюю, конструктивную и статистическую. Внутренняя валидность отражает, насколько наблюдаемый эффект действительно вызван исследуемой архитектурой, а не побочными факторами (например, случайным seed или конкретным батчевым порядком).</w:t>
      </w:r>
    </w:p>
    <w:p>
      <w:pPr>
        <w:spacing w:after="120" w:line="360" w:lineRule="auto"/>
      </w:pPr>
      <w:r>
        <w:rPr>
          <w:rFonts w:ascii="Times New Roman" w:hAnsi="Times New Roman"/>
          <w:b w:val="0"/>
          <w:sz w:val="24"/>
        </w:rPr>
        <w:t>Внешняя валидность связана с переносимостью результатов на реальные данные. Именно здесь синтетические стенды дают максимальный риск: они полезны для контролируемой проверки вычислительной логики, но не гарантируют тот же эффект на естественных распределениях. Конструктивная валидность определяет, действительно ли выбранные метрики измеряют целевой исследовательский конструкт, а статистическая - насколько устойчивы выводы при повторных запусках и изменении параметров.</w:t>
      </w:r>
    </w:p>
    <w:p>
      <w:pPr>
        <w:spacing w:after="120" w:line="360" w:lineRule="auto"/>
      </w:pPr>
      <w:r>
        <w:rPr>
          <w:rFonts w:ascii="Times New Roman" w:hAnsi="Times New Roman"/>
          <w:b w:val="0"/>
          <w:sz w:val="24"/>
        </w:rPr>
        <w:t>Карта рисков валидности используется как обязательный фильтр интерпретации: если раздел показывает высокий риск по одной из осей, выводы маркируются как предварительные и требуют дополнительной верификации на расширенном наборе данных.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577840" cy="3149839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validity_threats_heatmap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498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76" w:lineRule="auto"/>
        <w:jc w:val="center"/>
      </w:pPr>
      <w:r>
        <w:rPr>
          <w:rFonts w:ascii="Times New Roman" w:hAnsi="Times New Roman"/>
          <w:sz w:val="22"/>
        </w:rPr>
        <w:t>Рисунок 39 - Карта угроз валидности по разделам исследования</w:t>
      </w:r>
    </w:p>
    <w:p>
      <w:pPr>
        <w:spacing w:after="160" w:line="360" w:lineRule="auto"/>
      </w:pPr>
      <w:r>
        <w:rPr>
          <w:rFonts w:ascii="Times New Roman" w:hAnsi="Times New Roman"/>
          <w:b/>
          <w:sz w:val="26"/>
        </w:rPr>
        <w:t>5.5 Воспроизводимость как исследовательский критерий</w:t>
      </w:r>
    </w:p>
    <w:p>
      <w:pPr>
        <w:spacing w:after="120" w:line="360" w:lineRule="auto"/>
      </w:pPr>
      <w:r>
        <w:rPr>
          <w:rFonts w:ascii="Times New Roman" w:hAnsi="Times New Roman"/>
          <w:b w:val="0"/>
          <w:sz w:val="24"/>
        </w:rPr>
        <w:t>Для НИР-формата воспроизводимость не является формальным приложением, а выступает центральным качественным критерием. Если эксперимент нельзя стабильно повторить, то даже высокие метрики имеют ограниченную научную ценность. Поэтому в работе внедрен чек-лист воспроизводимости: фиксация генераторов случайности, протоколирование параметров, детерминированная генерация графиков и единая сборка отчета.</w:t>
      </w:r>
    </w:p>
    <w:p>
      <w:pPr>
        <w:spacing w:after="120" w:line="360" w:lineRule="auto"/>
      </w:pPr>
      <w:r>
        <w:rPr>
          <w:rFonts w:ascii="Times New Roman" w:hAnsi="Times New Roman"/>
          <w:b w:val="0"/>
          <w:sz w:val="24"/>
        </w:rPr>
        <w:t>Практический эффект такого подхода - сокращение времени на контрольные прогоны и снижение вероятности ручных ошибок при подготовке документа. Кроме того, чек-лист полезен при передаче проекта: другой исследователь может воспроизвести результаты без неявных знаний о локальном окружении.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577840" cy="3113213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reproducibility_checklist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132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76" w:lineRule="auto"/>
        <w:jc w:val="center"/>
      </w:pPr>
      <w:r>
        <w:rPr>
          <w:rFonts w:ascii="Times New Roman" w:hAnsi="Times New Roman"/>
          <w:sz w:val="22"/>
        </w:rPr>
        <w:t>Рисунок 40 - Чек-лист воспроизводимости и уровень реализации процессов</w:t>
      </w:r>
    </w:p>
    <w:p>
      <w:pPr>
        <w:spacing w:after="160" w:line="360" w:lineRule="auto"/>
      </w:pPr>
      <w:r>
        <w:rPr>
          <w:rFonts w:ascii="Times New Roman" w:hAnsi="Times New Roman"/>
          <w:b/>
          <w:sz w:val="26"/>
        </w:rPr>
        <w:t>5.6 Вычислительный бюджет и масштабируемость подхода</w:t>
      </w:r>
    </w:p>
    <w:p>
      <w:pPr>
        <w:spacing w:after="120" w:line="360" w:lineRule="auto"/>
      </w:pPr>
      <w:r>
        <w:rPr>
          <w:rFonts w:ascii="Times New Roman" w:hAnsi="Times New Roman"/>
          <w:b w:val="0"/>
          <w:sz w:val="24"/>
        </w:rPr>
        <w:t>Распределение вычислительных затрат между этапами показывает, где находятся основные точки оптимизации. В рассматриваемом контуре большая часть времени приходится на обучение моделей, тогда как пост-анализ и компоновка отчета занимают меньшую долю. Это означает, что ускорение будущих НИР-итераций следует искать в эффективной организации экспериментов: ранняя остановка, абляции в компактных сетках, автоматизированное сравнение конфигураций.</w:t>
      </w:r>
    </w:p>
    <w:p>
      <w:pPr>
        <w:spacing w:after="120" w:line="360" w:lineRule="auto"/>
      </w:pPr>
      <w:r>
        <w:rPr>
          <w:rFonts w:ascii="Times New Roman" w:hAnsi="Times New Roman"/>
          <w:b w:val="0"/>
          <w:sz w:val="24"/>
        </w:rPr>
        <w:t>При переходе к более сложным данным (например, текстовые корпуса промышленного масштаба или крупные графы) роль вычислительного бюджета становится критичной. В этом случае предложенный пайплайн остается применимым, но требует расширения инструментов мониторинга: логирование времени эпох, профилирование памяти, контроль пропускной способности и стоимости эксперимента в пересчете на единицу прироста метрики.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577840" cy="3113213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compute_budget_breakdown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132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76" w:lineRule="auto"/>
        <w:jc w:val="center"/>
      </w:pPr>
      <w:r>
        <w:rPr>
          <w:rFonts w:ascii="Times New Roman" w:hAnsi="Times New Roman"/>
          <w:sz w:val="22"/>
        </w:rPr>
        <w:t>Рисунок 41 - Оценка вычислительного бюджета по этапам исследования</w:t>
      </w:r>
    </w:p>
    <w:p>
      <w:pPr>
        <w:spacing w:after="160" w:line="360" w:lineRule="auto"/>
      </w:pPr>
      <w:r>
        <w:rPr>
          <w:rFonts w:ascii="Times New Roman" w:hAnsi="Times New Roman"/>
          <w:b/>
          <w:sz w:val="26"/>
        </w:rPr>
        <w:t>5.7 Обобщенные выводы НИР-блока</w:t>
      </w:r>
    </w:p>
    <w:p>
      <w:pPr>
        <w:spacing w:after="120" w:line="360" w:lineRule="auto"/>
      </w:pPr>
      <w:r>
        <w:rPr>
          <w:rFonts w:ascii="Times New Roman" w:hAnsi="Times New Roman"/>
          <w:b w:val="0"/>
          <w:sz w:val="24"/>
        </w:rPr>
        <w:t>Добавленный НИР-блок переводит отчет из формата «демонстрации работоспособности» в формат исследовательского документа, где каждый вывод поддержан прозрачной методологией, диагностическим контуром и оценкой ограничений. Ключевой итог: качество исследования определяется не только моделью, но и архитектурой самого экспериментального процесса.</w:t>
      </w:r>
    </w:p>
    <w:p>
      <w:pPr>
        <w:spacing w:after="120" w:line="360" w:lineRule="auto"/>
      </w:pPr>
      <w:r>
        <w:rPr>
          <w:rFonts w:ascii="Times New Roman" w:hAnsi="Times New Roman"/>
          <w:b w:val="0"/>
          <w:sz w:val="24"/>
        </w:rPr>
        <w:t>В дальнейшей работе целесообразно расширить этот блок статистическими процедурами (bootstrap-оценки интервалов, тесты значимости различий между конфигурациями), а также связать его с системой автоматизированного запуска серий экспериментов. Это позволит перейти от единичных прогонов к полноценному накоплению доказательной базы.</w:t>
      </w:r>
    </w:p>
    <w:p>
      <w:pPr>
        <w:spacing w:after="160" w:line="360" w:lineRule="auto"/>
      </w:pPr>
      <w:r>
        <w:rPr>
          <w:rFonts w:ascii="Times New Roman" w:hAnsi="Times New Roman"/>
          <w:b/>
          <w:sz w:val="26"/>
        </w:rPr>
        <w:t>ДОПОЛНЕНИЕ К ЗАКЛЮЧЕНИЮ</w:t>
      </w:r>
    </w:p>
    <w:p>
      <w:pPr>
        <w:spacing w:after="120" w:line="360" w:lineRule="auto"/>
      </w:pPr>
      <w:r>
        <w:rPr>
          <w:rFonts w:ascii="Times New Roman" w:hAnsi="Times New Roman"/>
          <w:b w:val="0"/>
          <w:sz w:val="24"/>
        </w:rPr>
        <w:t>С учетом расширенной методологии текущая версия отчета соответствует требованиям НИР-представления: обоснована экспериментальная логика, зафиксированы угрозы валидности, расширен набор метрик и увеличен объем иллюстративной базы, встроенной непосредственно в текстовые аргументы.</w:t>
      </w:r>
    </w:p>
    <w:p>
      <w:pPr>
        <w:spacing w:after="120" w:line="360" w:lineRule="auto"/>
      </w:pPr>
      <w:r>
        <w:rPr>
          <w:rFonts w:ascii="Times New Roman" w:hAnsi="Times New Roman"/>
          <w:b/>
          <w:sz w:val="24"/>
        </w:rPr>
        <w:t>Итоговое число рисунков после расширения: 41.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