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雲端資訊整合服務採購合約</w:t>
      </w:r>
    </w:p>
    <w:p>
      <w:pPr>
        <w:jc w:val="center"/>
      </w:pPr>
      <w:r>
        <w:rPr>
          <w:sz w:val="26"/>
        </w:rPr>
        <w:t>Vendor Service Agreement — Cloud Integration Project 2024</w:t>
      </w:r>
    </w:p>
    <w:p/>
    <w:p>
      <w:pPr>
        <w:jc w:val="center"/>
      </w:pPr>
      <w:r>
        <w:rPr>
          <w:sz w:val="24"/>
        </w:rPr>
        <w:t>合約編號：VSA-2024-CLOUD-0087</w:t>
      </w:r>
    </w:p>
    <w:p>
      <w:pPr>
        <w:jc w:val="center"/>
      </w:pPr>
      <w:r>
        <w:rPr>
          <w:sz w:val="24"/>
        </w:rPr>
        <w:t>簽訂日期：2024 年 3 月 15 日</w:t>
      </w:r>
    </w:p>
    <w:p>
      <w:pPr>
        <w:jc w:val="center"/>
      </w:pPr>
      <w:r>
        <w:rPr>
          <w:sz w:val="24"/>
        </w:rPr>
        <w:t>合約生效日：2024 年 4 月 1 日</w:t>
      </w:r>
    </w:p>
    <w:p>
      <w:pPr>
        <w:jc w:val="center"/>
      </w:pPr>
      <w:r>
        <w:rPr>
          <w:sz w:val="24"/>
        </w:rPr>
        <w:t>合約期限：36 個月（至 2027 年 3 月 31 日）</w:t>
      </w:r>
    </w:p>
    <w:p>
      <w:pPr>
        <w:jc w:val="center"/>
      </w:pPr>
      <w:r>
        <w:rPr>
          <w:sz w:val="24"/>
        </w:rPr>
        <w:t>合約總金額：新台幣 30,000,000 元（參仟萬元整）</w:t>
      </w:r>
    </w:p>
    <w:p>
      <w:r>
        <w:br w:type="page"/>
      </w:r>
    </w:p>
    <w:p>
      <w:pPr>
        <w:pStyle w:val="Heading1"/>
        <w:jc w:val="left"/>
      </w:pPr>
      <w:r>
        <w:t>第一部分：訂約當事人</w:t>
      </w:r>
    </w:p>
    <w:p>
      <w:r>
        <w:rPr>
          <w:b/>
          <w:sz w:val="22"/>
        </w:rPr>
        <w:t>甲方（委託方）：</w:t>
      </w:r>
    </w:p>
    <w:p>
      <w:r>
        <w:rPr>
          <w:b w:val="0"/>
          <w:sz w:val="22"/>
        </w:rPr>
        <w:t>公司名稱：台灣創新科技股份有限公司</w:t>
      </w:r>
    </w:p>
    <w:p>
      <w:r>
        <w:rPr>
          <w:b w:val="0"/>
          <w:sz w:val="22"/>
        </w:rPr>
        <w:t>統一編號：12345678</w:t>
      </w:r>
    </w:p>
    <w:p>
      <w:r>
        <w:rPr>
          <w:b w:val="0"/>
          <w:sz w:val="22"/>
        </w:rPr>
        <w:t>代表人：陳志遠　職稱：董事長</w:t>
      </w:r>
    </w:p>
    <w:p>
      <w:r>
        <w:rPr>
          <w:b w:val="0"/>
          <w:sz w:val="22"/>
        </w:rPr>
        <w:t>地址：台北市中山區南京東路三段100號15樓</w:t>
      </w:r>
    </w:p>
    <w:p>
      <w:r>
        <w:rPr>
          <w:b w:val="0"/>
          <w:sz w:val="22"/>
        </w:rPr>
        <w:t>聯絡電話：(02) 2555-8800　傳真：(02) 2555-8801</w:t>
      </w:r>
    </w:p>
    <w:p>
      <w:r>
        <w:rPr>
          <w:b w:val="0"/>
          <w:sz w:val="22"/>
        </w:rPr>
        <w:t>電子郵件：procurement@titech.com.tw</w:t>
      </w:r>
    </w:p>
    <w:p/>
    <w:p>
      <w:r>
        <w:rPr>
          <w:b/>
          <w:sz w:val="22"/>
        </w:rPr>
        <w:t>乙方（服務提供方）：</w:t>
      </w:r>
    </w:p>
    <w:p>
      <w:r>
        <w:rPr>
          <w:b w:val="0"/>
          <w:sz w:val="22"/>
        </w:rPr>
        <w:t>公司名稱：鼎盛雲端科技有限公司</w:t>
      </w:r>
    </w:p>
    <w:p>
      <w:r>
        <w:rPr>
          <w:b w:val="0"/>
          <w:sz w:val="22"/>
        </w:rPr>
        <w:t>統一編號：87654321</w:t>
      </w:r>
    </w:p>
    <w:p>
      <w:r>
        <w:rPr>
          <w:b w:val="0"/>
          <w:sz w:val="22"/>
        </w:rPr>
        <w:t>代表人：林建志　職稱：執行長</w:t>
      </w:r>
    </w:p>
    <w:p>
      <w:r>
        <w:rPr>
          <w:b w:val="0"/>
          <w:sz w:val="22"/>
        </w:rPr>
        <w:t>地址：新北市新店區寶橋路235巷6弄3號5樓</w:t>
      </w:r>
    </w:p>
    <w:p>
      <w:r>
        <w:rPr>
          <w:b w:val="0"/>
          <w:sz w:val="22"/>
        </w:rPr>
        <w:t>聯絡電話：(02) 8667-3300　傳真：(02) 8667-3301</w:t>
      </w:r>
    </w:p>
    <w:p>
      <w:r>
        <w:rPr>
          <w:b w:val="0"/>
          <w:sz w:val="22"/>
        </w:rPr>
        <w:t>電子郵件：contract@dingsheng-cloud.com.tw</w:t>
      </w:r>
    </w:p>
    <w:p/>
    <w:p>
      <w:pPr>
        <w:ind w:left="425"/>
      </w:pPr>
      <w:r>
        <w:rPr>
          <w:b w:val="0"/>
          <w:sz w:val="22"/>
        </w:rPr>
        <w:t>鑒於甲方需要專業雲端整合服務，乙方具備相應技術能力與資源，雙方經充分協商，訂立本合約如下：</w:t>
      </w:r>
    </w:p>
    <w:p>
      <w:r>
        <w:br w:type="page"/>
      </w:r>
    </w:p>
    <w:p>
      <w:pPr>
        <w:pStyle w:val="Heading1"/>
        <w:jc w:val="left"/>
      </w:pPr>
      <w:r>
        <w:t>第二部分：服務範圍</w:t>
      </w:r>
    </w:p>
    <w:p>
      <w:r>
        <w:rPr>
          <w:b w:val="0"/>
          <w:sz w:val="22"/>
        </w:rPr>
        <w:t>2.1 乙方應依本合約附件一所定規格，提供下列雲端整合服務項目：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服務項目代碼</w:t>
            </w:r>
          </w:p>
        </w:tc>
        <w:tc>
          <w:tcPr>
            <w:tcW w:type="dxa" w:w="1296"/>
          </w:tcPr>
          <w:p>
            <w:r>
              <w:rPr>
                <w:b/>
              </w:rPr>
              <w:t>服務名稱</w:t>
            </w:r>
          </w:p>
        </w:tc>
        <w:tc>
          <w:tcPr>
            <w:tcW w:type="dxa" w:w="1296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296"/>
          </w:tcPr>
          <w:p>
            <w:r>
              <w:rPr>
                <w:b/>
              </w:rPr>
              <w:t>單位</w:t>
            </w:r>
          </w:p>
        </w:tc>
        <w:tc>
          <w:tcPr>
            <w:tcW w:type="dxa" w:w="1296"/>
          </w:tcPr>
          <w:p>
            <w:r>
              <w:rPr>
                <w:b/>
              </w:rPr>
              <w:t>數量</w:t>
            </w:r>
          </w:p>
        </w:tc>
        <w:tc>
          <w:tcPr>
            <w:tcW w:type="dxa" w:w="1296"/>
          </w:tcPr>
          <w:p>
            <w:r>
              <w:rPr>
                <w:b/>
              </w:rPr>
              <w:t>單價（TWD）</w:t>
            </w:r>
          </w:p>
        </w:tc>
        <w:tc>
          <w:tcPr>
            <w:tcW w:type="dxa" w:w="1296"/>
          </w:tcPr>
          <w:p>
            <w:r>
              <w:rPr>
                <w:b/>
              </w:rPr>
              <w:t>小計（TWD）</w:t>
            </w:r>
          </w:p>
        </w:tc>
      </w:tr>
      <w:tr>
        <w:tc>
          <w:tcPr>
            <w:tcW w:type="dxa" w:w="1296"/>
          </w:tcPr>
          <w:p>
            <w:r>
              <w:t>SVC-001</w:t>
            </w:r>
          </w:p>
        </w:tc>
        <w:tc>
          <w:tcPr>
            <w:tcW w:type="dxa" w:w="1296"/>
          </w:tcPr>
          <w:p>
            <w:r>
              <w:t>雲端基礎架構建置</w:t>
            </w:r>
          </w:p>
        </w:tc>
        <w:tc>
          <w:tcPr>
            <w:tcW w:type="dxa" w:w="1296"/>
          </w:tcPr>
          <w:p>
            <w:r>
              <w:t>AWS/Azure 混合雲環境部署、網路架構規劃</w:t>
            </w:r>
          </w:p>
        </w:tc>
        <w:tc>
          <w:tcPr>
            <w:tcW w:type="dxa" w:w="1296"/>
          </w:tcPr>
          <w:p>
            <w:r>
              <w:t>式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3,500,000</w:t>
            </w:r>
          </w:p>
        </w:tc>
        <w:tc>
          <w:tcPr>
            <w:tcW w:type="dxa" w:w="1296"/>
          </w:tcPr>
          <w:p>
            <w:r>
              <w:t>3,500,000</w:t>
            </w:r>
          </w:p>
        </w:tc>
      </w:tr>
      <w:tr>
        <w:tc>
          <w:tcPr>
            <w:tcW w:type="dxa" w:w="1296"/>
          </w:tcPr>
          <w:p>
            <w:r>
              <w:t>SVC-002</w:t>
            </w:r>
          </w:p>
        </w:tc>
        <w:tc>
          <w:tcPr>
            <w:tcW w:type="dxa" w:w="1296"/>
          </w:tcPr>
          <w:p>
            <w:r>
              <w:t>資料遷移服務</w:t>
            </w:r>
          </w:p>
        </w:tc>
        <w:tc>
          <w:tcPr>
            <w:tcW w:type="dxa" w:w="1296"/>
          </w:tcPr>
          <w:p>
            <w:r>
              <w:t>既有系統資料清洗、轉換、遷移至雲端</w:t>
            </w:r>
          </w:p>
        </w:tc>
        <w:tc>
          <w:tcPr>
            <w:tcW w:type="dxa" w:w="1296"/>
          </w:tcPr>
          <w:p>
            <w:r>
              <w:t>式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2,200,000</w:t>
            </w:r>
          </w:p>
        </w:tc>
        <w:tc>
          <w:tcPr>
            <w:tcW w:type="dxa" w:w="1296"/>
          </w:tcPr>
          <w:p>
            <w:r>
              <w:t>2,200,000</w:t>
            </w:r>
          </w:p>
        </w:tc>
      </w:tr>
      <w:tr>
        <w:tc>
          <w:tcPr>
            <w:tcW w:type="dxa" w:w="1296"/>
          </w:tcPr>
          <w:p>
            <w:r>
              <w:t>SVC-003</w:t>
            </w:r>
          </w:p>
        </w:tc>
        <w:tc>
          <w:tcPr>
            <w:tcW w:type="dxa" w:w="1296"/>
          </w:tcPr>
          <w:p>
            <w:r>
              <w:t>ERP 系統整合</w:t>
            </w:r>
          </w:p>
        </w:tc>
        <w:tc>
          <w:tcPr>
            <w:tcW w:type="dxa" w:w="1296"/>
          </w:tcPr>
          <w:p>
            <w:r>
              <w:t>SAP ERP 與雲端平台 API 整合開發</w:t>
            </w:r>
          </w:p>
        </w:tc>
        <w:tc>
          <w:tcPr>
            <w:tcW w:type="dxa" w:w="1296"/>
          </w:tcPr>
          <w:p>
            <w:r>
              <w:t>式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4,800,000</w:t>
            </w:r>
          </w:p>
        </w:tc>
        <w:tc>
          <w:tcPr>
            <w:tcW w:type="dxa" w:w="1296"/>
          </w:tcPr>
          <w:p>
            <w:r>
              <w:t>4,800,000</w:t>
            </w:r>
          </w:p>
        </w:tc>
      </w:tr>
      <w:tr>
        <w:tc>
          <w:tcPr>
            <w:tcW w:type="dxa" w:w="1296"/>
          </w:tcPr>
          <w:p>
            <w:r>
              <w:t>SVC-004</w:t>
            </w:r>
          </w:p>
        </w:tc>
        <w:tc>
          <w:tcPr>
            <w:tcW w:type="dxa" w:w="1296"/>
          </w:tcPr>
          <w:p>
            <w:r>
              <w:t>資安防護服務</w:t>
            </w:r>
          </w:p>
        </w:tc>
        <w:tc>
          <w:tcPr>
            <w:tcW w:type="dxa" w:w="1296"/>
          </w:tcPr>
          <w:p>
            <w:r>
              <w:t>WAF、DDoS防護、漏洞掃描年費（36個月）</w:t>
            </w:r>
          </w:p>
        </w:tc>
        <w:tc>
          <w:tcPr>
            <w:tcW w:type="dxa" w:w="1296"/>
          </w:tcPr>
          <w:p>
            <w:r>
              <w:t>月</w:t>
            </w:r>
          </w:p>
        </w:tc>
        <w:tc>
          <w:tcPr>
            <w:tcW w:type="dxa" w:w="1296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t>80,000</w:t>
            </w:r>
          </w:p>
        </w:tc>
        <w:tc>
          <w:tcPr>
            <w:tcW w:type="dxa" w:w="1296"/>
          </w:tcPr>
          <w:p>
            <w:r>
              <w:t>2,880,000</w:t>
            </w:r>
          </w:p>
        </w:tc>
      </w:tr>
      <w:tr>
        <w:tc>
          <w:tcPr>
            <w:tcW w:type="dxa" w:w="1296"/>
          </w:tcPr>
          <w:p>
            <w:r>
              <w:t>SVC-005</w:t>
            </w:r>
          </w:p>
        </w:tc>
        <w:tc>
          <w:tcPr>
            <w:tcW w:type="dxa" w:w="1296"/>
          </w:tcPr>
          <w:p>
            <w:r>
              <w:t>系統監控維運</w:t>
            </w:r>
          </w:p>
        </w:tc>
        <w:tc>
          <w:tcPr>
            <w:tcW w:type="dxa" w:w="1296"/>
          </w:tcPr>
          <w:p>
            <w:r>
              <w:t>24×7 NOC 監控、事故應變、月報</w:t>
            </w:r>
          </w:p>
        </w:tc>
        <w:tc>
          <w:tcPr>
            <w:tcW w:type="dxa" w:w="1296"/>
          </w:tcPr>
          <w:p>
            <w:r>
              <w:t>月</w:t>
            </w:r>
          </w:p>
        </w:tc>
        <w:tc>
          <w:tcPr>
            <w:tcW w:type="dxa" w:w="1296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t>150,000</w:t>
            </w:r>
          </w:p>
        </w:tc>
        <w:tc>
          <w:tcPr>
            <w:tcW w:type="dxa" w:w="1296"/>
          </w:tcPr>
          <w:p>
            <w:r>
              <w:t>5,400,000</w:t>
            </w:r>
          </w:p>
        </w:tc>
      </w:tr>
      <w:tr>
        <w:tc>
          <w:tcPr>
            <w:tcW w:type="dxa" w:w="1296"/>
          </w:tcPr>
          <w:p>
            <w:r>
              <w:t>SVC-006</w:t>
            </w:r>
          </w:p>
        </w:tc>
        <w:tc>
          <w:tcPr>
            <w:tcW w:type="dxa" w:w="1296"/>
          </w:tcPr>
          <w:p>
            <w:r>
              <w:t>人員教育訓練</w:t>
            </w:r>
          </w:p>
        </w:tc>
        <w:tc>
          <w:tcPr>
            <w:tcW w:type="dxa" w:w="1296"/>
          </w:tcPr>
          <w:p>
            <w:r>
              <w:t>雲端操作培訓、共20堂課程（每堂6小時）</w:t>
            </w:r>
          </w:p>
        </w:tc>
        <w:tc>
          <w:tcPr>
            <w:tcW w:type="dxa" w:w="1296"/>
          </w:tcPr>
          <w:p>
            <w:r>
              <w:t>堂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t>45,000</w:t>
            </w:r>
          </w:p>
        </w:tc>
        <w:tc>
          <w:tcPr>
            <w:tcW w:type="dxa" w:w="1296"/>
          </w:tcPr>
          <w:p>
            <w:r>
              <w:t>900,000</w:t>
            </w:r>
          </w:p>
        </w:tc>
      </w:tr>
      <w:tr>
        <w:tc>
          <w:tcPr>
            <w:tcW w:type="dxa" w:w="1296"/>
          </w:tcPr>
          <w:p>
            <w:r>
              <w:t>SVC-007</w:t>
            </w:r>
          </w:p>
        </w:tc>
        <w:tc>
          <w:tcPr>
            <w:tcW w:type="dxa" w:w="1296"/>
          </w:tcPr>
          <w:p>
            <w:r>
              <w:t>專案管理服務</w:t>
            </w:r>
          </w:p>
        </w:tc>
        <w:tc>
          <w:tcPr>
            <w:tcW w:type="dxa" w:w="1296"/>
          </w:tcPr>
          <w:p>
            <w:r>
              <w:t>PMO 服務、風險管理、進度追蹤（36個月）</w:t>
            </w:r>
          </w:p>
        </w:tc>
        <w:tc>
          <w:tcPr>
            <w:tcW w:type="dxa" w:w="1296"/>
          </w:tcPr>
          <w:p>
            <w:r>
              <w:t>月</w:t>
            </w:r>
          </w:p>
        </w:tc>
        <w:tc>
          <w:tcPr>
            <w:tcW w:type="dxa" w:w="1296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t>55,000</w:t>
            </w:r>
          </w:p>
        </w:tc>
        <w:tc>
          <w:tcPr>
            <w:tcW w:type="dxa" w:w="1296"/>
          </w:tcPr>
          <w:p>
            <w:r>
              <w:t>1,980,000</w:t>
            </w:r>
          </w:p>
        </w:tc>
      </w:tr>
      <w:tr>
        <w:tc>
          <w:tcPr>
            <w:tcW w:type="dxa" w:w="1296"/>
          </w:tcPr>
          <w:p>
            <w:r>
              <w:t>SVC-008</w:t>
            </w:r>
          </w:p>
        </w:tc>
        <w:tc>
          <w:tcPr>
            <w:tcW w:type="dxa" w:w="1296"/>
          </w:tcPr>
          <w:p>
            <w:r>
              <w:t>技術顧問服務</w:t>
            </w:r>
          </w:p>
        </w:tc>
        <w:tc>
          <w:tcPr>
            <w:tcW w:type="dxa" w:w="1296"/>
          </w:tcPr>
          <w:p>
            <w:r>
              <w:t>每月16小時資深架構師顧問諮詢</w:t>
            </w:r>
          </w:p>
        </w:tc>
        <w:tc>
          <w:tcPr>
            <w:tcW w:type="dxa" w:w="1296"/>
          </w:tcPr>
          <w:p>
            <w:r>
              <w:t>月</w:t>
            </w:r>
          </w:p>
        </w:tc>
        <w:tc>
          <w:tcPr>
            <w:tcW w:type="dxa" w:w="1296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t>60,000</w:t>
            </w:r>
          </w:p>
        </w:tc>
        <w:tc>
          <w:tcPr>
            <w:tcW w:type="dxa" w:w="1296"/>
          </w:tcPr>
          <w:p>
            <w:r>
              <w:t>2,160,000</w:t>
            </w:r>
          </w:p>
        </w:tc>
      </w:tr>
      <w:tr>
        <w:tc>
          <w:tcPr>
            <w:tcW w:type="dxa" w:w="1296"/>
          </w:tcPr>
          <w:p>
            <w:r>
              <w:t>SVC-009</w:t>
            </w:r>
          </w:p>
        </w:tc>
        <w:tc>
          <w:tcPr>
            <w:tcW w:type="dxa" w:w="1296"/>
          </w:tcPr>
          <w:p>
            <w:r>
              <w:t>備份與災難復原</w:t>
            </w:r>
          </w:p>
        </w:tc>
        <w:tc>
          <w:tcPr>
            <w:tcW w:type="dxa" w:w="1296"/>
          </w:tcPr>
          <w:p>
            <w:r>
              <w:t>跨區域備份、RTO≤4小時、RPO≤1小時</w:t>
            </w:r>
          </w:p>
        </w:tc>
        <w:tc>
          <w:tcPr>
            <w:tcW w:type="dxa" w:w="1296"/>
          </w:tcPr>
          <w:p>
            <w:r>
              <w:t>式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1,580,000</w:t>
            </w:r>
          </w:p>
        </w:tc>
        <w:tc>
          <w:tcPr>
            <w:tcW w:type="dxa" w:w="1296"/>
          </w:tcPr>
          <w:p>
            <w:r>
              <w:t>1,580,000</w:t>
            </w:r>
          </w:p>
        </w:tc>
      </w:tr>
      <w:tr>
        <w:tc>
          <w:tcPr>
            <w:tcW w:type="dxa" w:w="1296"/>
          </w:tcPr>
          <w:p>
            <w:r>
              <w:t>SVC-010</w:t>
            </w:r>
          </w:p>
        </w:tc>
        <w:tc>
          <w:tcPr>
            <w:tcW w:type="dxa" w:w="1296"/>
          </w:tcPr>
          <w:p>
            <w:r>
              <w:t>系統整合測試</w:t>
            </w:r>
          </w:p>
        </w:tc>
        <w:tc>
          <w:tcPr>
            <w:tcW w:type="dxa" w:w="1296"/>
          </w:tcPr>
          <w:p>
            <w:r>
              <w:t>UAT 支援、壓力測試、安全測試報告</w:t>
            </w:r>
          </w:p>
        </w:tc>
        <w:tc>
          <w:tcPr>
            <w:tcW w:type="dxa" w:w="1296"/>
          </w:tcPr>
          <w:p>
            <w:r>
              <w:t>式</w:t>
            </w:r>
          </w:p>
        </w:tc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296"/>
          </w:tcPr>
          <w:p>
            <w:r>
              <w:t>600,000</w:t>
            </w:r>
          </w:p>
        </w:tc>
        <w:tc>
          <w:tcPr>
            <w:tcW w:type="dxa" w:w="1296"/>
          </w:tcPr>
          <w:p>
            <w:r>
              <w:t>600,000</w:t>
            </w:r>
          </w:p>
        </w:tc>
      </w:tr>
    </w:tbl>
    <w:p/>
    <w:p>
      <w:r>
        <w:rPr>
          <w:b w:val="0"/>
          <w:sz w:val="22"/>
        </w:rPr>
        <w:t>※ 上述服務項目小計加總：3,500,000 + 2,200,000 + 4,800,000 + 2,880,000 + 5,400,000 + 900,000 + 1,980,000 + 2,160,000 + 1,580,000 + 600,000 = 26,000,000 元</w:t>
      </w:r>
    </w:p>
    <w:p>
      <w:r>
        <w:rPr>
          <w:b w:val="0"/>
          <w:sz w:val="22"/>
        </w:rPr>
        <w:t>※ 另含專案保固服務費（合約期滿後12個月）：2,000,000 元</w:t>
      </w:r>
    </w:p>
    <w:p>
      <w:r>
        <w:rPr>
          <w:b w:val="0"/>
          <w:sz w:val="22"/>
        </w:rPr>
        <w:t>※ 稅前合計：28,000,000 元，加計5%稅：1,400,000 元</w:t>
      </w:r>
    </w:p>
    <w:p>
      <w:r>
        <w:rPr>
          <w:b w:val="0"/>
          <w:sz w:val="22"/>
        </w:rPr>
        <w:t>※ 合約含稅總金額：29,400,000 元</w:t>
      </w:r>
    </w:p>
    <w:p>
      <w:r>
        <w:rPr>
          <w:b/>
          <w:sz w:val="22"/>
        </w:rPr>
        <w:t>※ 四捨五入與其他費用調整後，雙方議定合約總金額為新台幣 30,000,000 元整（含稅）。</w:t>
      </w:r>
    </w:p>
    <w:p>
      <w:r>
        <w:br w:type="page"/>
      </w:r>
    </w:p>
    <w:p>
      <w:pPr>
        <w:pStyle w:val="Heading1"/>
        <w:jc w:val="left"/>
      </w:pPr>
      <w:r>
        <w:t>第三部分：付款條款</w:t>
      </w:r>
    </w:p>
    <w:p>
      <w:r>
        <w:rPr>
          <w:b w:val="0"/>
          <w:sz w:val="22"/>
        </w:rPr>
        <w:t>3.1 合約總金額</w:t>
      </w:r>
    </w:p>
    <w:p>
      <w:pPr>
        <w:ind w:left="425"/>
      </w:pPr>
      <w:r>
        <w:rPr>
          <w:b w:val="0"/>
          <w:sz w:val="22"/>
        </w:rPr>
        <w:t>本合約總金額為新台幣 30,000,000 元整（以下稱「合約金額」），含稅，分期付款，付款方式依本部分規定辦理。</w:t>
      </w:r>
    </w:p>
    <w:p/>
    <w:p>
      <w:r>
        <w:rPr>
          <w:b w:val="0"/>
          <w:sz w:val="22"/>
        </w:rPr>
        <w:t>3.2 付款方式</w:t>
      </w:r>
    </w:p>
    <w:p>
      <w:pPr>
        <w:ind w:left="425"/>
      </w:pPr>
      <w:r>
        <w:rPr>
          <w:b w:val="0"/>
          <w:sz w:val="22"/>
        </w:rPr>
        <w:t>甲方應依下列里程碑時間表，以電匯方式將款項支付至乙方指定帳戶：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期次</w:t>
            </w:r>
          </w:p>
        </w:tc>
        <w:tc>
          <w:tcPr>
            <w:tcW w:type="dxa" w:w="1512"/>
          </w:tcPr>
          <w:p>
            <w:r>
              <w:rPr>
                <w:b/>
              </w:rPr>
              <w:t>付款里程碑</w:t>
            </w:r>
          </w:p>
        </w:tc>
        <w:tc>
          <w:tcPr>
            <w:tcW w:type="dxa" w:w="1512"/>
          </w:tcPr>
          <w:p>
            <w:r>
              <w:rPr>
                <w:b/>
              </w:rPr>
              <w:t>付款條件</w:t>
            </w:r>
          </w:p>
        </w:tc>
        <w:tc>
          <w:tcPr>
            <w:tcW w:type="dxa" w:w="1512"/>
          </w:tcPr>
          <w:p>
            <w:r>
              <w:rPr>
                <w:b/>
              </w:rPr>
              <w:t>預計付款日</w:t>
            </w:r>
          </w:p>
        </w:tc>
        <w:tc>
          <w:tcPr>
            <w:tcW w:type="dxa" w:w="1512"/>
          </w:tcPr>
          <w:p>
            <w:r>
              <w:rPr>
                <w:b/>
              </w:rPr>
              <w:t>金額（TWD）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累計金額（TWD）</w:t>
            </w:r>
          </w:p>
        </w:tc>
      </w:tr>
      <w:tr>
        <w:tc>
          <w:tcPr>
            <w:tcW w:type="dxa" w:w="1512"/>
          </w:tcPr>
          <w:p>
            <w:r>
              <w:t>第1期</w:t>
            </w:r>
          </w:p>
        </w:tc>
        <w:tc>
          <w:tcPr>
            <w:tcW w:type="dxa" w:w="1512"/>
          </w:tcPr>
          <w:p>
            <w:r>
              <w:t>合約簽署</w:t>
            </w:r>
          </w:p>
        </w:tc>
        <w:tc>
          <w:tcPr>
            <w:tcW w:type="dxa" w:w="1512"/>
          </w:tcPr>
          <w:p>
            <w:r>
              <w:t>合約雙方簽署完成後7個工作天內</w:t>
            </w:r>
          </w:p>
        </w:tc>
        <w:tc>
          <w:tcPr>
            <w:tcW w:type="dxa" w:w="1512"/>
          </w:tcPr>
          <w:p>
            <w:r>
              <w:t>2024-04-07</w:t>
            </w:r>
          </w:p>
        </w:tc>
        <w:tc>
          <w:tcPr>
            <w:tcW w:type="dxa" w:w="1512"/>
          </w:tcPr>
          <w:p>
            <w:r>
              <w:t>3,000,000</w:t>
            </w:r>
          </w:p>
        </w:tc>
        <w:tc>
          <w:tcPr>
            <w:tcW w:type="dxa" w:w="1512"/>
          </w:tcPr>
          <w:p>
            <w:r>
              <w:t>3,000,000</w:t>
            </w:r>
          </w:p>
        </w:tc>
      </w:tr>
      <w:tr>
        <w:tc>
          <w:tcPr>
            <w:tcW w:type="dxa" w:w="1512"/>
          </w:tcPr>
          <w:p>
            <w:r>
              <w:t>第2期</w:t>
            </w:r>
          </w:p>
        </w:tc>
        <w:tc>
          <w:tcPr>
            <w:tcW w:type="dxa" w:w="1512"/>
          </w:tcPr>
          <w:p>
            <w:r>
              <w:t>需求確認完成</w:t>
            </w:r>
          </w:p>
        </w:tc>
        <w:tc>
          <w:tcPr>
            <w:tcW w:type="dxa" w:w="1512"/>
          </w:tcPr>
          <w:p>
            <w:r>
              <w:t>需求規格書（SRS）甲方書面確認後</w:t>
            </w:r>
          </w:p>
        </w:tc>
        <w:tc>
          <w:tcPr>
            <w:tcW w:type="dxa" w:w="1512"/>
          </w:tcPr>
          <w:p>
            <w:r>
              <w:t>2024-05-15</w:t>
            </w:r>
          </w:p>
        </w:tc>
        <w:tc>
          <w:tcPr>
            <w:tcW w:type="dxa" w:w="1512"/>
          </w:tcPr>
          <w:p>
            <w:r>
              <w:t>3,000,000</w:t>
            </w:r>
          </w:p>
        </w:tc>
        <w:tc>
          <w:tcPr>
            <w:tcW w:type="dxa" w:w="1512"/>
          </w:tcPr>
          <w:p>
            <w:r>
              <w:t>6,000,000</w:t>
            </w:r>
          </w:p>
        </w:tc>
      </w:tr>
      <w:tr>
        <w:tc>
          <w:tcPr>
            <w:tcW w:type="dxa" w:w="1512"/>
          </w:tcPr>
          <w:p>
            <w:r>
              <w:t>第3期</w:t>
            </w:r>
          </w:p>
        </w:tc>
        <w:tc>
          <w:tcPr>
            <w:tcW w:type="dxa" w:w="1512"/>
          </w:tcPr>
          <w:p>
            <w:r>
              <w:t>基礎架構上線</w:t>
            </w:r>
          </w:p>
        </w:tc>
        <w:tc>
          <w:tcPr>
            <w:tcW w:type="dxa" w:w="1512"/>
          </w:tcPr>
          <w:p>
            <w:r>
              <w:t>雲端基礎架構驗收測試通過後</w:t>
            </w:r>
          </w:p>
        </w:tc>
        <w:tc>
          <w:tcPr>
            <w:tcW w:type="dxa" w:w="1512"/>
          </w:tcPr>
          <w:p>
            <w:r>
              <w:t>2024-07-31</w:t>
            </w:r>
          </w:p>
        </w:tc>
        <w:tc>
          <w:tcPr>
            <w:tcW w:type="dxa" w:w="1512"/>
          </w:tcPr>
          <w:p>
            <w:r>
              <w:t>5,000,000</w:t>
            </w:r>
          </w:p>
        </w:tc>
        <w:tc>
          <w:tcPr>
            <w:tcW w:type="dxa" w:w="1512"/>
          </w:tcPr>
          <w:p>
            <w:r>
              <w:t>11,000,000</w:t>
            </w:r>
          </w:p>
        </w:tc>
      </w:tr>
      <w:tr>
        <w:tc>
          <w:tcPr>
            <w:tcW w:type="dxa" w:w="1512"/>
          </w:tcPr>
          <w:p>
            <w:r>
              <w:t>第4期</w:t>
            </w:r>
          </w:p>
        </w:tc>
        <w:tc>
          <w:tcPr>
            <w:tcW w:type="dxa" w:w="1512"/>
          </w:tcPr>
          <w:p>
            <w:r>
              <w:t>資料遷移完成</w:t>
            </w:r>
          </w:p>
        </w:tc>
        <w:tc>
          <w:tcPr>
            <w:tcW w:type="dxa" w:w="1512"/>
          </w:tcPr>
          <w:p>
            <w:r>
              <w:t>資料完整性驗證報告甲方確認後</w:t>
            </w:r>
          </w:p>
        </w:tc>
        <w:tc>
          <w:tcPr>
            <w:tcW w:type="dxa" w:w="1512"/>
          </w:tcPr>
          <w:p>
            <w:r>
              <w:t>2024-09-30</w:t>
            </w:r>
          </w:p>
        </w:tc>
        <w:tc>
          <w:tcPr>
            <w:tcW w:type="dxa" w:w="1512"/>
          </w:tcPr>
          <w:p>
            <w:r>
              <w:t>4,000,000</w:t>
            </w:r>
          </w:p>
        </w:tc>
        <w:tc>
          <w:tcPr>
            <w:tcW w:type="dxa" w:w="1512"/>
          </w:tcPr>
          <w:p>
            <w:r>
              <w:t>15,000,000</w:t>
            </w:r>
          </w:p>
        </w:tc>
      </w:tr>
      <w:tr>
        <w:tc>
          <w:tcPr>
            <w:tcW w:type="dxa" w:w="1512"/>
          </w:tcPr>
          <w:p>
            <w:r>
              <w:t>第5期</w:t>
            </w:r>
          </w:p>
        </w:tc>
        <w:tc>
          <w:tcPr>
            <w:tcW w:type="dxa" w:w="1512"/>
          </w:tcPr>
          <w:p>
            <w:r>
              <w:t>ERP整合完成</w:t>
            </w:r>
          </w:p>
        </w:tc>
        <w:tc>
          <w:tcPr>
            <w:tcW w:type="dxa" w:w="1512"/>
          </w:tcPr>
          <w:p>
            <w:r>
              <w:t>ERP整合UAT測試通過且甲方簽收後</w:t>
            </w:r>
          </w:p>
        </w:tc>
        <w:tc>
          <w:tcPr>
            <w:tcW w:type="dxa" w:w="1512"/>
          </w:tcPr>
          <w:p>
            <w:r>
              <w:t>2024-12-31</w:t>
            </w:r>
          </w:p>
        </w:tc>
        <w:tc>
          <w:tcPr>
            <w:tcW w:type="dxa" w:w="1512"/>
          </w:tcPr>
          <w:p>
            <w:r>
              <w:t>6,000,000</w:t>
            </w:r>
          </w:p>
        </w:tc>
        <w:tc>
          <w:tcPr>
            <w:tcW w:type="dxa" w:w="1512"/>
          </w:tcPr>
          <w:p>
            <w:r>
              <w:t>21,000,000</w:t>
            </w:r>
          </w:p>
        </w:tc>
      </w:tr>
      <w:tr>
        <w:tc>
          <w:tcPr>
            <w:tcW w:type="dxa" w:w="1512"/>
          </w:tcPr>
          <w:p>
            <w:r>
              <w:t>第6期</w:t>
            </w:r>
          </w:p>
        </w:tc>
        <w:tc>
          <w:tcPr>
            <w:tcW w:type="dxa" w:w="1512"/>
          </w:tcPr>
          <w:p>
            <w:r>
              <w:t>系統正式上線</w:t>
            </w:r>
          </w:p>
        </w:tc>
        <w:tc>
          <w:tcPr>
            <w:tcW w:type="dxa" w:w="1512"/>
          </w:tcPr>
          <w:p>
            <w:r>
              <w:t>系統全面上線運作滿30天穩定後</w:t>
            </w:r>
          </w:p>
        </w:tc>
        <w:tc>
          <w:tcPr>
            <w:tcW w:type="dxa" w:w="1512"/>
          </w:tcPr>
          <w:p>
            <w:r>
              <w:t>2025-03-31</w:t>
            </w:r>
          </w:p>
        </w:tc>
        <w:tc>
          <w:tcPr>
            <w:tcW w:type="dxa" w:w="1512"/>
          </w:tcPr>
          <w:p>
            <w:r>
              <w:t>4,000,000</w:t>
            </w:r>
          </w:p>
        </w:tc>
        <w:tc>
          <w:tcPr>
            <w:tcW w:type="dxa" w:w="1512"/>
          </w:tcPr>
          <w:p>
            <w:r>
              <w:t>25,000,000</w:t>
            </w:r>
          </w:p>
        </w:tc>
      </w:tr>
      <w:tr>
        <w:tc>
          <w:tcPr>
            <w:tcW w:type="dxa" w:w="1512"/>
          </w:tcPr>
          <w:p>
            <w:r>
              <w:t>第7期</w:t>
            </w:r>
          </w:p>
        </w:tc>
        <w:tc>
          <w:tcPr>
            <w:tcW w:type="dxa" w:w="1512"/>
          </w:tcPr>
          <w:p>
            <w:r>
              <w:t>維運服務中期</w:t>
            </w:r>
          </w:p>
        </w:tc>
        <w:tc>
          <w:tcPr>
            <w:tcW w:type="dxa" w:w="1512"/>
          </w:tcPr>
          <w:p>
            <w:r>
              <w:t>合約生效滿18個月，服務報告確認後</w:t>
            </w:r>
          </w:p>
        </w:tc>
        <w:tc>
          <w:tcPr>
            <w:tcW w:type="dxa" w:w="1512"/>
          </w:tcPr>
          <w:p>
            <w:r>
              <w:t>2025-10-01</w:t>
            </w:r>
          </w:p>
        </w:tc>
        <w:tc>
          <w:tcPr>
            <w:tcW w:type="dxa" w:w="1512"/>
          </w:tcPr>
          <w:p>
            <w:r>
              <w:t>2,500,000</w:t>
            </w:r>
          </w:p>
        </w:tc>
        <w:tc>
          <w:tcPr>
            <w:tcW w:type="dxa" w:w="1512"/>
          </w:tcPr>
          <w:p>
            <w:r>
              <w:t>27,500,000</w:t>
            </w:r>
          </w:p>
        </w:tc>
      </w:tr>
      <w:tr>
        <w:tc>
          <w:tcPr>
            <w:tcW w:type="dxa" w:w="1512"/>
          </w:tcPr>
          <w:p>
            <w:r>
              <w:t>第8期</w:t>
            </w:r>
          </w:p>
        </w:tc>
        <w:tc>
          <w:tcPr>
            <w:tcW w:type="dxa" w:w="1512"/>
          </w:tcPr>
          <w:p>
            <w:r>
              <w:t>維運服務屆滿</w:t>
            </w:r>
          </w:p>
        </w:tc>
        <w:tc>
          <w:tcPr>
            <w:tcW w:type="dxa" w:w="1512"/>
          </w:tcPr>
          <w:p>
            <w:r>
              <w:t>合約期滿前30天，最終驗收完成後</w:t>
            </w:r>
          </w:p>
        </w:tc>
        <w:tc>
          <w:tcPr>
            <w:tcW w:type="dxa" w:w="1512"/>
          </w:tcPr>
          <w:p>
            <w:r>
              <w:t>2027-03-01</w:t>
            </w:r>
          </w:p>
        </w:tc>
        <w:tc>
          <w:tcPr>
            <w:tcW w:type="dxa" w:w="1512"/>
          </w:tcPr>
          <w:p>
            <w:r>
              <w:t>2,500,000</w:t>
            </w:r>
          </w:p>
        </w:tc>
        <w:tc>
          <w:tcPr>
            <w:tcW w:type="dxa" w:w="1512"/>
          </w:tcPr>
          <w:p>
            <w:r>
              <w:t>30,000,000</w:t>
            </w:r>
          </w:p>
        </w:tc>
      </w:tr>
    </w:tbl>
    <w:p/>
    <w:p>
      <w:r>
        <w:rPr>
          <w:b/>
          <w:sz w:val="22"/>
        </w:rPr>
        <w:t>【陷阱驗算】各期金額加總：3,000,000 + 3,000,000 + 5,000,000 + 4,000,000 + 6,000,000 + 4,000,000 + 2,500,000 + 2,500,000 = 30,000,000 元，與合約總金額相符。</w:t>
      </w:r>
    </w:p>
    <w:p/>
    <w:p>
      <w:r>
        <w:rPr>
          <w:b w:val="0"/>
          <w:sz w:val="22"/>
        </w:rPr>
        <w:t>3.3 付款帳戶</w:t>
      </w:r>
    </w:p>
    <w:p>
      <w:pPr>
        <w:ind w:left="425"/>
      </w:pPr>
      <w:r>
        <w:rPr>
          <w:b w:val="0"/>
          <w:sz w:val="22"/>
        </w:rPr>
        <w:t>戶名：鼎盛雲端科技有限公司</w:t>
      </w:r>
    </w:p>
    <w:p>
      <w:pPr>
        <w:ind w:left="425"/>
      </w:pPr>
      <w:r>
        <w:rPr>
          <w:b w:val="0"/>
          <w:sz w:val="22"/>
        </w:rPr>
        <w:t>銀行：玉山商業銀行股份有限公司 新店分行</w:t>
      </w:r>
    </w:p>
    <w:p>
      <w:pPr>
        <w:ind w:left="425"/>
      </w:pPr>
      <w:r>
        <w:rPr>
          <w:b w:val="0"/>
          <w:sz w:val="22"/>
        </w:rPr>
        <w:t>帳號：808-0238-0000123456</w:t>
      </w:r>
    </w:p>
    <w:p/>
    <w:p>
      <w:r>
        <w:rPr>
          <w:b w:val="0"/>
          <w:sz w:val="22"/>
        </w:rPr>
        <w:t>3.4 延遲付款利息</w:t>
      </w:r>
    </w:p>
    <w:p>
      <w:pPr>
        <w:ind w:left="425"/>
      </w:pPr>
      <w:r>
        <w:rPr>
          <w:b w:val="0"/>
          <w:sz w:val="22"/>
        </w:rPr>
        <w:t>甲方如逾期付款，自付款到期日起，按年利率6%計算逾期利息，乙方得以書面通知甲方，並保留暫停服務之權利。</w:t>
      </w:r>
    </w:p>
    <w:p>
      <w:r>
        <w:br w:type="page"/>
      </w:r>
    </w:p>
    <w:p>
      <w:pPr>
        <w:pStyle w:val="Heading1"/>
        <w:jc w:val="left"/>
      </w:pPr>
      <w:r>
        <w:t>第四部分：合約條款</w:t>
      </w:r>
    </w:p>
    <w:p>
      <w:pPr>
        <w:pStyle w:val="Heading2"/>
        <w:jc w:val="left"/>
      </w:pPr>
      <w:r>
        <w:t>第一條　定義</w:t>
      </w:r>
    </w:p>
    <w:p>
      <w:r>
        <w:rPr>
          <w:b w:val="0"/>
          <w:sz w:val="22"/>
        </w:rPr>
        <w:t>1.1 「合約文件」係指本合約書、附件一（服務規格書）、附件二（SLA協議）、附件三（保密協議）及日後雙方書面簽署之變更單，各文件效力依前述順序適用。</w:t>
      </w:r>
    </w:p>
    <w:p>
      <w:r>
        <w:rPr>
          <w:b w:val="0"/>
          <w:sz w:val="22"/>
        </w:rPr>
        <w:t>1.2 「服務」係指乙方依第二部分所提供之全部雲端整合服務項目。</w:t>
      </w:r>
    </w:p>
    <w:p>
      <w:r>
        <w:rPr>
          <w:b w:val="0"/>
          <w:sz w:val="22"/>
        </w:rPr>
        <w:t>1.3 「系統」係指乙方建置或協助整合之所有軟硬體設備、程式碼、資料庫及相關基礎架構。</w:t>
      </w:r>
    </w:p>
    <w:p>
      <w:r>
        <w:rPr>
          <w:b w:val="0"/>
          <w:sz w:val="22"/>
        </w:rPr>
        <w:t>1.4 「營業日」係指台灣地區非假日之工作日（週一至週五，不含國定假日）。</w:t>
      </w:r>
    </w:p>
    <w:p>
      <w:r>
        <w:rPr>
          <w:b w:val="0"/>
          <w:sz w:val="22"/>
        </w:rPr>
        <w:t>1.5 「書面」包括紙本及經雙方確認之電子郵件，但不包括即時通訊軟體。</w:t>
      </w:r>
    </w:p>
    <w:p/>
    <w:p>
      <w:pPr>
        <w:pStyle w:val="Heading2"/>
        <w:jc w:val="left"/>
      </w:pPr>
      <w:r>
        <w:t>第二條　合約期間</w:t>
      </w:r>
    </w:p>
    <w:p>
      <w:r>
        <w:rPr>
          <w:b w:val="0"/>
          <w:sz w:val="22"/>
        </w:rPr>
        <w:t>2.1 本合約自2024年4月1日起生效，至2027年3月31日止，共計36個月。</w:t>
      </w:r>
    </w:p>
    <w:p>
      <w:r>
        <w:rPr>
          <w:b w:val="0"/>
          <w:sz w:val="22"/>
        </w:rPr>
        <w:t>2.2 任一方如欲終止本合約，須於合約期滿前90天以書面通知他方；未依規定通知者，合約自動延續12個月。</w:t>
      </w:r>
    </w:p>
    <w:p>
      <w:r>
        <w:rPr>
          <w:b w:val="0"/>
          <w:sz w:val="22"/>
        </w:rPr>
        <w:t>2.3 本合約生效以雙方正式簽署為要件，僅有口頭承諾不構成合約效力。</w:t>
      </w:r>
    </w:p>
    <w:p/>
    <w:p>
      <w:pPr>
        <w:pStyle w:val="Heading2"/>
        <w:jc w:val="left"/>
      </w:pPr>
      <w:r>
        <w:t>第三條　服務執行</w:t>
      </w:r>
    </w:p>
    <w:p>
      <w:r>
        <w:rPr>
          <w:b w:val="0"/>
          <w:sz w:val="22"/>
        </w:rPr>
        <w:t>3.1 乙方應依附件一所定服務規格書，忠實執行各項服務，並維持符合行業標準之服務品質。</w:t>
      </w:r>
    </w:p>
    <w:p>
      <w:r>
        <w:rPr>
          <w:b w:val="0"/>
          <w:sz w:val="22"/>
        </w:rPr>
        <w:t>3.2 乙方應指派具相應資格之專案經理（PMP認證）及技術負責人，名單須於合約生效後10個營業日內以書面通知甲方。</w:t>
      </w:r>
    </w:p>
    <w:p>
      <w:r>
        <w:rPr>
          <w:b w:val="0"/>
          <w:sz w:val="22"/>
        </w:rPr>
        <w:t>3.3 乙方如需變更核心服務人員（專案經理或技術負責人），須提前30天書面通知甲方，並提供相同或更高資格之替代人員，甲方有權拒絕資格不符之人員。</w:t>
      </w:r>
    </w:p>
    <w:p>
      <w:r>
        <w:rPr>
          <w:b w:val="0"/>
          <w:sz w:val="22"/>
        </w:rPr>
        <w:t>3.4 乙方執行服務時，應遵守甲方合理之資安政策及場地規範。</w:t>
      </w:r>
    </w:p>
    <w:p/>
    <w:p>
      <w:pPr>
        <w:pStyle w:val="Heading2"/>
        <w:jc w:val="left"/>
      </w:pPr>
      <w:r>
        <w:t>第四條　甲方義務</w:t>
      </w:r>
    </w:p>
    <w:p>
      <w:r>
        <w:rPr>
          <w:b w:val="0"/>
          <w:sz w:val="22"/>
        </w:rPr>
        <w:t>4.1 甲方應提供乙方執行服務所需之合理配合，包括但不限於：相關文件資料、測試環境存取權限、業務窗口聯絡。</w:t>
      </w:r>
    </w:p>
    <w:p>
      <w:r>
        <w:rPr>
          <w:b w:val="0"/>
          <w:sz w:val="22"/>
        </w:rPr>
        <w:t>4.2 甲方應於乙方提交成果物後15個營業日內完成審查，並以書面告知驗收意見；逾期未回覆者，視為甲方默示驗收通過。</w:t>
      </w:r>
    </w:p>
    <w:p>
      <w:r>
        <w:rPr>
          <w:b w:val="0"/>
          <w:sz w:val="22"/>
        </w:rPr>
        <w:t>4.3 甲方不得無合理事由拒絕驗收；如有疑義應以書面說明具體不符合之處，乙方得於20個營業日內修正。</w:t>
      </w:r>
    </w:p>
    <w:p/>
    <w:p>
      <w:pPr>
        <w:pStyle w:val="Heading2"/>
        <w:jc w:val="left"/>
      </w:pPr>
      <w:r>
        <w:t>第五條　智慧財產權</w:t>
      </w:r>
    </w:p>
    <w:p>
      <w:r>
        <w:rPr>
          <w:b w:val="0"/>
          <w:sz w:val="22"/>
        </w:rPr>
        <w:t>5.1 乙方於本合約執行期間為甲方客製開發之程式碼、文件及成果物，其著作權歸屬甲方所有，乙方應於款項全額清償後移交相關原始碼。</w:t>
      </w:r>
    </w:p>
    <w:p>
      <w:r>
        <w:rPr>
          <w:b w:val="0"/>
          <w:sz w:val="22"/>
        </w:rPr>
        <w:t>5.2 乙方使用之既有工具、框架、技術平台（第三方元件）之智慧財產權不因本合約移轉，但乙方應確保甲方取得合法使用授權。</w:t>
      </w:r>
    </w:p>
    <w:p>
      <w:r>
        <w:rPr>
          <w:b w:val="0"/>
          <w:sz w:val="22"/>
        </w:rPr>
        <w:t>5.3 乙方不得將因本合約而接觸甲方之機密資訊、商業模式或客戶資料，用於任何第三方商業目的。</w:t>
      </w:r>
    </w:p>
    <w:p>
      <w:r>
        <w:rPr>
          <w:b w:val="0"/>
          <w:sz w:val="22"/>
        </w:rPr>
        <w:t>5.4 如有第三方主張乙方提供之服務或成果物侵害其智慧財產權，乙方應自費處理並賠償甲方因此所受之損害。</w:t>
      </w:r>
    </w:p>
    <w:p/>
    <w:p>
      <w:pPr>
        <w:pStyle w:val="Heading2"/>
        <w:jc w:val="left"/>
      </w:pPr>
      <w:r>
        <w:t>第六條　保密義務</w:t>
      </w:r>
    </w:p>
    <w:p>
      <w:r>
        <w:rPr>
          <w:b w:val="0"/>
          <w:sz w:val="22"/>
        </w:rPr>
        <w:t>6.1 雙方因本合約而獲知之商業秘密、技術資料、客戶資訊等機密資訊，非經他方書面同意，不得洩露予第三人，亦不得用於本合約目的以外之用途。</w:t>
      </w:r>
    </w:p>
    <w:p>
      <w:r>
        <w:rPr>
          <w:b w:val="0"/>
          <w:sz w:val="22"/>
        </w:rPr>
        <w:t>6.2 本條保密義務於合約終止或期滿後，繼續有效3年。</w:t>
      </w:r>
    </w:p>
    <w:p>
      <w:r>
        <w:rPr>
          <w:b w:val="0"/>
          <w:sz w:val="22"/>
        </w:rPr>
        <w:t>6.3 因法律要求或主管機關命令而不得不揭露者，應事先（於合理可能範圍內）書面通知他方，並協助他方採取保護措施。</w:t>
      </w:r>
    </w:p>
    <w:p>
      <w:r>
        <w:rPr>
          <w:b w:val="0"/>
          <w:sz w:val="22"/>
        </w:rPr>
        <w:t>6.4 違反本條保密義務者，應賠償他方因此所受之所有直接損失，每次違約最低賠償金額為新台幣500,000元，且不以此為限。</w:t>
      </w:r>
    </w:p>
    <w:p/>
    <w:p>
      <w:pPr>
        <w:pStyle w:val="Heading2"/>
        <w:jc w:val="left"/>
      </w:pPr>
      <w:r>
        <w:t>第七條　資安要求</w:t>
      </w:r>
    </w:p>
    <w:p>
      <w:r>
        <w:rPr>
          <w:b w:val="0"/>
          <w:sz w:val="22"/>
        </w:rPr>
        <w:t>7.1 乙方應依ISO 27001標準或同等級之資安管理框架，維護系統資安。</w:t>
      </w:r>
    </w:p>
    <w:p>
      <w:r>
        <w:rPr>
          <w:b w:val="0"/>
          <w:sz w:val="22"/>
        </w:rPr>
        <w:t>7.2 乙方應於發現資安事件後4小時內通知甲方，並於24小時內提供初步調查報告。</w:t>
      </w:r>
    </w:p>
    <w:p>
      <w:r>
        <w:rPr>
          <w:b w:val="0"/>
          <w:sz w:val="22"/>
        </w:rPr>
        <w:t>7.3 乙方應定期進行弱點掃描（每季至少一次）及滲透測試（每年至少一次），並將報告提交甲方審閱。</w:t>
      </w:r>
    </w:p>
    <w:p>
      <w:r>
        <w:rPr>
          <w:b w:val="0"/>
          <w:sz w:val="22"/>
        </w:rPr>
        <w:t>7.4 乙方應確保所有員工及分包商通過資安培訓，並簽署保密切結書。</w:t>
      </w:r>
    </w:p>
    <w:p/>
    <w:p>
      <w:pPr>
        <w:pStyle w:val="Heading2"/>
        <w:jc w:val="left"/>
      </w:pPr>
      <w:r>
        <w:t>第八條　分包與轉讓</w:t>
      </w:r>
    </w:p>
    <w:p>
      <w:r>
        <w:rPr>
          <w:b w:val="0"/>
          <w:sz w:val="22"/>
        </w:rPr>
        <w:t>8.1 乙方如需將本合約部分工作分包予第三方，須事先取得甲方書面同意。</w:t>
      </w:r>
    </w:p>
    <w:p>
      <w:r>
        <w:rPr>
          <w:b w:val="0"/>
          <w:sz w:val="22"/>
        </w:rPr>
        <w:t>8.2 乙方對分包商之行為負連帶責任，不得以分包商疏失為由免除本合約規定之義務。</w:t>
      </w:r>
    </w:p>
    <w:p>
      <w:r>
        <w:rPr>
          <w:b w:val="0"/>
          <w:sz w:val="22"/>
        </w:rPr>
        <w:t>8.3 本合約各方之權利義務，非經他方事先書面同意，不得轉讓。</w:t>
      </w:r>
    </w:p>
    <w:p/>
    <w:p>
      <w:pPr>
        <w:pStyle w:val="Heading2"/>
        <w:jc w:val="left"/>
      </w:pPr>
      <w:r>
        <w:t>第九條　服務變更程序</w:t>
      </w:r>
    </w:p>
    <w:p>
      <w:r>
        <w:rPr>
          <w:b w:val="0"/>
          <w:sz w:val="22"/>
        </w:rPr>
        <w:t>9.1 任一方如需變更服務範圍、規格或時程，應填具「變更需求單（CR）」，說明變更內容、理由及預期影響。</w:t>
      </w:r>
    </w:p>
    <w:p>
      <w:r>
        <w:rPr>
          <w:b w:val="0"/>
          <w:sz w:val="22"/>
        </w:rPr>
        <w:t>9.2 乙方應於收到CR後10個營業日內，提供影響評估報告（含費用及時程影響），雙方協商確認後，以書面變更單方式正式生效。</w:t>
      </w:r>
    </w:p>
    <w:p>
      <w:r>
        <w:rPr>
          <w:b w:val="0"/>
          <w:sz w:val="22"/>
        </w:rPr>
        <w:t>9.3 未經雙方書面確認之變更，不具有合約效力，乙方不得因口頭指示而進行超出合約範圍之工作，甲方亦不得以口頭承諾支付額外費用。</w:t>
      </w:r>
    </w:p>
    <w:p/>
    <w:p>
      <w:pPr>
        <w:pStyle w:val="Heading2"/>
        <w:jc w:val="left"/>
      </w:pPr>
      <w:r>
        <w:t>第十條　驗收程序</w:t>
      </w:r>
    </w:p>
    <w:p>
      <w:r>
        <w:rPr>
          <w:b w:val="0"/>
          <w:sz w:val="22"/>
        </w:rPr>
        <w:t>10.1 乙方完成各里程碑工作後，應提交驗收申請及相應文件，甲方依第四條4.2規定進行驗收。</w:t>
      </w:r>
    </w:p>
    <w:p>
      <w:r>
        <w:rPr>
          <w:b w:val="0"/>
          <w:sz w:val="22"/>
        </w:rPr>
        <w:t>10.2 驗收標準依附件一規定辦理；如驗收標準不明確，依雙方合理之行業標準認定。</w:t>
      </w:r>
    </w:p>
    <w:p>
      <w:r>
        <w:rPr>
          <w:b w:val="0"/>
          <w:sz w:val="22"/>
        </w:rPr>
        <w:t>10.3 甲方驗收通過後，乙方得依第三部分申請對應之付款。</w:t>
      </w:r>
    </w:p>
    <w:p>
      <w:r>
        <w:rPr>
          <w:b w:val="0"/>
          <w:sz w:val="22"/>
        </w:rPr>
        <w:t>10.4 如經3次修正仍未能通過驗收，甲方得依第十四條規定啟動終止程序，並不受第十四條1.1關於事先通知期間之限制。</w:t>
      </w:r>
    </w:p>
    <w:p/>
    <w:p>
      <w:pPr>
        <w:pStyle w:val="Heading2"/>
        <w:jc w:val="left"/>
      </w:pPr>
      <w:r>
        <w:t>第十一條　違約責任</w:t>
      </w:r>
    </w:p>
    <w:p>
      <w:r>
        <w:rPr>
          <w:b w:val="0"/>
          <w:sz w:val="22"/>
        </w:rPr>
        <w:t>11.1 乙方遲延交付：每逾期1個日曆日，扣款相應里程碑金額之0.3%，最高累計至里程碑金額之15%；乙方遲延超過30個日曆日，甲方得依第十四條終止合約。</w:t>
      </w:r>
    </w:p>
    <w:p>
      <w:r>
        <w:rPr>
          <w:b w:val="0"/>
          <w:sz w:val="22"/>
        </w:rPr>
        <w:t>11.2 乙方服務品質不符：若乙方提供之服務不符合附件一規格或SLA要求，甲方得扣減相應款項，詳見附件二SLA懲罰條款（依第十二條規定辦理）。</w:t>
      </w:r>
    </w:p>
    <w:p>
      <w:r>
        <w:rPr>
          <w:b w:val="0"/>
          <w:sz w:val="22"/>
        </w:rPr>
        <w:t>11.3 甲方遲延付款：依第三條3.4規定計算逾期利息，乙方得暫停服務，不視為乙方違約。</w:t>
      </w:r>
    </w:p>
    <w:p>
      <w:r>
        <w:rPr>
          <w:b w:val="0"/>
          <w:sz w:val="22"/>
        </w:rPr>
        <w:t>11.4 乙方不得以任何理由片面中斷服務，除非甲方違約情形依第十四條已達合約終止條件，且乙方已依規定書面通知甲方，但仍未獲改善。</w:t>
      </w:r>
    </w:p>
    <w:p/>
    <w:p>
      <w:pPr>
        <w:pStyle w:val="Heading2"/>
        <w:jc w:val="left"/>
      </w:pPr>
      <w:r>
        <w:t>第十二條　服務水準協議（SLA）</w:t>
      </w:r>
    </w:p>
    <w:p>
      <w:r>
        <w:rPr>
          <w:b w:val="0"/>
          <w:sz w:val="22"/>
        </w:rPr>
        <w:t>12.1 乙方保證系統可用性不低於99.9%（月計算，每月最長允許停機時間：43.2分鐘，以30天/月計）。</w:t>
      </w:r>
    </w:p>
    <w:p>
      <w:r>
        <w:rPr>
          <w:b w:val="0"/>
          <w:sz w:val="22"/>
        </w:rPr>
        <w:t>12.2 可用性計算公式：可用性(%) = (總時間 - 停機時間) / 總時間 × 100%；計畫性維護（須提前72小時公告且不超過每月4小時）不計入停機時間。</w:t>
      </w:r>
    </w:p>
    <w:p>
      <w:r>
        <w:rPr>
          <w:b w:val="0"/>
          <w:sz w:val="22"/>
        </w:rPr>
        <w:t>12.3 SLA懲罰機制：</w:t>
      </w:r>
    </w:p>
    <w:p>
      <w:pPr>
        <w:ind w:left="425"/>
      </w:pPr>
      <w:r>
        <w:rPr>
          <w:b w:val="0"/>
          <w:sz w:val="22"/>
        </w:rPr>
        <w:t xml:space="preserve">    • 可用性 99.0% ~ 99.9% 之間：每低於99.9%達0.1%，扣減當月服務費1%</w:t>
      </w:r>
    </w:p>
    <w:p>
      <w:pPr>
        <w:ind w:left="425"/>
      </w:pPr>
      <w:r>
        <w:rPr>
          <w:b w:val="0"/>
          <w:sz w:val="22"/>
        </w:rPr>
        <w:t xml:space="preserve">    • 可用性 95.0% ~ 99.0% 之間：扣減當月服務費10%，另加計補償費用</w:t>
      </w:r>
    </w:p>
    <w:p>
      <w:pPr>
        <w:ind w:left="425"/>
      </w:pPr>
      <w:r>
        <w:rPr>
          <w:b w:val="0"/>
          <w:sz w:val="22"/>
        </w:rPr>
        <w:t xml:space="preserve">    • 可用性低於 95.0%：扣減當月服務費25%，甲方得終止合約</w:t>
      </w:r>
    </w:p>
    <w:p>
      <w:r>
        <w:rPr>
          <w:b w:val="0"/>
          <w:sz w:val="22"/>
        </w:rPr>
        <w:t>12.4 事故應變時間（Response Time）：</w:t>
      </w:r>
    </w:p>
    <w:p>
      <w:pPr>
        <w:ind w:left="425"/>
      </w:pPr>
      <w:r>
        <w:rPr>
          <w:b w:val="0"/>
          <w:sz w:val="22"/>
        </w:rPr>
        <w:t xml:space="preserve">    • P1（系統全面停機）：30分鐘內電話回報，4小時內解決或提供臨時解決方案</w:t>
      </w:r>
    </w:p>
    <w:p>
      <w:pPr>
        <w:ind w:left="425"/>
      </w:pPr>
      <w:r>
        <w:rPr>
          <w:b w:val="0"/>
          <w:sz w:val="22"/>
        </w:rPr>
        <w:t xml:space="preserve">    • P2（核心功能異常）：1小時內回報，8小時內解決</w:t>
      </w:r>
    </w:p>
    <w:p>
      <w:pPr>
        <w:ind w:left="425"/>
      </w:pPr>
      <w:r>
        <w:rPr>
          <w:b w:val="0"/>
          <w:sz w:val="22"/>
        </w:rPr>
        <w:t xml:space="preserve">    • P3（一般功能異常）：4小時內回報，24小時內解決</w:t>
      </w:r>
    </w:p>
    <w:p>
      <w:pPr>
        <w:ind w:left="425"/>
      </w:pPr>
      <w:r>
        <w:rPr>
          <w:b w:val="0"/>
          <w:sz w:val="22"/>
        </w:rPr>
        <w:t xml:space="preserve">    • P4（輕微問題）：1個營業日內回報，5個營業日內解決</w:t>
      </w:r>
    </w:p>
    <w:p>
      <w:r>
        <w:rPr>
          <w:b w:val="0"/>
          <w:sz w:val="22"/>
        </w:rPr>
        <w:t>12.5 每月SLA報告應於次月5日前提交甲方，報告格式依附件二規定。</w:t>
      </w:r>
    </w:p>
    <w:p/>
    <w:p>
      <w:pPr>
        <w:pStyle w:val="Heading2"/>
        <w:jc w:val="left"/>
      </w:pPr>
      <w:r>
        <w:t>第十三條　不可抗力</w:t>
      </w:r>
    </w:p>
    <w:p>
      <w:r>
        <w:rPr>
          <w:b w:val="0"/>
          <w:sz w:val="22"/>
        </w:rPr>
        <w:t>13.1 因不可抗力事件（天災、戰爭、政府命令、大規模網路攻擊等）致使任一方無法履行合約，該方得暫時免除相應義務，但須於不可抗力事件發生後3個營業日內書面通知他方。</w:t>
      </w:r>
    </w:p>
    <w:p>
      <w:r>
        <w:rPr>
          <w:b w:val="0"/>
          <w:sz w:val="22"/>
        </w:rPr>
        <w:t>13.2 不可抗力事件持續超過60天，任一方得以書面通知他方終止合約，雙方各自返還已受領之超額對價，但不得請求損害賠償。</w:t>
      </w:r>
    </w:p>
    <w:p>
      <w:r>
        <w:rPr>
          <w:b w:val="0"/>
          <w:sz w:val="22"/>
        </w:rPr>
        <w:t>13.3 網際網路服務中斷、第三方雲端服務商（AWS/Azure）之系統障礙，若乙方已盡合理技術努力仍無法排除，得依本條主張不可抗力，但乙方需舉證已採取所有合理緊急應變措施。</w:t>
      </w:r>
    </w:p>
    <w:p/>
    <w:p>
      <w:pPr>
        <w:pStyle w:val="Heading2"/>
        <w:jc w:val="left"/>
      </w:pPr>
      <w:r>
        <w:t>第十四條　合約終止</w:t>
      </w:r>
    </w:p>
    <w:p>
      <w:r>
        <w:rPr>
          <w:b w:val="0"/>
          <w:sz w:val="22"/>
        </w:rPr>
        <w:t>14.1 約定終止：雙方得於合約期滿前90天，以書面協議合意終止本合約。</w:t>
      </w:r>
    </w:p>
    <w:p>
      <w:r>
        <w:rPr>
          <w:b w:val="0"/>
          <w:sz w:val="22"/>
        </w:rPr>
        <w:t>14.2 因違約終止（甲方）：乙方有下列情形之一，甲方得通知乙方限期30天改善，逾期未改善者，甲方得終止合約：</w:t>
      </w:r>
    </w:p>
    <w:p>
      <w:pPr>
        <w:ind w:left="425"/>
      </w:pPr>
      <w:r>
        <w:rPr>
          <w:b w:val="0"/>
          <w:sz w:val="22"/>
        </w:rPr>
        <w:t xml:space="preserve">    (a) 違反第三條3.1服務品質要求達3次（累計警告）</w:t>
      </w:r>
    </w:p>
    <w:p>
      <w:pPr>
        <w:ind w:left="425"/>
      </w:pPr>
      <w:r>
        <w:rPr>
          <w:b w:val="0"/>
          <w:sz w:val="22"/>
        </w:rPr>
        <w:t xml:space="preserve">    (b) 系統可用性連續2個月低於95%（依第十二條規定認定）</w:t>
      </w:r>
    </w:p>
    <w:p>
      <w:pPr>
        <w:ind w:left="425"/>
      </w:pPr>
      <w:r>
        <w:rPr>
          <w:b w:val="0"/>
          <w:sz w:val="22"/>
        </w:rPr>
        <w:t xml:space="preserve">    (c) 違反第六條保密義務</w:t>
      </w:r>
    </w:p>
    <w:p>
      <w:pPr>
        <w:ind w:left="425"/>
      </w:pPr>
      <w:r>
        <w:rPr>
          <w:b w:val="0"/>
          <w:sz w:val="22"/>
        </w:rPr>
        <w:t xml:space="preserve">    (d) 乙方破產、解散或停止營業</w:t>
      </w:r>
    </w:p>
    <w:p>
      <w:r>
        <w:rPr>
          <w:b w:val="0"/>
          <w:sz w:val="22"/>
        </w:rPr>
        <w:t>14.3 因違約終止（乙方）：甲方有下列情形，乙方得通知甲方限期15天改善，逾期未改善者，乙方得終止合約：</w:t>
      </w:r>
    </w:p>
    <w:p>
      <w:pPr>
        <w:ind w:left="425"/>
      </w:pPr>
      <w:r>
        <w:rPr>
          <w:b w:val="0"/>
          <w:sz w:val="22"/>
        </w:rPr>
        <w:t xml:space="preserve">    (a) 甲方遲延付款超過60天</w:t>
      </w:r>
    </w:p>
    <w:p>
      <w:pPr>
        <w:ind w:left="425"/>
      </w:pPr>
      <w:r>
        <w:rPr>
          <w:b w:val="0"/>
          <w:sz w:val="22"/>
        </w:rPr>
        <w:t xml:space="preserve">    (b) 甲方無合理事由拒絕驗收達3次</w:t>
      </w:r>
    </w:p>
    <w:p>
      <w:r>
        <w:rPr>
          <w:b w:val="0"/>
          <w:sz w:val="22"/>
        </w:rPr>
        <w:t>14.4 合約終止後，乙方應移交所有甲方資料及依第五條規定應交付之成果物，並配合甲方進行至多90天之服務移轉；移轉期間乙方得收取合理費用，金額由雙方協議。</w:t>
      </w:r>
    </w:p>
    <w:p/>
    <w:p>
      <w:pPr>
        <w:pStyle w:val="Heading2"/>
        <w:jc w:val="left"/>
      </w:pPr>
      <w:r>
        <w:t>第十五條　爭議解決</w:t>
      </w:r>
    </w:p>
    <w:p>
      <w:r>
        <w:rPr>
          <w:b w:val="0"/>
          <w:sz w:val="22"/>
        </w:rPr>
        <w:t>15.1 雙方應本誠信原則，友好協商解決一切爭議，協商期不超過30天。</w:t>
      </w:r>
    </w:p>
    <w:p>
      <w:r>
        <w:rPr>
          <w:b w:val="0"/>
          <w:sz w:val="22"/>
        </w:rPr>
        <w:t>15.2 協商未果，任一方得申請中華民國仲裁協會仲裁，仲裁地點為台北市，仲裁語言為繁體中文，仲裁判斷為終局且對雙方有拘束力。</w:t>
      </w:r>
    </w:p>
    <w:p>
      <w:r>
        <w:rPr>
          <w:b w:val="0"/>
          <w:sz w:val="22"/>
        </w:rPr>
        <w:t>15.3 仲裁期間，雙方除不可抗力外，應繼續履行本合約；若一方停止履行且仲裁結果認定該方並無合法理由，應賠償他方因此所受損失。</w:t>
      </w:r>
    </w:p>
    <w:p>
      <w:r>
        <w:rPr>
          <w:b w:val="0"/>
          <w:sz w:val="22"/>
        </w:rPr>
        <w:t>15.4 仲裁費用由敗訴方負擔；如部分勝敗，費用由仲裁庭依其裁量酌定分擔比例。</w:t>
      </w:r>
    </w:p>
    <w:p/>
    <w:p>
      <w:pPr>
        <w:pStyle w:val="Heading2"/>
        <w:jc w:val="left"/>
      </w:pPr>
      <w:r>
        <w:t>第十六條　稅務責任</w:t>
      </w:r>
    </w:p>
    <w:p>
      <w:r>
        <w:rPr>
          <w:b w:val="0"/>
          <w:sz w:val="22"/>
        </w:rPr>
        <w:t>16.1 本合約所載金額均含稅（含5%營業稅），乙方應開立合法發票予甲方。</w:t>
      </w:r>
    </w:p>
    <w:p>
      <w:r>
        <w:rPr>
          <w:b w:val="0"/>
          <w:sz w:val="22"/>
        </w:rPr>
        <w:t>16.2 乙方之薪資稅、所得稅及其他與乙方員工相關之稅賦，由乙方自行負擔，與甲方無涉。</w:t>
      </w:r>
    </w:p>
    <w:p>
      <w:r>
        <w:rPr>
          <w:b w:val="0"/>
          <w:sz w:val="22"/>
        </w:rPr>
        <w:t>16.3 如因法律變更致稅率調整，雙方應協商調整合約金額，以確保乙方實質收益不因此受損。</w:t>
      </w:r>
    </w:p>
    <w:p/>
    <w:p>
      <w:pPr>
        <w:pStyle w:val="Heading2"/>
        <w:jc w:val="left"/>
      </w:pPr>
      <w:r>
        <w:t>第十七條　法律適用</w:t>
      </w:r>
    </w:p>
    <w:p>
      <w:r>
        <w:rPr>
          <w:b w:val="0"/>
          <w:sz w:val="22"/>
        </w:rPr>
        <w:t>17.1 本合約依中華民國法律解釋及執行。</w:t>
      </w:r>
    </w:p>
    <w:p>
      <w:r>
        <w:rPr>
          <w:b w:val="0"/>
          <w:sz w:val="22"/>
        </w:rPr>
        <w:t>17.2 本合約未盡事宜，依中華民國民法、商業慣例及相關法規辦理。</w:t>
      </w:r>
    </w:p>
    <w:p/>
    <w:p>
      <w:pPr>
        <w:pStyle w:val="Heading2"/>
        <w:jc w:val="left"/>
      </w:pPr>
      <w:r>
        <w:t>第十八條　完整協議與修改</w:t>
      </w:r>
    </w:p>
    <w:p>
      <w:r>
        <w:rPr>
          <w:b w:val="0"/>
          <w:sz w:val="22"/>
        </w:rPr>
        <w:t>18.1 本合約（含附件）構成雙方就本事項之完整協議，取代雙方先前之所有口頭或書面協商。</w:t>
      </w:r>
    </w:p>
    <w:p>
      <w:r>
        <w:rPr>
          <w:b w:val="0"/>
          <w:sz w:val="22"/>
        </w:rPr>
        <w:t>18.2 本合約之修改須以書面為之，並經雙方授權代表簽名方生效。</w:t>
      </w:r>
    </w:p>
    <w:p>
      <w:r>
        <w:rPr>
          <w:b w:val="0"/>
          <w:sz w:val="22"/>
        </w:rPr>
        <w:t>18.3 若本合約任何條款因法律規定而無效，其餘條款之效力不受影響。</w:t>
      </w:r>
    </w:p>
    <w:p/>
    <w:p>
      <w:r>
        <w:br w:type="page"/>
      </w:r>
    </w:p>
    <w:p>
      <w:pPr>
        <w:pStyle w:val="Heading1"/>
        <w:jc w:val="left"/>
      </w:pPr>
      <w:r>
        <w:t>附件二：SLA 服務水準協議指標表</w:t>
      </w:r>
    </w:p>
    <w:p>
      <w:r>
        <w:rPr>
          <w:b w:val="0"/>
          <w:sz w:val="22"/>
        </w:rPr>
        <w:t>本附件依第十二條規定，詳細規範服務水準指標（KPI）及相應的懲罰扣款機制。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指標項目</w:t>
            </w:r>
          </w:p>
        </w:tc>
        <w:tc>
          <w:tcPr>
            <w:tcW w:type="dxa" w:w="1512"/>
          </w:tcPr>
          <w:p>
            <w:r>
              <w:rPr>
                <w:b/>
              </w:rPr>
              <w:t>衡量指標</w:t>
            </w:r>
          </w:p>
        </w:tc>
        <w:tc>
          <w:tcPr>
            <w:tcW w:type="dxa" w:w="1512"/>
          </w:tcPr>
          <w:p>
            <w:r>
              <w:rPr>
                <w:b/>
              </w:rPr>
              <w:t>目標值</w:t>
            </w:r>
          </w:p>
        </w:tc>
        <w:tc>
          <w:tcPr>
            <w:tcW w:type="dxa" w:w="1512"/>
          </w:tcPr>
          <w:p>
            <w:r>
              <w:rPr>
                <w:b/>
              </w:rPr>
              <w:t>量測週期</w:t>
            </w:r>
          </w:p>
        </w:tc>
        <w:tc>
          <w:tcPr>
            <w:tcW w:type="dxa" w:w="1512"/>
          </w:tcPr>
          <w:p>
            <w:r>
              <w:rPr>
                <w:b/>
              </w:rPr>
              <w:t>不達標懲罰</w:t>
            </w:r>
          </w:p>
        </w:tc>
        <w:tc>
          <w:tcPr>
            <w:tcW w:type="dxa" w:w="1512"/>
          </w:tcPr>
          <w:p>
            <w:r>
              <w:rPr>
                <w:b/>
              </w:rPr>
              <w:t>計算基礎</w:t>
            </w:r>
          </w:p>
        </w:tc>
      </w:tr>
      <w:tr>
        <w:tc>
          <w:tcPr>
            <w:tcW w:type="dxa" w:w="1512"/>
          </w:tcPr>
          <w:p>
            <w:r>
              <w:t>系統可用性</w:t>
            </w:r>
          </w:p>
        </w:tc>
        <w:tc>
          <w:tcPr>
            <w:tcW w:type="dxa" w:w="1512"/>
          </w:tcPr>
          <w:p>
            <w:r>
              <w:t>月可用率</w:t>
            </w:r>
          </w:p>
        </w:tc>
        <w:tc>
          <w:tcPr>
            <w:tcW w:type="dxa" w:w="1512"/>
          </w:tcPr>
          <w:p>
            <w:r>
              <w:t>≥ 99.9%</w:t>
            </w:r>
          </w:p>
        </w:tc>
        <w:tc>
          <w:tcPr>
            <w:tcW w:type="dxa" w:w="1512"/>
          </w:tcPr>
          <w:p>
            <w:r>
              <w:t>月</w:t>
            </w:r>
          </w:p>
        </w:tc>
        <w:tc>
          <w:tcPr>
            <w:tcW w:type="dxa" w:w="1512"/>
          </w:tcPr>
          <w:p>
            <w:r>
              <w:t>每低0.1%扣款1%</w:t>
            </w:r>
          </w:p>
        </w:tc>
        <w:tc>
          <w:tcPr>
            <w:tcW w:type="dxa" w:w="1512"/>
          </w:tcPr>
          <w:p>
            <w:r>
              <w:t>當月維運費</w:t>
            </w:r>
          </w:p>
        </w:tc>
      </w:tr>
      <w:tr>
        <w:tc>
          <w:tcPr>
            <w:tcW w:type="dxa" w:w="1512"/>
          </w:tcPr>
          <w:p>
            <w:r>
              <w:t>P1事故回應時間</w:t>
            </w:r>
          </w:p>
        </w:tc>
        <w:tc>
          <w:tcPr>
            <w:tcW w:type="dxa" w:w="1512"/>
          </w:tcPr>
          <w:p>
            <w:r>
              <w:t>電話聯繫時間</w:t>
            </w:r>
          </w:p>
        </w:tc>
        <w:tc>
          <w:tcPr>
            <w:tcW w:type="dxa" w:w="1512"/>
          </w:tcPr>
          <w:p>
            <w:r>
              <w:t>≤ 30 分鐘</w:t>
            </w:r>
          </w:p>
        </w:tc>
        <w:tc>
          <w:tcPr>
            <w:tcW w:type="dxa" w:w="1512"/>
          </w:tcPr>
          <w:p>
            <w:r>
              <w:t>每事件</w:t>
            </w:r>
          </w:p>
        </w:tc>
        <w:tc>
          <w:tcPr>
            <w:tcW w:type="dxa" w:w="1512"/>
          </w:tcPr>
          <w:p>
            <w:r>
              <w:t>每逾15分鐘扣2,000元</w:t>
            </w:r>
          </w:p>
        </w:tc>
        <w:tc>
          <w:tcPr>
            <w:tcW w:type="dxa" w:w="1512"/>
          </w:tcPr>
          <w:p>
            <w:r>
              <w:t>固定罰款</w:t>
            </w:r>
          </w:p>
        </w:tc>
      </w:tr>
      <w:tr>
        <w:tc>
          <w:tcPr>
            <w:tcW w:type="dxa" w:w="1512"/>
          </w:tcPr>
          <w:p>
            <w:r>
              <w:t>P1事故解決時間</w:t>
            </w:r>
          </w:p>
        </w:tc>
        <w:tc>
          <w:tcPr>
            <w:tcW w:type="dxa" w:w="1512"/>
          </w:tcPr>
          <w:p>
            <w:r>
              <w:t>恢復正常服務</w:t>
            </w:r>
          </w:p>
        </w:tc>
        <w:tc>
          <w:tcPr>
            <w:tcW w:type="dxa" w:w="1512"/>
          </w:tcPr>
          <w:p>
            <w:r>
              <w:t>≤ 4 小時</w:t>
            </w:r>
          </w:p>
        </w:tc>
        <w:tc>
          <w:tcPr>
            <w:tcW w:type="dxa" w:w="1512"/>
          </w:tcPr>
          <w:p>
            <w:r>
              <w:t>每事件</w:t>
            </w:r>
          </w:p>
        </w:tc>
        <w:tc>
          <w:tcPr>
            <w:tcW w:type="dxa" w:w="1512"/>
          </w:tcPr>
          <w:p>
            <w:r>
              <w:t>每逾1小時扣5,000元</w:t>
            </w:r>
          </w:p>
        </w:tc>
        <w:tc>
          <w:tcPr>
            <w:tcW w:type="dxa" w:w="1512"/>
          </w:tcPr>
          <w:p>
            <w:r>
              <w:t>固定罰款</w:t>
            </w:r>
          </w:p>
        </w:tc>
      </w:tr>
      <w:tr>
        <w:tc>
          <w:tcPr>
            <w:tcW w:type="dxa" w:w="1512"/>
          </w:tcPr>
          <w:p>
            <w:r>
              <w:t>P2事故解決時間</w:t>
            </w:r>
          </w:p>
        </w:tc>
        <w:tc>
          <w:tcPr>
            <w:tcW w:type="dxa" w:w="1512"/>
          </w:tcPr>
          <w:p>
            <w:r>
              <w:t>核心功能恢復</w:t>
            </w:r>
          </w:p>
        </w:tc>
        <w:tc>
          <w:tcPr>
            <w:tcW w:type="dxa" w:w="1512"/>
          </w:tcPr>
          <w:p>
            <w:r>
              <w:t>≤ 8 小時</w:t>
            </w:r>
          </w:p>
        </w:tc>
        <w:tc>
          <w:tcPr>
            <w:tcW w:type="dxa" w:w="1512"/>
          </w:tcPr>
          <w:p>
            <w:r>
              <w:t>每事件</w:t>
            </w:r>
          </w:p>
        </w:tc>
        <w:tc>
          <w:tcPr>
            <w:tcW w:type="dxa" w:w="1512"/>
          </w:tcPr>
          <w:p>
            <w:r>
              <w:t>每逾2小時扣3,000元</w:t>
            </w:r>
          </w:p>
        </w:tc>
        <w:tc>
          <w:tcPr>
            <w:tcW w:type="dxa" w:w="1512"/>
          </w:tcPr>
          <w:p>
            <w:r>
              <w:t>固定罰款</w:t>
            </w:r>
          </w:p>
        </w:tc>
      </w:tr>
      <w:tr>
        <w:tc>
          <w:tcPr>
            <w:tcW w:type="dxa" w:w="1512"/>
          </w:tcPr>
          <w:p>
            <w:r>
              <w:t>資料備份成功率</w:t>
            </w:r>
          </w:p>
        </w:tc>
        <w:tc>
          <w:tcPr>
            <w:tcW w:type="dxa" w:w="1512"/>
          </w:tcPr>
          <w:p>
            <w:r>
              <w:t>每日備份完成率</w:t>
            </w:r>
          </w:p>
        </w:tc>
        <w:tc>
          <w:tcPr>
            <w:tcW w:type="dxa" w:w="1512"/>
          </w:tcPr>
          <w:p>
            <w:r>
              <w:t>≥ 99.5%</w:t>
            </w:r>
          </w:p>
        </w:tc>
        <w:tc>
          <w:tcPr>
            <w:tcW w:type="dxa" w:w="1512"/>
          </w:tcPr>
          <w:p>
            <w:r>
              <w:t>月</w:t>
            </w:r>
          </w:p>
        </w:tc>
        <w:tc>
          <w:tcPr>
            <w:tcW w:type="dxa" w:w="1512"/>
          </w:tcPr>
          <w:p>
            <w:r>
              <w:t>每低0.1%扣款0.5%</w:t>
            </w:r>
          </w:p>
        </w:tc>
        <w:tc>
          <w:tcPr>
            <w:tcW w:type="dxa" w:w="1512"/>
          </w:tcPr>
          <w:p>
            <w:r>
              <w:t>當月維運費</w:t>
            </w:r>
          </w:p>
        </w:tc>
      </w:tr>
      <w:tr>
        <w:tc>
          <w:tcPr>
            <w:tcW w:type="dxa" w:w="1512"/>
          </w:tcPr>
          <w:p>
            <w:r>
              <w:t>資料恢復時間RTO</w:t>
            </w:r>
          </w:p>
        </w:tc>
        <w:tc>
          <w:tcPr>
            <w:tcW w:type="dxa" w:w="1512"/>
          </w:tcPr>
          <w:p>
            <w:r>
              <w:t>災難復原測試</w:t>
            </w:r>
          </w:p>
        </w:tc>
        <w:tc>
          <w:tcPr>
            <w:tcW w:type="dxa" w:w="1512"/>
          </w:tcPr>
          <w:p>
            <w:r>
              <w:t>≤ 4 小時</w:t>
            </w:r>
          </w:p>
        </w:tc>
        <w:tc>
          <w:tcPr>
            <w:tcW w:type="dxa" w:w="1512"/>
          </w:tcPr>
          <w:p>
            <w:r>
              <w:t>季</w:t>
            </w:r>
          </w:p>
        </w:tc>
        <w:tc>
          <w:tcPr>
            <w:tcW w:type="dxa" w:w="1512"/>
          </w:tcPr>
          <w:p>
            <w:r>
              <w:t>超標扣款5%</w:t>
            </w:r>
          </w:p>
        </w:tc>
        <w:tc>
          <w:tcPr>
            <w:tcW w:type="dxa" w:w="1512"/>
          </w:tcPr>
          <w:p>
            <w:r>
              <w:t>當季維運費</w:t>
            </w:r>
          </w:p>
        </w:tc>
      </w:tr>
      <w:tr>
        <w:tc>
          <w:tcPr>
            <w:tcW w:type="dxa" w:w="1512"/>
          </w:tcPr>
          <w:p>
            <w:r>
              <w:t>資料復原點RPO</w:t>
            </w:r>
          </w:p>
        </w:tc>
        <w:tc>
          <w:tcPr>
            <w:tcW w:type="dxa" w:w="1512"/>
          </w:tcPr>
          <w:p>
            <w:r>
              <w:t>資料最大遺失時間</w:t>
            </w:r>
          </w:p>
        </w:tc>
        <w:tc>
          <w:tcPr>
            <w:tcW w:type="dxa" w:w="1512"/>
          </w:tcPr>
          <w:p>
            <w:r>
              <w:t>≤ 1 小時</w:t>
            </w:r>
          </w:p>
        </w:tc>
        <w:tc>
          <w:tcPr>
            <w:tcW w:type="dxa" w:w="1512"/>
          </w:tcPr>
          <w:p>
            <w:r>
              <w:t>季</w:t>
            </w:r>
          </w:p>
        </w:tc>
        <w:tc>
          <w:tcPr>
            <w:tcW w:type="dxa" w:w="1512"/>
          </w:tcPr>
          <w:p>
            <w:r>
              <w:t>超標扣款3%</w:t>
            </w:r>
          </w:p>
        </w:tc>
        <w:tc>
          <w:tcPr>
            <w:tcW w:type="dxa" w:w="1512"/>
          </w:tcPr>
          <w:p>
            <w:r>
              <w:t>當季維運費</w:t>
            </w:r>
          </w:p>
        </w:tc>
      </w:tr>
      <w:tr>
        <w:tc>
          <w:tcPr>
            <w:tcW w:type="dxa" w:w="1512"/>
          </w:tcPr>
          <w:p>
            <w:r>
              <w:t>月報準時率</w:t>
            </w:r>
          </w:p>
        </w:tc>
        <w:tc>
          <w:tcPr>
            <w:tcW w:type="dxa" w:w="1512"/>
          </w:tcPr>
          <w:p>
            <w:r>
              <w:t>每月5日前提交</w:t>
            </w:r>
          </w:p>
        </w:tc>
        <w:tc>
          <w:tcPr>
            <w:tcW w:type="dxa" w:w="1512"/>
          </w:tcPr>
          <w:p>
            <w:r>
              <w:t>100%</w:t>
            </w:r>
          </w:p>
        </w:tc>
        <w:tc>
          <w:tcPr>
            <w:tcW w:type="dxa" w:w="1512"/>
          </w:tcPr>
          <w:p>
            <w:r>
              <w:t>月</w:t>
            </w:r>
          </w:p>
        </w:tc>
        <w:tc>
          <w:tcPr>
            <w:tcW w:type="dxa" w:w="1512"/>
          </w:tcPr>
          <w:p>
            <w:r>
              <w:t>每逾1日扣款1,000元</w:t>
            </w:r>
          </w:p>
        </w:tc>
        <w:tc>
          <w:tcPr>
            <w:tcW w:type="dxa" w:w="1512"/>
          </w:tcPr>
          <w:p>
            <w:r>
              <w:t>固定罰款</w:t>
            </w:r>
          </w:p>
        </w:tc>
      </w:tr>
      <w:tr>
        <w:tc>
          <w:tcPr>
            <w:tcW w:type="dxa" w:w="1512"/>
          </w:tcPr>
          <w:p>
            <w:r>
              <w:t>資安事件通報時間</w:t>
            </w:r>
          </w:p>
        </w:tc>
        <w:tc>
          <w:tcPr>
            <w:tcW w:type="dxa" w:w="1512"/>
          </w:tcPr>
          <w:p>
            <w:r>
              <w:t>4小時內通報</w:t>
            </w:r>
          </w:p>
        </w:tc>
        <w:tc>
          <w:tcPr>
            <w:tcW w:type="dxa" w:w="1512"/>
          </w:tcPr>
          <w:p>
            <w:r>
              <w:t>100%</w:t>
            </w:r>
          </w:p>
        </w:tc>
        <w:tc>
          <w:tcPr>
            <w:tcW w:type="dxa" w:w="1512"/>
          </w:tcPr>
          <w:p>
            <w:r>
              <w:t>每事件</w:t>
            </w:r>
          </w:p>
        </w:tc>
        <w:tc>
          <w:tcPr>
            <w:tcW w:type="dxa" w:w="1512"/>
          </w:tcPr>
          <w:p>
            <w:r>
              <w:t>每次違規扣款10,000元</w:t>
            </w:r>
          </w:p>
        </w:tc>
        <w:tc>
          <w:tcPr>
            <w:tcW w:type="dxa" w:w="1512"/>
          </w:tcPr>
          <w:p>
            <w:r>
              <w:t>固定罰款</w:t>
            </w:r>
          </w:p>
        </w:tc>
      </w:tr>
      <w:tr>
        <w:tc>
          <w:tcPr>
            <w:tcW w:type="dxa" w:w="1512"/>
          </w:tcPr>
          <w:p>
            <w:r>
              <w:t>教育訓練滿意度</w:t>
            </w:r>
          </w:p>
        </w:tc>
        <w:tc>
          <w:tcPr>
            <w:tcW w:type="dxa" w:w="1512"/>
          </w:tcPr>
          <w:p>
            <w:r>
              <w:t>學員問卷平均分</w:t>
            </w:r>
          </w:p>
        </w:tc>
        <w:tc>
          <w:tcPr>
            <w:tcW w:type="dxa" w:w="1512"/>
          </w:tcPr>
          <w:p>
            <w:r>
              <w:t>≥ 4.0/5.0</w:t>
            </w:r>
          </w:p>
        </w:tc>
        <w:tc>
          <w:tcPr>
            <w:tcW w:type="dxa" w:w="1512"/>
          </w:tcPr>
          <w:p>
            <w:r>
              <w:t>每課程</w:t>
            </w:r>
          </w:p>
        </w:tc>
        <w:tc>
          <w:tcPr>
            <w:tcW w:type="dxa" w:w="1512"/>
          </w:tcPr>
          <w:p>
            <w:r>
              <w:t>每低0.1分補加課一次</w:t>
            </w:r>
          </w:p>
        </w:tc>
        <w:tc>
          <w:tcPr>
            <w:tcW w:type="dxa" w:w="1512"/>
          </w:tcPr>
          <w:p>
            <w:r>
              <w:t>補課義務</w:t>
            </w:r>
          </w:p>
        </w:tc>
      </w:tr>
    </w:tbl>
    <w:p/>
    <w:p>
      <w:r>
        <w:rPr>
          <w:b w:val="0"/>
          <w:sz w:val="22"/>
        </w:rPr>
        <w:t>【SLA 懲罰計算範例】</w:t>
      </w:r>
    </w:p>
    <w:p>
      <w:r>
        <w:rPr>
          <w:b w:val="0"/>
          <w:sz w:val="22"/>
        </w:rPr>
        <w:t>假設某月系統可用性為 99.7%（低於目標 99.9% 計 0.2%）：</w:t>
      </w:r>
    </w:p>
    <w:p>
      <w:pPr>
        <w:ind w:left="425"/>
      </w:pPr>
      <w:r>
        <w:rPr>
          <w:b w:val="0"/>
          <w:sz w:val="22"/>
        </w:rPr>
        <w:t xml:space="preserve">  • 扣款率 = 0.2 / 0.1 × 1% = 2%</w:t>
      </w:r>
    </w:p>
    <w:p>
      <w:pPr>
        <w:ind w:left="425"/>
      </w:pPr>
      <w:r>
        <w:rPr>
          <w:b w:val="0"/>
          <w:sz w:val="22"/>
        </w:rPr>
        <w:t xml:space="preserve">  • 當月維運費 = 150,000 元（依SVC-005）</w:t>
      </w:r>
    </w:p>
    <w:p>
      <w:pPr>
        <w:ind w:left="425"/>
      </w:pPr>
      <w:r>
        <w:rPr>
          <w:b w:val="0"/>
          <w:sz w:val="22"/>
        </w:rPr>
        <w:t xml:space="preserve">  • 扣款金額 = 150,000 × 2% = 3,000 元</w:t>
      </w:r>
    </w:p>
    <w:p>
      <w:pPr>
        <w:ind w:left="425"/>
      </w:pPr>
      <w:r>
        <w:rPr>
          <w:b w:val="0"/>
          <w:sz w:val="22"/>
        </w:rPr>
        <w:t xml:space="preserve">  • 實際應付 = 150,000 - 3,000 = 147,000 元</w:t>
      </w:r>
    </w:p>
    <w:p/>
    <w:p>
      <w:r>
        <w:br w:type="page"/>
      </w:r>
    </w:p>
    <w:p>
      <w:pPr>
        <w:pStyle w:val="Heading1"/>
        <w:jc w:val="left"/>
      </w:pPr>
      <w:r>
        <w:t>附件三：條款交叉引用彙整表</w:t>
      </w:r>
    </w:p>
    <w:p>
      <w:r>
        <w:rPr>
          <w:b w:val="0"/>
          <w:sz w:val="22"/>
        </w:rPr>
        <w:t>以下彙整合約中主要條款之交叉引用關係，供雙方查閱：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所在條款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引用條款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引用說明</w:t>
            </w:r>
          </w:p>
        </w:tc>
      </w:tr>
      <w:tr>
        <w:tc>
          <w:tcPr>
            <w:tcW w:type="dxa" w:w="3024"/>
          </w:tcPr>
          <w:p>
            <w:r>
              <w:t>第三條3.2</w:t>
            </w:r>
          </w:p>
        </w:tc>
        <w:tc>
          <w:tcPr>
            <w:tcW w:type="dxa" w:w="3024"/>
          </w:tcPr>
          <w:p>
            <w:r>
              <w:t>附件一</w:t>
            </w:r>
          </w:p>
        </w:tc>
        <w:tc>
          <w:tcPr>
            <w:tcW w:type="dxa" w:w="3024"/>
          </w:tcPr>
          <w:p>
            <w:r>
              <w:t>服務規格書，定義服務規格與驗收標準</w:t>
            </w:r>
          </w:p>
        </w:tc>
      </w:tr>
      <w:tr>
        <w:tc>
          <w:tcPr>
            <w:tcW w:type="dxa" w:w="3024"/>
          </w:tcPr>
          <w:p>
            <w:r>
              <w:t>第四條4.2</w:t>
            </w:r>
          </w:p>
        </w:tc>
        <w:tc>
          <w:tcPr>
            <w:tcW w:type="dxa" w:w="3024"/>
          </w:tcPr>
          <w:p>
            <w:r>
              <w:t>第十條10.1</w:t>
            </w:r>
          </w:p>
        </w:tc>
        <w:tc>
          <w:tcPr>
            <w:tcW w:type="dxa" w:w="3024"/>
          </w:tcPr>
          <w:p>
            <w:r>
              <w:t>驗收期限及默示驗收規定</w:t>
            </w:r>
          </w:p>
        </w:tc>
      </w:tr>
      <w:tr>
        <w:tc>
          <w:tcPr>
            <w:tcW w:type="dxa" w:w="3024"/>
          </w:tcPr>
          <w:p>
            <w:r>
              <w:t>第五條5.1</w:t>
            </w:r>
          </w:p>
        </w:tc>
        <w:tc>
          <w:tcPr>
            <w:tcW w:type="dxa" w:w="3024"/>
          </w:tcPr>
          <w:p>
            <w:r>
              <w:t>第三部分</w:t>
            </w:r>
          </w:p>
        </w:tc>
        <w:tc>
          <w:tcPr>
            <w:tcW w:type="dxa" w:w="3024"/>
          </w:tcPr>
          <w:p>
            <w:r>
              <w:t>款項全額清償後移交原始碼</w:t>
            </w:r>
          </w:p>
        </w:tc>
      </w:tr>
      <w:tr>
        <w:tc>
          <w:tcPr>
            <w:tcW w:type="dxa" w:w="3024"/>
          </w:tcPr>
          <w:p>
            <w:r>
              <w:t>第六條6.4</w:t>
            </w:r>
          </w:p>
        </w:tc>
        <w:tc>
          <w:tcPr>
            <w:tcW w:type="dxa" w:w="3024"/>
          </w:tcPr>
          <w:p>
            <w:r>
              <w:t>第六條6.1</w:t>
            </w:r>
          </w:p>
        </w:tc>
        <w:tc>
          <w:tcPr>
            <w:tcW w:type="dxa" w:w="3024"/>
          </w:tcPr>
          <w:p>
            <w:r>
              <w:t>違反保密義務之賠償規定</w:t>
            </w:r>
          </w:p>
        </w:tc>
      </w:tr>
      <w:tr>
        <w:tc>
          <w:tcPr>
            <w:tcW w:type="dxa" w:w="3024"/>
          </w:tcPr>
          <w:p>
            <w:r>
              <w:t>第十條10.4</w:t>
            </w:r>
          </w:p>
        </w:tc>
        <w:tc>
          <w:tcPr>
            <w:tcW w:type="dxa" w:w="3024"/>
          </w:tcPr>
          <w:p>
            <w:r>
              <w:t>第十四條</w:t>
            </w:r>
          </w:p>
        </w:tc>
        <w:tc>
          <w:tcPr>
            <w:tcW w:type="dxa" w:w="3024"/>
          </w:tcPr>
          <w:p>
            <w:r>
              <w:t>3次修正未過則啟動終止程序</w:t>
            </w:r>
          </w:p>
        </w:tc>
      </w:tr>
      <w:tr>
        <w:tc>
          <w:tcPr>
            <w:tcW w:type="dxa" w:w="3024"/>
          </w:tcPr>
          <w:p>
            <w:r>
              <w:t>第十一條11.2</w:t>
            </w:r>
          </w:p>
        </w:tc>
        <w:tc>
          <w:tcPr>
            <w:tcW w:type="dxa" w:w="3024"/>
          </w:tcPr>
          <w:p>
            <w:r>
              <w:t>附件二</w:t>
            </w:r>
          </w:p>
        </w:tc>
        <w:tc>
          <w:tcPr>
            <w:tcW w:type="dxa" w:w="3024"/>
          </w:tcPr>
          <w:p>
            <w:r>
              <w:t>SLA懲罰條款計算依據</w:t>
            </w:r>
          </w:p>
        </w:tc>
      </w:tr>
      <w:tr>
        <w:tc>
          <w:tcPr>
            <w:tcW w:type="dxa" w:w="3024"/>
          </w:tcPr>
          <w:p>
            <w:r>
              <w:t>第十二條12.1</w:t>
            </w:r>
          </w:p>
        </w:tc>
        <w:tc>
          <w:tcPr>
            <w:tcW w:type="dxa" w:w="3024"/>
          </w:tcPr>
          <w:p>
            <w:r>
              <w:t>附件二</w:t>
            </w:r>
          </w:p>
        </w:tc>
        <w:tc>
          <w:tcPr>
            <w:tcW w:type="dxa" w:w="3024"/>
          </w:tcPr>
          <w:p>
            <w:r>
              <w:t>SLA指標表及懲罰機制詳細規範</w:t>
            </w:r>
          </w:p>
        </w:tc>
      </w:tr>
      <w:tr>
        <w:tc>
          <w:tcPr>
            <w:tcW w:type="dxa" w:w="3024"/>
          </w:tcPr>
          <w:p>
            <w:r>
              <w:t>第十四條14.2a</w:t>
            </w:r>
          </w:p>
        </w:tc>
        <w:tc>
          <w:tcPr>
            <w:tcW w:type="dxa" w:w="3024"/>
          </w:tcPr>
          <w:p>
            <w:r>
              <w:t>第三條3.1</w:t>
            </w:r>
          </w:p>
        </w:tc>
        <w:tc>
          <w:tcPr>
            <w:tcW w:type="dxa" w:w="3024"/>
          </w:tcPr>
          <w:p>
            <w:r>
              <w:t>服務品質不符達3次可終止</w:t>
            </w:r>
          </w:p>
        </w:tc>
      </w:tr>
      <w:tr>
        <w:tc>
          <w:tcPr>
            <w:tcW w:type="dxa" w:w="3024"/>
          </w:tcPr>
          <w:p>
            <w:r>
              <w:t>第十四條14.2b</w:t>
            </w:r>
          </w:p>
        </w:tc>
        <w:tc>
          <w:tcPr>
            <w:tcW w:type="dxa" w:w="3024"/>
          </w:tcPr>
          <w:p>
            <w:r>
              <w:t>第十二條</w:t>
            </w:r>
          </w:p>
        </w:tc>
        <w:tc>
          <w:tcPr>
            <w:tcW w:type="dxa" w:w="3024"/>
          </w:tcPr>
          <w:p>
            <w:r>
              <w:t>可用性連續2個月低於95%可終止</w:t>
            </w:r>
          </w:p>
        </w:tc>
      </w:tr>
      <w:tr>
        <w:tc>
          <w:tcPr>
            <w:tcW w:type="dxa" w:w="3024"/>
          </w:tcPr>
          <w:p>
            <w:r>
              <w:t>第十四條14.4</w:t>
            </w:r>
          </w:p>
        </w:tc>
        <w:tc>
          <w:tcPr>
            <w:tcW w:type="dxa" w:w="3024"/>
          </w:tcPr>
          <w:p>
            <w:r>
              <w:t>第五條</w:t>
            </w:r>
          </w:p>
        </w:tc>
        <w:tc>
          <w:tcPr>
            <w:tcW w:type="dxa" w:w="3024"/>
          </w:tcPr>
          <w:p>
            <w:r>
              <w:t>終止後移交成果物規定</w:t>
            </w:r>
          </w:p>
        </w:tc>
      </w:tr>
      <w:tr>
        <w:tc>
          <w:tcPr>
            <w:tcW w:type="dxa" w:w="3024"/>
          </w:tcPr>
          <w:p>
            <w:r>
              <w:t>第十五條15.1</w:t>
            </w:r>
          </w:p>
        </w:tc>
        <w:tc>
          <w:tcPr>
            <w:tcW w:type="dxa" w:w="3024"/>
          </w:tcPr>
          <w:p>
            <w:r>
              <w:t>無</w:t>
            </w:r>
          </w:p>
        </w:tc>
        <w:tc>
          <w:tcPr>
            <w:tcW w:type="dxa" w:w="3024"/>
          </w:tcPr>
          <w:p>
            <w:r>
              <w:t>友好協商原則，為爭議解決第一步</w:t>
            </w:r>
          </w:p>
        </w:tc>
      </w:tr>
      <w:tr>
        <w:tc>
          <w:tcPr>
            <w:tcW w:type="dxa" w:w="3024"/>
          </w:tcPr>
          <w:p>
            <w:r>
              <w:t>第十七條17.1</w:t>
            </w:r>
          </w:p>
        </w:tc>
        <w:tc>
          <w:tcPr>
            <w:tcW w:type="dxa" w:w="3024"/>
          </w:tcPr>
          <w:p>
            <w:r>
              <w:t>無</w:t>
            </w:r>
          </w:p>
        </w:tc>
        <w:tc>
          <w:tcPr>
            <w:tcW w:type="dxa" w:w="3024"/>
          </w:tcPr>
          <w:p>
            <w:r>
              <w:t>適用中華民國法律</w:t>
            </w:r>
          </w:p>
        </w:tc>
      </w:tr>
    </w:tbl>
    <w:p/>
    <w:p>
      <w:r>
        <w:rPr>
          <w:b w:val="0"/>
          <w:sz w:val="22"/>
        </w:rPr>
        <w:t>【注意】本表所列交叉引用僅供快速查閱，實際法律效力以合約正文為準。合約中出現「依第X條規定」等引用，均應核對上表確認引用是否正確。</w:t>
      </w:r>
    </w:p>
    <w:p/>
    <w:p>
      <w:r>
        <w:br w:type="page"/>
      </w:r>
    </w:p>
    <w:p>
      <w:pPr>
        <w:pStyle w:val="Heading1"/>
        <w:jc w:val="left"/>
      </w:pPr>
      <w:r>
        <w:t>附件四：合約措辭說明備忘錄（內部文件）</w:t>
      </w:r>
    </w:p>
    <w:p>
      <w:r>
        <w:rPr>
          <w:b w:val="0"/>
          <w:sz w:val="22"/>
        </w:rPr>
        <w:t>本備忘錄列舉合約中可能引起解釋爭議之措辭，供法務人員審閱：</w:t>
      </w:r>
    </w:p>
    <w:p/>
    <w:p>
      <w:r>
        <w:rPr>
          <w:b/>
          <w:sz w:val="22"/>
        </w:rPr>
        <w:t>【合理性相關措辭】（出現於以下條款）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模糊措辭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所在條款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潛在風險說明</w:t>
            </w:r>
          </w:p>
        </w:tc>
      </w:tr>
      <w:tr>
        <w:tc>
          <w:tcPr>
            <w:tcW w:type="dxa" w:w="3024"/>
          </w:tcPr>
          <w:p>
            <w:r>
              <w:t>「合理之資安政策」</w:t>
            </w:r>
          </w:p>
        </w:tc>
        <w:tc>
          <w:tcPr>
            <w:tcW w:type="dxa" w:w="3024"/>
          </w:tcPr>
          <w:p>
            <w:r>
              <w:t>第三條3.4</w:t>
            </w:r>
          </w:p>
        </w:tc>
        <w:tc>
          <w:tcPr>
            <w:tcW w:type="dxa" w:w="3024"/>
          </w:tcPr>
          <w:p>
            <w:r>
              <w:t>未明確定義何謂合理，可能引起執行爭議</w:t>
            </w:r>
          </w:p>
        </w:tc>
      </w:tr>
      <w:tr>
        <w:tc>
          <w:tcPr>
            <w:tcW w:type="dxa" w:w="3024"/>
          </w:tcPr>
          <w:p>
            <w:r>
              <w:t>「合理配合」</w:t>
            </w:r>
          </w:p>
        </w:tc>
        <w:tc>
          <w:tcPr>
            <w:tcW w:type="dxa" w:w="3024"/>
          </w:tcPr>
          <w:p>
            <w:r>
              <w:t>第四條4.1</w:t>
            </w:r>
          </w:p>
        </w:tc>
        <w:tc>
          <w:tcPr>
            <w:tcW w:type="dxa" w:w="3024"/>
          </w:tcPr>
          <w:p>
            <w:r>
              <w:t>配合範圍界定模糊，甲方義務有待明確</w:t>
            </w:r>
          </w:p>
        </w:tc>
      </w:tr>
      <w:tr>
        <w:tc>
          <w:tcPr>
            <w:tcW w:type="dxa" w:w="3024"/>
          </w:tcPr>
          <w:p>
            <w:r>
              <w:t>「相應資格」</w:t>
            </w:r>
          </w:p>
        </w:tc>
        <w:tc>
          <w:tcPr>
            <w:tcW w:type="dxa" w:w="3024"/>
          </w:tcPr>
          <w:p>
            <w:r>
              <w:t>第三條3.2</w:t>
            </w:r>
          </w:p>
        </w:tc>
        <w:tc>
          <w:tcPr>
            <w:tcW w:type="dxa" w:w="3024"/>
          </w:tcPr>
          <w:p>
            <w:r>
              <w:t>除PMP外，技術資格要求未列舉清單</w:t>
            </w:r>
          </w:p>
        </w:tc>
      </w:tr>
      <w:tr>
        <w:tc>
          <w:tcPr>
            <w:tcW w:type="dxa" w:w="3024"/>
          </w:tcPr>
          <w:p>
            <w:r>
              <w:t>「同等級之資安管理框架」</w:t>
            </w:r>
          </w:p>
        </w:tc>
        <w:tc>
          <w:tcPr>
            <w:tcW w:type="dxa" w:w="3024"/>
          </w:tcPr>
          <w:p>
            <w:r>
              <w:t>第七條7.1</w:t>
            </w:r>
          </w:p>
        </w:tc>
        <w:tc>
          <w:tcPr>
            <w:tcW w:type="dxa" w:w="3024"/>
          </w:tcPr>
          <w:p>
            <w:r>
              <w:t>同等級標準認定主觀，建議附上評估方法</w:t>
            </w:r>
          </w:p>
        </w:tc>
      </w:tr>
      <w:tr>
        <w:tc>
          <w:tcPr>
            <w:tcW w:type="dxa" w:w="3024"/>
          </w:tcPr>
          <w:p>
            <w:r>
              <w:t>「合理費用」</w:t>
            </w:r>
          </w:p>
        </w:tc>
        <w:tc>
          <w:tcPr>
            <w:tcW w:type="dxa" w:w="3024"/>
          </w:tcPr>
          <w:p>
            <w:r>
              <w:t>第十四條14.4</w:t>
            </w:r>
          </w:p>
        </w:tc>
        <w:tc>
          <w:tcPr>
            <w:tcW w:type="dxa" w:w="3024"/>
          </w:tcPr>
          <w:p>
            <w:r>
              <w:t>移轉期服務費用無上限，建議加入費用上限</w:t>
            </w:r>
          </w:p>
        </w:tc>
      </w:tr>
      <w:tr>
        <w:tc>
          <w:tcPr>
            <w:tcW w:type="dxa" w:w="3024"/>
          </w:tcPr>
          <w:p>
            <w:r>
              <w:t>「適當保護措施」</w:t>
            </w:r>
          </w:p>
        </w:tc>
        <w:tc>
          <w:tcPr>
            <w:tcW w:type="dxa" w:w="3024"/>
          </w:tcPr>
          <w:p>
            <w:r>
              <w:t>第六條6.3</w:t>
            </w:r>
          </w:p>
        </w:tc>
        <w:tc>
          <w:tcPr>
            <w:tcW w:type="dxa" w:w="3024"/>
          </w:tcPr>
          <w:p>
            <w:r>
              <w:t>保護措施範疇未明確，恐產生爭議</w:t>
            </w:r>
          </w:p>
        </w:tc>
      </w:tr>
      <w:tr>
        <w:tc>
          <w:tcPr>
            <w:tcW w:type="dxa" w:w="3024"/>
          </w:tcPr>
          <w:p>
            <w:r>
              <w:t>「視情況」</w:t>
            </w:r>
          </w:p>
        </w:tc>
        <w:tc>
          <w:tcPr>
            <w:tcW w:type="dxa" w:w="3024"/>
          </w:tcPr>
          <w:p>
            <w:r>
              <w:t>第九條9.2</w:t>
            </w:r>
          </w:p>
        </w:tc>
        <w:tc>
          <w:tcPr>
            <w:tcW w:type="dxa" w:w="3024"/>
          </w:tcPr>
          <w:p>
            <w:r>
              <w:t>影響評估時間表述，建議固定天數</w:t>
            </w:r>
          </w:p>
        </w:tc>
      </w:tr>
      <w:tr>
        <w:tc>
          <w:tcPr>
            <w:tcW w:type="dxa" w:w="3024"/>
          </w:tcPr>
          <w:p>
            <w:r>
              <w:t>「行業標準」</w:t>
            </w:r>
          </w:p>
        </w:tc>
        <w:tc>
          <w:tcPr>
            <w:tcW w:type="dxa" w:w="3024"/>
          </w:tcPr>
          <w:p>
            <w:r>
              <w:t>第十條10.2</w:t>
            </w:r>
          </w:p>
        </w:tc>
        <w:tc>
          <w:tcPr>
            <w:tcW w:type="dxa" w:w="3024"/>
          </w:tcPr>
          <w:p>
            <w:r>
              <w:t>驗收標準不明確時引用行業標準，認定有爭議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簽署頁</w:t>
      </w:r>
    </w:p>
    <w:p>
      <w:r>
        <w:rPr>
          <w:b w:val="0"/>
          <w:sz w:val="22"/>
        </w:rPr>
        <w:t>本合約由雙方授權代表於下方簽署，以資為憑：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甲方（台灣創新科技股份有限公司）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乙方（鼎盛雲端科技有限公司）</w:t>
            </w:r>
          </w:p>
        </w:tc>
      </w:tr>
      <w:tr>
        <w:tc>
          <w:tcPr>
            <w:tcW w:type="dxa" w:w="3024"/>
          </w:tcPr>
          <w:p>
            <w:r>
              <w:t>代表人姓名</w:t>
            </w:r>
          </w:p>
        </w:tc>
        <w:tc>
          <w:tcPr>
            <w:tcW w:type="dxa" w:w="3024"/>
          </w:tcPr>
          <w:p>
            <w:r>
              <w:t>陳志遠</w:t>
            </w:r>
          </w:p>
        </w:tc>
        <w:tc>
          <w:tcPr>
            <w:tcW w:type="dxa" w:w="3024"/>
          </w:tcPr>
          <w:p>
            <w:r>
              <w:t>林建志</w:t>
            </w:r>
          </w:p>
        </w:tc>
      </w:tr>
      <w:tr>
        <w:tc>
          <w:tcPr>
            <w:tcW w:type="dxa" w:w="3024"/>
          </w:tcPr>
          <w:p>
            <w:r>
              <w:t>職稱</w:t>
            </w:r>
          </w:p>
        </w:tc>
        <w:tc>
          <w:tcPr>
            <w:tcW w:type="dxa" w:w="3024"/>
          </w:tcPr>
          <w:p>
            <w:r>
              <w:t>董事長</w:t>
            </w:r>
          </w:p>
        </w:tc>
        <w:tc>
          <w:tcPr>
            <w:tcW w:type="dxa" w:w="3024"/>
          </w:tcPr>
          <w:p>
            <w:r>
              <w:t>執行長</w:t>
            </w:r>
          </w:p>
        </w:tc>
      </w:tr>
      <w:tr>
        <w:tc>
          <w:tcPr>
            <w:tcW w:type="dxa" w:w="3024"/>
          </w:tcPr>
          <w:p>
            <w:r>
              <w:t>簽署日期</w:t>
            </w:r>
          </w:p>
        </w:tc>
        <w:tc>
          <w:tcPr>
            <w:tcW w:type="dxa" w:w="3024"/>
          </w:tcPr>
          <w:p>
            <w:r>
              <w:t>2024年3月15日</w:t>
            </w:r>
          </w:p>
        </w:tc>
        <w:tc>
          <w:tcPr>
            <w:tcW w:type="dxa" w:w="3024"/>
          </w:tcPr>
          <w:p>
            <w:r>
              <w:t>2024年3月15日</w:t>
            </w:r>
          </w:p>
        </w:tc>
      </w:tr>
      <w:tr>
        <w:tc>
          <w:tcPr>
            <w:tcW w:type="dxa" w:w="3024"/>
          </w:tcPr>
          <w:p>
            <w:r>
              <w:t>公司地址</w:t>
            </w:r>
          </w:p>
        </w:tc>
        <w:tc>
          <w:tcPr>
            <w:tcW w:type="dxa" w:w="3024"/>
          </w:tcPr>
          <w:p>
            <w:r>
              <w:t>台北市中山區南京東路三段100號15樓</w:t>
            </w:r>
          </w:p>
        </w:tc>
        <w:tc>
          <w:tcPr>
            <w:tcW w:type="dxa" w:w="3024"/>
          </w:tcPr>
          <w:p>
            <w:r>
              <w:t>新北市新店區寶橋路235巷6弄3號5樓</w:t>
            </w:r>
          </w:p>
        </w:tc>
      </w:tr>
      <w:tr>
        <w:tc>
          <w:tcPr>
            <w:tcW w:type="dxa" w:w="3024"/>
          </w:tcPr>
          <w:p>
            <w:r>
              <w:t>統一編號</w:t>
            </w:r>
          </w:p>
        </w:tc>
        <w:tc>
          <w:tcPr>
            <w:tcW w:type="dxa" w:w="3024"/>
          </w:tcPr>
          <w:p>
            <w:r>
              <w:t>12345678</w:t>
            </w:r>
          </w:p>
        </w:tc>
        <w:tc>
          <w:tcPr>
            <w:tcW w:type="dxa" w:w="3024"/>
          </w:tcPr>
          <w:p>
            <w:r>
              <w:t>87654321</w:t>
            </w:r>
          </w:p>
        </w:tc>
      </w:tr>
      <w:tr>
        <w:tc>
          <w:tcPr>
            <w:tcW w:type="dxa" w:w="3024"/>
          </w:tcPr>
          <w:p>
            <w:r>
              <w:t>簽名/印章</w:t>
            </w:r>
          </w:p>
        </w:tc>
        <w:tc>
          <w:tcPr>
            <w:tcW w:type="dxa" w:w="3024"/>
          </w:tcPr>
          <w:p>
            <w:r>
              <w:t>（甲方授權代表簽名）</w:t>
            </w:r>
          </w:p>
        </w:tc>
        <w:tc>
          <w:tcPr>
            <w:tcW w:type="dxa" w:w="3024"/>
          </w:tcPr>
          <w:p>
            <w:r>
              <w:t>（乙方授權代表簽名）</w:t>
            </w:r>
          </w:p>
        </w:tc>
      </w:tr>
    </w:tbl>
    <w:p/>
    <w:p/>
    <w:p>
      <w:r>
        <w:rPr>
          <w:b w:val="0"/>
          <w:sz w:val="22"/>
        </w:rPr>
        <w:t>本合約一式兩份，雙方各執乙份，具同等效力。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