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6"/>
        </w:pBdr>
        <w:spacing w:after="80" w:before="1200"/>
        <w:jc w:val="left"/>
      </w:pPr>
      <w:r>
        <w:rPr>
          <w:rFonts w:ascii="Arial" w:cs="Arial" w:eastAsia="Arial" w:hAnsi="Arial"/>
          <w:b/>
          <w:bCs/>
          <w:color w:val="1F3864"/>
          <w:spacing w:val="60"/>
          <w:sz w:val="24"/>
          <w:szCs w:val="24"/>
        </w:rPr>
        <w:t xml:space="preserve">INTERLACE</w:t>
      </w:r>
    </w:p>
    <w:p>
      <w:pPr>
        <w:spacing w:after="60" w:before="120"/>
      </w:pPr>
      <w:r>
        <w:rPr>
          <w:rFonts w:ascii="Arial" w:cs="Arial" w:eastAsia="Arial" w:hAnsi="Arial"/>
          <w:b/>
          <w:bCs/>
          <w:color w:val="000000"/>
          <w:sz w:val="72"/>
          <w:szCs w:val="72"/>
        </w:rPr>
        <w:t xml:space="preserve">Kairo</w:t>
      </w:r>
    </w:p>
    <w:p>
      <w:pPr>
        <w:spacing w:after="360" w:before="0"/>
      </w:pPr>
      <w:r>
        <w:rPr>
          <w:rFonts w:ascii="Arial" w:cs="Arial" w:eastAsia="Arial" w:hAnsi="Arial"/>
          <w:color w:val="595959"/>
          <w:sz w:val="28"/>
          <w:szCs w:val="28"/>
        </w:rPr>
        <w:t xml:space="preserve">Model Card · Documento de diseño (Preconstrucción)</w:t>
      </w:r>
    </w:p>
    <w:p>
      <w:pPr>
        <w:spacing w:after="40" w:before="0"/>
      </w:pPr>
      <w:r>
        <w:rPr>
          <w:b/>
          <w:bCs/>
        </w:rPr>
        <w:t xml:space="preserve">Proyecto:  </w:t>
      </w:r>
      <w:r>
        <w:t xml:space="preserve">Interlace</w:t>
      </w:r>
    </w:p>
    <w:p>
      <w:pPr>
        <w:spacing w:after="40" w:before="0"/>
      </w:pPr>
      <w:r>
        <w:rPr>
          <w:b/>
          <w:bCs/>
        </w:rPr>
        <w:t xml:space="preserve">Modelo:  </w:t>
      </w:r>
      <w:r>
        <w:t xml:space="preserve">Kairo — modelo eficiente de razonamiento</w:t>
      </w:r>
    </w:p>
    <w:p>
      <w:pPr>
        <w:spacing w:after="40" w:before="0"/>
      </w:pPr>
      <w:r>
        <w:rPr>
          <w:b/>
          <w:bCs/>
        </w:rPr>
        <w:t xml:space="preserve">Responsable:  </w:t>
      </w:r>
      <w:r>
        <w:t xml:space="preserve">Alejandro Areces</w:t>
      </w:r>
    </w:p>
    <w:p>
      <w:pPr>
        <w:spacing w:after="40" w:before="0"/>
      </w:pPr>
      <w:r>
        <w:rPr>
          <w:b/>
          <w:bCs/>
        </w:rPr>
        <w:t xml:space="preserve">Clasificación:  </w:t>
      </w:r>
      <w:r>
        <w:t xml:space="preserve">Documento técnico de diseño (interno)</w:t>
      </w:r>
    </w:p>
    <w:p>
      <w:pPr>
        <w:spacing w:after="40" w:before="0"/>
      </w:pPr>
      <w:r>
        <w:rPr>
          <w:b/>
          <w:bCs/>
        </w:rPr>
        <w:t xml:space="preserve">Versión:  </w:t>
      </w:r>
      <w:r>
        <w:t xml:space="preserve">0.2</w:t>
      </w:r>
    </w:p>
    <w:p>
      <w:pPr>
        <w:spacing w:after="40" w:before="0"/>
      </w:pPr>
      <w:r>
        <w:rPr>
          <w:b/>
          <w:bCs/>
        </w:rPr>
        <w:t xml:space="preserve">Estado:  </w:t>
      </w:r>
      <w:r>
        <w:t xml:space="preserve">Preconstrucción — diseño no implementado</w:t>
      </w:r>
    </w:p>
    <w:p>
      <w:pPr>
        <w:spacing w:after="40" w:before="0"/>
      </w:pPr>
      <w:r>
        <w:rPr>
          <w:b/>
          <w:bCs/>
        </w:rPr>
        <w:t xml:space="preserve">Documento relacionado:  </w:t>
      </w:r>
      <w:r>
        <w:t xml:space="preserve">Nova — Model Card (Preconstrucción)</w:t>
      </w:r>
    </w:p>
    <w:p>
      <w:pPr>
        <w:pageBreakBefore/>
        <w:spacing w:after="160"/>
      </w:pPr>
      <w:r>
        <w:rPr>
          <w:rFonts w:ascii="Arial" w:cs="Arial" w:eastAsia="Arial" w:hAnsi="Arial"/>
          <w:b/>
          <w:bCs/>
          <w:sz w:val="32"/>
          <w:szCs w:val="32"/>
        </w:rPr>
        <w:t xml:space="preserve">Índice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Estado del documento y objetivos</w:t>
      </w:r>
    </w:p>
    <w:p>
      <w:pPr>
        <w:spacing w:after="140" w:line="276"/>
        <w:jc w:val="both"/>
      </w:pPr>
      <w:r>
        <w:rPr>
          <w:b w:val="false"/>
          <w:bCs w:val="false"/>
        </w:rPr>
        <w:t xml:space="preserve">Este documento describe el diseño arquitectónico de Kairo en fase de preconstrucción. A fecha de su redacción, Kairo no constituye un modelo entrenado ni operativo; lo aquí descrito son decisiones de diseño pendientes de implementación, entrenamiento y validación empírica.</w:t>
      </w:r>
    </w:p>
    <w:p>
      <w:pPr>
        <w:spacing w:after="140" w:line="276"/>
        <w:jc w:val="both"/>
      </w:pPr>
      <w:r>
        <w:rPr>
          <w:b w:val="false"/>
          <w:bCs w:val="false"/>
        </w:rPr>
        <w:t xml:space="preserve"/>
      </w:r>
      <w:r>
        <w:rPr>
          <w:b/>
          <w:bCs/>
        </w:rPr>
        <w:t xml:space="preserve">Posición en la familia Interlace.</w:t>
      </w:r>
      <w:r>
        <w:rPr>
          <w:b w:val="false"/>
          <w:bCs w:val="false"/>
        </w:rPr>
        <w:t xml:space="preserve"> Interlace contempla dos modelos sobre una base arquitectónica común. Nova es el modelo de máxima capacidad, que prioriza la calidad del resultado sin restricción de coste. Kairo es el modelo eficiente, que prioriza la capacidad por unidad de coste. La relación entre ambos es de maestro y alumno: Nova genera los datos con los que Kairo se entrena (§7).</w:t>
      </w:r>
    </w:p>
    <w:p>
      <w:pPr>
        <w:spacing w:after="140" w:line="276"/>
        <w:jc w:val="both"/>
      </w:pPr>
      <w:r>
        <w:rPr>
          <w:b w:val="false"/>
          <w:bCs w:val="false"/>
        </w:rPr>
        <w:t xml:space="preserve"/>
      </w:r>
      <w:r>
        <w:rPr>
          <w:b/>
          <w:bCs/>
        </w:rPr>
        <w:t xml:space="preserve">Objetivo de ingeniería (medible).</w:t>
      </w:r>
      <w:r>
        <w:rPr>
          <w:b w:val="false"/>
          <w:bCs w:val="false"/>
        </w:rPr>
        <w:t xml:space="preserve"> Maximizar la capacidad de razonamiento por unidad de coste (tokens generados, latencia y cómputo). El criterio de éxito no es igualar a Nova, sino situarse en la frontera de Pareto calidad-coste: aproximarse a Nova en tareas de dificultad baja y media, con degradación controlada en las de dificultad alta, a una fracción del coste (§8).</w:t>
      </w:r>
    </w:p>
    <w:p>
      <w:pPr>
        <w:spacing w:after="140" w:line="276"/>
        <w:jc w:val="both"/>
      </w:pPr>
      <w:r>
        <w:rPr>
          <w:b w:val="false"/>
          <w:bCs w:val="false"/>
        </w:rPr>
        <w:t xml:space="preserve"/>
      </w:r>
      <w:r>
        <w:rPr>
          <w:b/>
          <w:bCs/>
        </w:rPr>
        <w:t xml:space="preserve">Contexto de recursos.</w:t>
      </w:r>
      <w:r>
        <w:rPr>
          <w:b w:val="false"/>
          <w:bCs w:val="false"/>
        </w:rPr>
        <w:t xml:space="preserve"> El desarrollo se proyecta sobre infraestructura limitada: una estación de trabajo sin GPU dedicada y cómputo en la nube de nivel gratuito (GPU de clase T4, ~15 GB). Kairo se construye sobre el mismo modelo base de 1.5B de parámetros que Nova. Por su naturaleza, Kairo está específicamente diseñado para ser ejecutable y desplegable en hardware modesto (§9).</w:t>
      </w:r>
    </w:p>
    <w:p>
      <w:pPr>
        <w:spacing w:after="140" w:line="276"/>
        <w:jc w:val="both"/>
      </w:pPr>
      <w:r>
        <w:rPr>
          <w:b w:val="false"/>
          <w:bCs w:val="false"/>
        </w:rPr>
        <w:t xml:space="preserve">Cada subsistema incluye un apartado de </w:t>
      </w:r>
      <w:r>
        <w:rPr>
          <w:b/>
          <w:bCs/>
        </w:rPr>
        <w:t xml:space="preserve">Consideraciones y limitaciones</w:t>
      </w:r>
      <w:r>
        <w:rPr>
          <w:b w:val="false"/>
          <w:bCs w:val="false"/>
        </w:rPr>
        <w:t xml:space="preserve"> que distingue lo que cuenta con respaldo empírico de lo que constituye una apuesta de diseño.</w:t>
      </w:r>
    </w:p>
    <w:p>
      <w:pPr>
        <w:pStyle w:val="Heading1"/>
      </w:pPr>
      <w:r>
        <w:t xml:space="preserve">1. Resumen</w:t>
      </w:r>
    </w:p>
    <w:p>
      <w:pPr>
        <w:spacing w:after="140" w:line="276"/>
        <w:jc w:val="both"/>
      </w:pPr>
      <w:r>
        <w:rPr>
          <w:b w:val="false"/>
          <w:bCs w:val="false"/>
        </w:rPr>
        <w:t xml:space="preserve">Kairo es un asistente general de razonamiento orientado a la eficiencia. Su principio rector es la obtención del máximo razonamiento con el mínimo gasto: razona de forma concisa, ajusta el esfuerzo a la dificultad de cada consulta y está diseñado para ejecutarse de forma rápida y económica. Un dato fundamenta esta orientación: en modelos pequeños, el razonamiento excesivamente largo no solo encarece la inferencia, sino que con frecuencia degrada la precisión; por tanto, la concisión opera en Kairo como ventaja, no como sacrificio.</w:t>
      </w:r>
    </w:p>
    <w:p>
      <w:pPr>
        <w:spacing w:after="140" w:line="276"/>
        <w:jc w:val="both"/>
      </w:pPr>
      <w:r>
        <w:rPr>
          <w:b w:val="false"/>
          <w:bCs w:val="false"/>
        </w:rPr>
        <w:t xml:space="preserve">La arquitectura de Kairo se compone de tres elementos definitorios: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5426"/>
      </w:tblGrid>
      <w:tr>
        <w:trPr>
          <w:tblHeader/>
        </w:trPr>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Elemento</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Nombre</w:t>
            </w:r>
          </w:p>
        </w:tc>
        <w:tc>
          <w:tcPr>
            <w:tcW w:type="dxa" w:w="54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Función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1</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GEAR</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Núcleo de razonamiento eficiente: ajusta cuánto razona a la dificultad de la consulta.</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2</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THRIFT</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Capa de inferencia frugal: reduce el coste de generar cada token.</w:t>
            </w:r>
          </w:p>
        </w:tc>
      </w:tr>
      <w:tr>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3</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Destilación</w:t>
            </w:r>
          </w:p>
        </w:tc>
        <w:tc>
          <w:tcPr>
            <w:tcW w:type="dxa" w:w="54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Procedimiento de entrenamiento: Kairo aprende de las trazas verificadas de Nova.</w:t>
            </w:r>
          </w:p>
        </w:tc>
      </w:tr>
    </w:tbl>
    <w:p>
      <w:pPr>
        <w:spacing w:after="120"/>
      </w:pPr>
      <w:r>
        <w:t xml:space="preserve"/>
      </w:r>
    </w:p>
    <w:p>
      <w:pPr>
        <w:spacing w:after="140" w:line="276"/>
        <w:jc w:val="both"/>
      </w:pPr>
      <w:r>
        <w:rPr>
          <w:b w:val="false"/>
          <w:bCs w:val="false"/>
        </w:rPr>
        <w:t xml:space="preserve">La eficiencia de Kairo opera sobre dos ejes ortogonales y complementarios: GEAR reduce el número de pasos de razonamiento generados; THRIFT reduce el coste de cada paso. La combinación de ambos produce la máxima reducción de coste. Kairo omite deliberadamente la maquinaria pesada de Nova (búsqueda en árbol extensiva, verificación formal completa, bucle de investigación autónomo); dicha maquinaria define la identidad de Nova, y su ausencia define la de Kairo.</w:t>
      </w:r>
    </w:p>
    <w:p>
      <w:pPr>
        <w:pStyle w:val="Heading1"/>
      </w:pPr>
      <w:r>
        <w:t xml:space="preserve">2. Fundamento y objetivo</w:t>
      </w:r>
    </w:p>
    <w:p>
      <w:pPr>
        <w:pStyle w:val="Heading2"/>
      </w:pPr>
      <w:r>
        <w:t xml:space="preserve">2.1 Filosofía de eficiencia</w:t>
      </w:r>
    </w:p>
    <w:p>
      <w:pPr>
        <w:spacing w:after="140" w:line="276"/>
        <w:jc w:val="both"/>
      </w:pPr>
      <w:r>
        <w:rPr>
          <w:b w:val="false"/>
          <w:bCs w:val="false"/>
        </w:rPr>
        <w:t xml:space="preserve">El diseño de Kairo invierte la filosofía de Nova. Donde Nova establece un suelo de razonamiento elevado y asigna cómputo de forma generosa, Kairo establece un suelo bajo y asigna cómputo únicamente cuando reporta una mejora de resultado. El razonamiento se concibe como un recurso escaso que se invierte donde rinde.</w:t>
      </w:r>
    </w:p>
    <w:p>
      <w:pPr>
        <w:pStyle w:val="Heading2"/>
      </w:pPr>
      <w:r>
        <w:t xml:space="preserve">2.2 Exceso e insuficiencia de razonamiento</w:t>
      </w:r>
    </w:p>
    <w:p>
      <w:pPr>
        <w:spacing w:after="140" w:line="276"/>
        <w:jc w:val="both"/>
      </w:pPr>
      <w:r>
        <w:rPr>
          <w:b w:val="false"/>
          <w:bCs w:val="false"/>
        </w:rPr>
        <w:t xml:space="preserve">La literatura reciente sobre eficiencia en modelos de razonamiento identifica dos modos de fallo simétricos. El exceso de razonamiento (overthinking) desperdicia cómputo en consultas sencillas sin mejora de precisión, e incluso puede inducir la regresión de respuestas correctas. La insuficiencia de razonamiento (underthinking) termina el razonamiento prematuramente y sacrifica la corrección en problemas difíciles. Los presupuestos fijos de razonamiento no resuelven esta tensión: lo que la resuelve es una política que escala el razonamiento a la dificultad de cada instancia. Esta es la premisa central de GEAR (§5).</w:t>
      </w:r>
    </w:p>
    <w:p>
      <w:pPr>
        <w:pStyle w:val="Heading2"/>
      </w:pPr>
      <w:r>
        <w:t xml:space="preserve">2.3 La frontera de Pareto como objetivo</w:t>
      </w:r>
    </w:p>
    <w:p>
      <w:pPr>
        <w:spacing w:after="140" w:line="276"/>
        <w:jc w:val="both"/>
      </w:pPr>
      <w:r>
        <w:rPr>
          <w:b w:val="false"/>
          <w:bCs w:val="false"/>
        </w:rPr>
        <w:t xml:space="preserve">El objetivo de Kairo no es la calidad máxima, sino la calidad máxima por unidad de coste. Se mide en el plano calidad-coste (§8): para un presupuesto dado de tokens o latencia, Kairo debe ofrecer la mayor calidad posible. La expectativa de diseño es la proximidad a Nova en el grueso de las tareas, con degradación gradual y predecible en el extremo de mayor dificultad.</w:t>
      </w:r>
    </w:p>
    <w:p>
      <w:pPr>
        <w:shd w:fill="F2F2F2" w:val="clear"/>
        <w:spacing w:after="0" w:before="120" w:line="240"/>
        <w:ind w:left="200" w:right="200"/>
      </w:pPr>
      <w:r>
        <w:rPr>
          <w:rFonts w:ascii="Courier New" w:cs="Courier New" w:eastAsia="Courier New" w:hAnsi="Courier New"/>
          <w:sz w:val="18"/>
          <w:szCs w:val="18"/>
        </w:rPr>
        <w:t xml:space="preserve">Eficiencia(x) = calidad(x) / coste(x)</w:t>
      </w:r>
    </w:p>
    <w:p>
      <w:pPr>
        <w:shd w:fill="F2F2F2" w:val="clear"/>
        <w:spacing w:after="0" w:before="0" w:line="240"/>
        <w:ind w:left="200" w:right="200"/>
      </w:pPr>
      <w:r>
        <w:rPr>
          <w:rFonts w:ascii="Courier New" w:cs="Courier New" w:eastAsia="Courier New" w:hAnsi="Courier New"/>
          <w:sz w:val="18"/>
          <w:szCs w:val="18"/>
        </w:rPr>
        <w:t xml:space="preserve">Objetivo escalarizado:  J = Q(x) - lambda · C(x)</w:t>
      </w:r>
    </w:p>
    <w:p>
      <w:pPr>
        <w:shd w:fill="F2F2F2" w:val="clear"/>
        <w:spacing w:after="140" w:before="0" w:line="240"/>
        <w:ind w:left="200" w:right="200"/>
      </w:pPr>
      <w:r>
        <w:rPr>
          <w:rFonts w:ascii="Courier New" w:cs="Courier New" w:eastAsia="Courier New" w:hAnsi="Courier New"/>
          <w:sz w:val="18"/>
          <w:szCs w:val="18"/>
        </w:rPr>
        <w:t xml:space="preserve">(Q = calidad/correccion ; C = coste en tokens o latencia ; lambda = peso del coste)</w:t>
      </w:r>
    </w:p>
    <w:p>
      <w:pPr>
        <w:spacing w:after="140" w:line="276"/>
        <w:jc w:val="both"/>
      </w:pPr>
      <w:r>
        <w:rPr>
          <w:b w:val="false"/>
          <w:bCs w:val="false"/>
        </w:rPr>
        <w:t xml:space="preserve">Formalmente, la eficiencia se expresa como la calidad obtenida por unidad de coste. El ajuste de Kairo persigue maximizar una combinación de calidad y coste con un peso de coste elevado; el punto de operación óptimo es el que maximiza la calidad para el coste objetivo fijado.</w:t>
      </w:r>
    </w:p>
    <w:p>
      <w:pPr>
        <w:pStyle w:val="Heading2"/>
      </w:pPr>
      <w:r>
        <w:t xml:space="preserve">2.4 Posicionamiento y uso previsto</w:t>
      </w:r>
    </w:p>
    <w:p>
      <w:pPr>
        <w:spacing w:after="140" w:line="276"/>
        <w:jc w:val="both"/>
      </w:pPr>
      <w:r>
        <w:rPr>
          <w:b w:val="false"/>
          <w:bCs w:val="false"/>
        </w:rPr>
        <w:t xml:space="preserve">Kairo está concebido como el modelo de uso general y cotidiano: consultas interactivas, asistencia de propósito amplio y despliegues sensibles a la latencia y al coste. Para tareas que requieran el máximo nivel de razonamiento, exploración exhaustiva o verificación formal, el modelo de referencia es Nova.</w:t>
      </w:r>
    </w:p>
    <w:p>
      <w:pPr>
        <w:pStyle w:val="Heading2"/>
      </w:pPr>
      <w:r>
        <w:t xml:space="preserve">2.5 Comparación con Nova</w:t>
      </w:r>
    </w:p>
    <w:p>
      <w:pPr>
        <w:spacing w:after="140" w:line="276"/>
        <w:jc w:val="both"/>
      </w:pPr>
      <w:r>
        <w:rPr>
          <w:b w:val="false"/>
          <w:bCs w:val="false"/>
        </w:rPr>
        <w:t xml:space="preserve">La tabla siguiente resume las diferencias de diseño entre ambos modelos de la familia Interlace.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Dimensión</w:t>
            </w:r>
          </w:p>
        </w:tc>
        <w:tc>
          <w:tcPr>
            <w:tcW w:type="dxa" w:w="32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Kairo</w:t>
            </w:r>
          </w:p>
        </w:tc>
        <w:tc>
          <w:tcPr>
            <w:tcW w:type="dxa" w:w="32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Nova</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Objetivo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Capacidad por unidad de coste</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Capacidad máxima</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Suelo de razonamiento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Bajo (escala si hace falta)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Alto (razona por defecto)</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Penalización de coste</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Elevada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Mínima</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Núcleo de razonamiento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GEAR (compuerta + latente ligero)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LARC (latente recurrente profundo)</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Búsqueda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Mínima o nula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MCTS sobre grafo (CORTEX)</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Verificación</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Ligera y barata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Completa (VERITAS)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Herramientas</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Básicas</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Bucle de investigación autónomo (PRAXIS)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Inferencia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Frugal (THRIFT)</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Sin optimización de coste</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Entrenamiento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Destilación de Nova (SFT + RL ligero)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RL con recompensas verificables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Papel</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Modelo cotidiano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Modelo de máxima exigencia</w:t>
            </w:r>
          </w:p>
        </w:tc>
      </w:tr>
    </w:tbl>
    <w:p>
      <w:pPr>
        <w:spacing w:after="120"/>
      </w:pPr>
      <w:r>
        <w:t xml:space="preserve"/>
      </w:r>
    </w:p>
    <w:p>
      <w:pPr>
        <w:pStyle w:val="Heading2"/>
      </w:pPr>
      <w:r>
        <w:t xml:space="preserve">2.6 Lo que Kairo omite y por qué</w:t>
      </w:r>
    </w:p>
    <w:p>
      <w:pPr>
        <w:spacing w:after="140" w:line="276"/>
        <w:jc w:val="both"/>
      </w:pPr>
      <w:r>
        <w:rPr>
          <w:b w:val="false"/>
          <w:bCs w:val="false"/>
        </w:rPr>
        <w:t xml:space="preserve">Buena parte de la identidad de Kairo se define por lo que omite. La tabla siguiente recoge los componentes de Nova ausentes en Kairo y el coste que su omisión evita.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8"/>
      </w:tblGrid>
      <w:tr>
        <w:trPr>
          <w:tblHeader/>
        </w:trPr>
        <w:tc>
          <w:tcPr>
            <w:tcW w:type="dxa" w:w="300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Componente de Nova</w:t>
            </w:r>
          </w:p>
        </w:tc>
        <w:tc>
          <w:tcPr>
            <w:tcW w:type="dxa" w:w="300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Por qué se omite en Kairo</w:t>
            </w:r>
          </w:p>
        </w:tc>
        <w:tc>
          <w:tcPr>
            <w:tcW w:type="dxa" w:w="3008"/>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Coste evitado</w:t>
            </w:r>
          </w:p>
        </w:tc>
      </w:tr>
      <w:tr>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Hipótesis latentes paralelas</w:t>
            </w:r>
          </w:p>
        </w:tc>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Multiplican el cómputo por el número de trayectorias</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Cómputo paralelo</w:t>
            </w:r>
          </w:p>
        </w:tc>
      </w:tr>
      <w:tr>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Búsqueda MCTS (CORTEX)</w:t>
            </w:r>
          </w:p>
        </w:tc>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Requiere muchas evaluaciones del modelo por consulta</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Múltiples pasadas de inferencia</w:t>
            </w:r>
          </w:p>
        </w:tc>
      </w:tr>
      <w:tr>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Verificación completa (VERITAS)</w:t>
            </w:r>
          </w:p>
        </w:tc>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Lean4 y comprobaciones exhaustivas son costosas</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Verificación pesada</w:t>
            </w:r>
          </w:p>
        </w:tc>
      </w:tr>
      <w:tr>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Bucle de investigación (PRAXIS)</w:t>
            </w:r>
          </w:p>
        </w:tc>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Orientado a tareas extensas, no a respuestas rápidas</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Iteraciones de herramientas</w:t>
            </w:r>
          </w:p>
        </w:tc>
      </w:tr>
      <w:tr>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ComplexQNN</w:t>
            </w:r>
          </w:p>
        </w:tc>
        <w:tc>
          <w:tcPr>
            <w:tcW w:type="dxa" w:w="30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Mejora no demostrada que duplica el coste de atención</w:t>
            </w:r>
          </w:p>
        </w:tc>
        <w:tc>
          <w:tcPr>
            <w:tcW w:type="dxa" w:w="3008"/>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Atención de valores complejos</w:t>
            </w:r>
          </w:p>
        </w:tc>
      </w:tr>
    </w:tbl>
    <w:p>
      <w:pPr>
        <w:spacing w:after="120"/>
      </w:pPr>
      <w:r>
        <w:t xml:space="preserve"/>
      </w:r>
    </w:p>
    <w:p>
      <w:pPr>
        <w:pStyle w:val="Heading1"/>
      </w:pPr>
      <w:r>
        <w:t xml:space="preserve">3. Notación y convenciones</w:t>
      </w:r>
    </w:p>
    <w:p>
      <w:pPr>
        <w:spacing w:after="140" w:line="276"/>
        <w:jc w:val="both"/>
      </w:pPr>
      <w:r>
        <w:rPr>
          <w:b w:val="false"/>
          <w:bCs w:val="false"/>
        </w:rPr>
        <w:t xml:space="preserve">A lo largo del documento se emplea la notación siguiente:</w:t>
      </w:r>
    </w:p>
    <w:p>
      <w:pPr>
        <w:pStyle w:val="ListParagraph"/>
        <w:numPr>
          <w:ilvl w:val="0"/>
          <w:numId w:val="2"/>
        </w:numPr>
        <w:spacing w:after="60" w:line="276"/>
      </w:pPr>
      <w:r>
        <w:rPr>
          <w:b w:val="false"/>
          <w:bCs w:val="false"/>
        </w:rPr>
        <w:t xml:space="preserve"/>
      </w:r>
      <w:r>
        <w:rPr>
          <w:b/>
          <w:bCs/>
        </w:rPr>
        <w:t xml:space="preserve">x</w:t>
      </w:r>
      <w:r>
        <w:rPr>
          <w:b w:val="false"/>
          <w:bCs w:val="false"/>
        </w:rPr>
        <w:t xml:space="preserve"> — la consulta de entrada.</w:t>
      </w:r>
    </w:p>
    <w:p>
      <w:pPr>
        <w:pStyle w:val="ListParagraph"/>
        <w:numPr>
          <w:ilvl w:val="0"/>
          <w:numId w:val="2"/>
        </w:numPr>
        <w:spacing w:after="60" w:line="276"/>
      </w:pPr>
      <w:r>
        <w:rPr>
          <w:b w:val="false"/>
          <w:bCs w:val="false"/>
        </w:rPr>
        <w:t xml:space="preserve"/>
      </w:r>
      <w:r>
        <w:rPr>
          <w:b/>
          <w:bCs/>
        </w:rPr>
        <w:t xml:space="preserve">s</w:t>
      </w:r>
      <w:r>
        <w:rPr>
          <w:b w:val="false"/>
          <w:bCs w:val="false"/>
        </w:rPr>
        <w:t xml:space="preserve"> — el estado de razonamiento en el espacio latente.</w:t>
      </w:r>
    </w:p>
    <w:p>
      <w:pPr>
        <w:pStyle w:val="ListParagraph"/>
        <w:numPr>
          <w:ilvl w:val="0"/>
          <w:numId w:val="2"/>
        </w:numPr>
        <w:spacing w:after="60" w:line="276"/>
      </w:pPr>
      <w:r>
        <w:rPr>
          <w:b w:val="false"/>
          <w:bCs w:val="false"/>
        </w:rPr>
        <w:t xml:space="preserve"/>
      </w:r>
      <w:r>
        <w:rPr>
          <w:b/>
          <w:bCs/>
        </w:rPr>
        <w:t xml:space="preserve">B</w:t>
      </w:r>
      <w:r>
        <w:rPr>
          <w:b w:val="false"/>
          <w:bCs w:val="false"/>
        </w:rPr>
        <w:t xml:space="preserve"> — el presupuesto de razonamiento (número máximo de pasos previsto).</w:t>
      </w:r>
    </w:p>
    <w:p>
      <w:pPr>
        <w:pStyle w:val="ListParagraph"/>
        <w:numPr>
          <w:ilvl w:val="0"/>
          <w:numId w:val="2"/>
        </w:numPr>
        <w:spacing w:after="60" w:line="276"/>
      </w:pPr>
      <w:r>
        <w:rPr>
          <w:b w:val="false"/>
          <w:bCs w:val="false"/>
        </w:rPr>
        <w:t xml:space="preserve"/>
      </w:r>
      <w:r>
        <w:rPr>
          <w:b/>
          <w:bCs/>
        </w:rPr>
        <w:t xml:space="preserve">d</w:t>
      </w:r>
      <w:r>
        <w:rPr>
          <w:b w:val="false"/>
          <w:bCs w:val="false"/>
        </w:rPr>
        <w:t xml:space="preserve"> — la dificultad estimada de la consulta.</w:t>
      </w:r>
    </w:p>
    <w:p>
      <w:pPr>
        <w:pStyle w:val="ListParagraph"/>
        <w:numPr>
          <w:ilvl w:val="0"/>
          <w:numId w:val="2"/>
        </w:numPr>
        <w:spacing w:after="60" w:line="276"/>
      </w:pPr>
      <w:r>
        <w:rPr>
          <w:b w:val="false"/>
          <w:bCs w:val="false"/>
        </w:rPr>
        <w:t xml:space="preserve"/>
      </w:r>
      <w:r>
        <w:rPr>
          <w:b/>
          <w:bCs/>
        </w:rPr>
        <w:t xml:space="preserve">confianza(·)</w:t>
      </w:r>
      <w:r>
        <w:rPr>
          <w:b w:val="false"/>
          <w:bCs w:val="false"/>
        </w:rPr>
        <w:t xml:space="preserve"> — estimación interna de la fiabilidad de una respuesta o estado.</w:t>
      </w:r>
    </w:p>
    <w:p>
      <w:pPr>
        <w:pStyle w:val="ListParagraph"/>
        <w:numPr>
          <w:ilvl w:val="0"/>
          <w:numId w:val="2"/>
        </w:numPr>
        <w:spacing w:after="60" w:line="276"/>
      </w:pPr>
      <w:r>
        <w:rPr>
          <w:b w:val="false"/>
          <w:bCs w:val="false"/>
        </w:rPr>
        <w:t xml:space="preserve"/>
      </w:r>
      <w:r>
        <w:rPr>
          <w:b/>
          <w:bCs/>
        </w:rPr>
        <w:t xml:space="preserve">θ (theta)</w:t>
      </w:r>
      <w:r>
        <w:rPr>
          <w:b w:val="false"/>
          <w:bCs w:val="false"/>
        </w:rPr>
        <w:t xml:space="preserve"> — umbral de enrutamiento o de detención.</w:t>
      </w:r>
    </w:p>
    <w:p>
      <w:pPr>
        <w:pStyle w:val="ListParagraph"/>
        <w:numPr>
          <w:ilvl w:val="0"/>
          <w:numId w:val="2"/>
        </w:numPr>
        <w:spacing w:after="60" w:line="276"/>
      </w:pPr>
      <w:r>
        <w:rPr>
          <w:b w:val="false"/>
          <w:bCs w:val="false"/>
        </w:rPr>
        <w:t xml:space="preserve"/>
      </w:r>
      <w:r>
        <w:rPr>
          <w:b/>
          <w:bCs/>
        </w:rPr>
        <w:t xml:space="preserve">γ (gamma)</w:t>
      </w:r>
      <w:r>
        <w:rPr>
          <w:b w:val="false"/>
          <w:bCs w:val="false"/>
        </w:rPr>
        <w:t xml:space="preserve"> — peso de la penalización de coste en la función de recompensa.</w:t>
      </w:r>
    </w:p>
    <w:p>
      <w:pPr>
        <w:pStyle w:val="ListParagraph"/>
        <w:numPr>
          <w:ilvl w:val="0"/>
          <w:numId w:val="2"/>
        </w:numPr>
        <w:spacing w:after="60" w:line="276"/>
      </w:pPr>
      <w:r>
        <w:rPr>
          <w:b w:val="false"/>
          <w:bCs w:val="false"/>
        </w:rPr>
        <w:t xml:space="preserve">Las expresiones en bloque monoespaciado son fórmulas o pseudocódigo ilustrativo, no código de implementación definitivo.</w:t>
      </w:r>
    </w:p>
    <w:p>
      <w:pPr>
        <w:pStyle w:val="Heading1"/>
      </w:pPr>
      <w:r>
        <w:t xml:space="preserve">4. Sustrato y arquitectura general</w:t>
      </w:r>
    </w:p>
    <w:p>
      <w:pPr>
        <w:pStyle w:val="Heading2"/>
      </w:pPr>
      <w:r>
        <w:t xml:space="preserve">4.1 Modelo base compartido</w:t>
      </w:r>
    </w:p>
    <w:p>
      <w:pPr>
        <w:spacing w:after="140" w:line="276"/>
        <w:jc w:val="both"/>
      </w:pPr>
      <w:r>
        <w:rPr>
          <w:b w:val="false"/>
          <w:bCs w:val="false"/>
        </w:rPr>
        <w:t xml:space="preserve">Kairo se construye sobre el mismo modelo base que Nova: DeepSeek-R1-Distill-Qwen-1.5B, un Transformer decoder-only denso de aproximadamente 1.5B de parámetros, con 28 capas, dimensión interna 1536, atención GQA (12 cabezas de consulta, 2 de clave/valor), codificación posicional RoPE, MLP de tipo SwiGLU y normalización RMSNorm. La descripción anatómica detallada figura en la model card de Nova. La elección de un base común permite compartir código de implementación y, sobre todo, habilita la transferencia directa de conocimiento por destilación.</w:t>
      </w:r>
    </w:p>
    <w:p>
      <w:pPr>
        <w:pStyle w:val="Heading2"/>
      </w:pPr>
      <w:r>
        <w:t xml:space="preserve">4.2 Relación arquitectónica con Nova</w:t>
      </w:r>
    </w:p>
    <w:p>
      <w:pPr>
        <w:spacing w:after="140" w:line="276"/>
        <w:jc w:val="both"/>
      </w:pPr>
      <w:r>
        <w:rPr>
          <w:b w:val="false"/>
          <w:bCs w:val="false"/>
        </w:rPr>
        <w:t xml:space="preserve">Kairo y Nova comparten la base y el protocolo de entrenamiento (FORGE), pero difieren en los subsistemas que definen su comportamiento y en el ajuste de sus políticas. En términos prácticos, una única base de código sostiene dos modelos, diferenciados por sus módulos definitorios (GEAR y THRIFT en Kairo; LARC, CORTEX, VERITAS y PRAXIS en Nova) y por el signo de sus funciones de recompensa (penalización de coste reducida en Nova, elevada en Kairo).</w:t>
      </w:r>
    </w:p>
    <w:p>
      <w:pPr>
        <w:pStyle w:val="Heading2"/>
      </w:pPr>
      <w:r>
        <w:t xml:space="preserve">4.3 Los dos ejes de eficiencia</w:t>
      </w:r>
    </w:p>
    <w:p>
      <w:pPr>
        <w:spacing w:after="140" w:line="276"/>
        <w:jc w:val="both"/>
      </w:pPr>
      <w:r>
        <w:rPr>
          <w:b w:val="false"/>
          <w:bCs w:val="false"/>
        </w:rPr>
        <w:t xml:space="preserve">La eficiencia de Kairo se descompone en dos ejes independientes:</w:t>
      </w:r>
    </w:p>
    <w:p>
      <w:pPr>
        <w:pStyle w:val="ListParagraph"/>
        <w:numPr>
          <w:ilvl w:val="0"/>
          <w:numId w:val="2"/>
        </w:numPr>
        <w:spacing w:after="60" w:line="276"/>
      </w:pPr>
      <w:r>
        <w:rPr>
          <w:b w:val="false"/>
          <w:bCs w:val="false"/>
        </w:rPr>
        <w:t xml:space="preserve"/>
      </w:r>
      <w:r>
        <w:rPr>
          <w:b/>
          <w:bCs/>
        </w:rPr>
        <w:t xml:space="preserve">Eje de razonamiento (GEAR):</w:t>
      </w:r>
      <w:r>
        <w:rPr>
          <w:b w:val="false"/>
          <w:bCs w:val="false"/>
        </w:rPr>
        <w:t xml:space="preserve"> reduce el número de pasos de razonamiento, generando solo los necesarios para la dificultad de la consulta.</w:t>
      </w:r>
    </w:p>
    <w:p>
      <w:pPr>
        <w:pStyle w:val="ListParagraph"/>
        <w:numPr>
          <w:ilvl w:val="0"/>
          <w:numId w:val="2"/>
        </w:numPr>
        <w:spacing w:after="60" w:line="276"/>
      </w:pPr>
      <w:r>
        <w:rPr>
          <w:b w:val="false"/>
          <w:bCs w:val="false"/>
        </w:rPr>
        <w:t xml:space="preserve"/>
      </w:r>
      <w:r>
        <w:rPr>
          <w:b/>
          <w:bCs/>
        </w:rPr>
        <w:t xml:space="preserve">Eje de ejecución (THRIFT):</w:t>
      </w:r>
      <w:r>
        <w:rPr>
          <w:b w:val="false"/>
          <w:bCs w:val="false"/>
        </w:rPr>
        <w:t xml:space="preserve"> reduce el coste computacional de cada paso (tokens más rápidos y baratos).</w:t>
      </w:r>
    </w:p>
    <w:p>
      <w:pPr>
        <w:spacing w:after="140" w:line="276"/>
        <w:jc w:val="both"/>
      </w:pPr>
      <w:r>
        <w:rPr>
          <w:b w:val="false"/>
          <w:bCs w:val="false"/>
        </w:rPr>
        <w:t xml:space="preserve">Por ser ortogonales, sus efectos se multiplican: una reducción a la mitad de los pasos combinada con una reducción a la mitad del coste por paso produce una reducción a la cuarta parte del coste total.</w:t>
      </w:r>
    </w:p>
    <w:p>
      <w:pPr>
        <w:pStyle w:val="Heading2"/>
      </w:pPr>
      <w:r>
        <w:t xml:space="preserve">4.4 Flujo de una consulta</w:t>
      </w:r>
    </w:p>
    <w:p>
      <w:pPr>
        <w:shd w:fill="F2F2F2" w:val="clear"/>
        <w:spacing w:after="0" w:before="120" w:line="240"/>
        <w:ind w:left="200" w:right="200"/>
      </w:pPr>
      <w:r>
        <w:rPr>
          <w:rFonts w:ascii="Courier New" w:cs="Courier New" w:eastAsia="Courier New" w:hAnsi="Courier New"/>
          <w:sz w:val="18"/>
          <w:szCs w:val="18"/>
        </w:rPr>
        <w:t xml:space="preserve">1. Recepcion de la consulta.</w:t>
      </w:r>
    </w:p>
    <w:p>
      <w:pPr>
        <w:shd w:fill="F2F2F2" w:val="clear"/>
        <w:spacing w:after="0" w:before="0" w:line="240"/>
        <w:ind w:left="200" w:right="200"/>
      </w:pPr>
      <w:r>
        <w:rPr>
          <w:rFonts w:ascii="Courier New" w:cs="Courier New" w:eastAsia="Courier New" w:hAnsi="Courier New"/>
          <w:sz w:val="18"/>
          <w:szCs w:val="18"/>
        </w:rPr>
        <w:t xml:space="preserve">2. GEAR estima la dificultad y predice un presupuesto de razonamiento.</w:t>
      </w:r>
    </w:p>
    <w:p>
      <w:pPr>
        <w:shd w:fill="F2F2F2" w:val="clear"/>
        <w:spacing w:after="0" w:before="0" w:line="240"/>
        <w:ind w:left="200" w:right="200"/>
      </w:pPr>
      <w:r>
        <w:rPr>
          <w:rFonts w:ascii="Courier New" w:cs="Courier New" w:eastAsia="Courier New" w:hAnsi="Courier New"/>
          <w:sz w:val="18"/>
          <w:szCs w:val="18"/>
        </w:rPr>
        <w:t xml:space="preserve">3. Enrutamiento:</w:t>
      </w:r>
    </w:p>
    <w:p>
      <w:pPr>
        <w:shd w:fill="F2F2F2" w:val="clear"/>
        <w:spacing w:after="0" w:before="0" w:line="240"/>
        <w:ind w:left="200" w:right="200"/>
      </w:pPr>
      <w:r>
        <w:rPr>
          <w:rFonts w:ascii="Courier New" w:cs="Courier New" w:eastAsia="Courier New" w:hAnsi="Courier New"/>
          <w:sz w:val="18"/>
          <w:szCs w:val="18"/>
        </w:rPr>
        <w:t xml:space="preserve">      - trivial: respuesta directa (via rapida, ~0 razonamiento).</w:t>
      </w:r>
    </w:p>
    <w:p>
      <w:pPr>
        <w:shd w:fill="F2F2F2" w:val="clear"/>
        <w:spacing w:after="0" w:before="0" w:line="240"/>
        <w:ind w:left="200" w:right="200"/>
      </w:pPr>
      <w:r>
        <w:rPr>
          <w:rFonts w:ascii="Courier New" w:cs="Courier New" w:eastAsia="Courier New" w:hAnsi="Courier New"/>
          <w:sz w:val="18"/>
          <w:szCs w:val="18"/>
        </w:rPr>
        <w:t xml:space="preserve">      - media:   pocos pasos de razonamiento latente, dentro del presupuesto.</w:t>
      </w:r>
    </w:p>
    <w:p>
      <w:pPr>
        <w:shd w:fill="F2F2F2" w:val="clear"/>
        <w:spacing w:after="0" w:before="0" w:line="240"/>
        <w:ind w:left="200" w:right="200"/>
      </w:pPr>
      <w:r>
        <w:rPr>
          <w:rFonts w:ascii="Courier New" w:cs="Courier New" w:eastAsia="Courier New" w:hAnsi="Courier New"/>
          <w:sz w:val="18"/>
          <w:szCs w:val="18"/>
        </w:rPr>
        <w:t xml:space="preserve">      - alta:    se escala la profundidad, con re-escalada de seguridad si procede.</w:t>
      </w:r>
    </w:p>
    <w:p>
      <w:pPr>
        <w:shd w:fill="F2F2F2" w:val="clear"/>
        <w:spacing w:after="0" w:before="0" w:line="240"/>
        <w:ind w:left="200" w:right="200"/>
      </w:pPr>
      <w:r>
        <w:rPr>
          <w:rFonts w:ascii="Courier New" w:cs="Courier New" w:eastAsia="Courier New" w:hAnsi="Courier New"/>
          <w:sz w:val="18"/>
          <w:szCs w:val="18"/>
        </w:rPr>
        <w:t xml:space="preserve">4. THRIFT abarata cada token: decodificacion especulativa, cache comprimida, salida temprana.</w:t>
      </w:r>
    </w:p>
    <w:p>
      <w:pPr>
        <w:shd w:fill="F2F2F2" w:val="clear"/>
        <w:spacing w:after="0" w:before="0" w:line="240"/>
        <w:ind w:left="200" w:right="200"/>
      </w:pPr>
      <w:r>
        <w:rPr>
          <w:rFonts w:ascii="Courier New" w:cs="Courier New" w:eastAsia="Courier New" w:hAnsi="Courier New"/>
          <w:sz w:val="18"/>
          <w:szCs w:val="18"/>
        </w:rPr>
        <w:t xml:space="preserve">5. Verificacion ligera donde es barata (ejecucion de codigo, chequeo de consistencia).</w:t>
      </w:r>
    </w:p>
    <w:p>
      <w:pPr>
        <w:shd w:fill="F2F2F2" w:val="clear"/>
        <w:spacing w:after="140" w:before="0" w:line="240"/>
        <w:ind w:left="200" w:right="200"/>
      </w:pPr>
      <w:r>
        <w:rPr>
          <w:rFonts w:ascii="Courier New" w:cs="Courier New" w:eastAsia="Courier New" w:hAnsi="Courier New"/>
          <w:sz w:val="18"/>
          <w:szCs w:val="18"/>
        </w:rPr>
        <w:t xml:space="preserve">6. Emision de la respuesta.</w:t>
      </w:r>
    </w:p>
    <w:p>
      <w:pPr>
        <w:pStyle w:val="Heading1"/>
      </w:pPr>
      <w:r>
        <w:t xml:space="preserve">5. Subsistema 1 — GEAR (Gated Efficient Adaptive Reasoning)</w:t>
      </w:r>
    </w:p>
    <w:p>
      <w:pPr>
        <w:spacing w:after="140" w:line="276"/>
        <w:jc w:val="both"/>
      </w:pPr>
      <w:r>
        <w:rPr>
          <w:b w:val="false"/>
          <w:bCs w:val="false"/>
        </w:rPr>
        <w:t xml:space="preserve"/>
      </w:r>
      <w:r>
        <w:rPr>
          <w:b/>
          <w:bCs/>
        </w:rPr>
        <w:t xml:space="preserve">Definición.</w:t>
      </w:r>
      <w:r>
        <w:rPr>
          <w:b w:val="false"/>
          <w:bCs w:val="false"/>
        </w:rPr>
        <w:t xml:space="preserve"> El núcleo de razonamiento de Kairo: un mecanismo que estima la dificultad de cada consulta, predice el esfuerzo de razonamiento requerido y enruta entre una vía rápida (respuesta directa) y una vía de razonamiento latente de profundidad ajustada, gastando el mínimo cómputo compatible con una respuesta correcta.</w:t>
      </w:r>
    </w:p>
    <w:p>
      <w:pPr>
        <w:spacing w:after="140" w:line="276"/>
        <w:jc w:val="both"/>
      </w:pPr>
      <w:r>
        <w:rPr>
          <w:b w:val="false"/>
          <w:bCs w:val="false"/>
        </w:rPr>
        <w:t xml:space="preserve"/>
      </w:r>
      <w:r>
        <w:rPr>
          <w:b/>
          <w:bCs/>
        </w:rPr>
        <w:t xml:space="preserve">Función.</w:t>
      </w:r>
      <w:r>
        <w:rPr>
          <w:b w:val="false"/>
          <w:bCs w:val="false"/>
        </w:rPr>
        <w:t xml:space="preserve"> Materializa el principio de asignación adaptativa: el esfuerzo de razonamiento se ajusta a la dificultad de la instancia, evitando tanto el exceso como la insuficiencia de razonamiento. La metáfora orientadora es el cambio de marchas de un vehículo: la marcha se adapta al terreno.</w:t>
      </w:r>
    </w:p>
    <w:p>
      <w:pPr>
        <w:pStyle w:val="Heading2"/>
      </w:pPr>
      <w:r>
        <w:t xml:space="preserve">5.1 Estimador de dificultad e incertidumbre</w:t>
      </w:r>
    </w:p>
    <w:p>
      <w:pPr>
        <w:spacing w:after="140" w:line="276"/>
        <w:jc w:val="both"/>
      </w:pPr>
      <w:r>
        <w:rPr>
          <w:b w:val="false"/>
          <w:bCs w:val="false"/>
        </w:rPr>
        <w:t xml:space="preserve">Un módulo de pequeño tamaño estima la dificultad de la consulta antes de comprometer cómputo de razonamiento. La señal de incertidumbre puede derivarse de la entropía de la distribución de salida y de la confianza interna del modelo. Un hallazgo empírico relevante para su calibración es el patrón de entropía en forma de U: la incertidumbre es alta en problemas triviales (pese a una precisión alta), baja en problemas de dificultad media y de nuevo alta en problemas difíciles. En consecuencia, la estimación no puede depender ingenuamente de la entropía, y se define una política diferenciada por regiones de dificultad.</w:t>
      </w:r>
    </w:p>
    <w:p>
      <w:pPr>
        <w:spacing w:after="140" w:line="276"/>
        <w:jc w:val="both"/>
      </w:pPr>
      <w:r>
        <w:rPr>
          <w:b w:val="false"/>
          <w:bCs w:val="false"/>
        </w:rPr>
        <w:t xml:space="preserve">En la práctica, el estimador combina dos señales: la entropía de la distribución de salida del modelo (una medida de incertidumbre inmediata) y una cabeza de dificultad de pequeño tamaño, entrenada sobre las etiquetas de longitud de los datos de destilación, que asocian cada problema a la cantidad de razonamiento que requirió. La salida del estimador se calibra para que sus umbrales se correspondan con tasas de acierto reales, dado que la entropía bruta no es un indicador fiable por sí sola.</w:t>
      </w:r>
    </w:p>
    <w:p>
      <w:pPr>
        <w:pStyle w:val="Heading2"/>
      </w:pPr>
      <w:r>
        <w:t xml:space="preserve">5.2 Taxonomía de dificultad</w:t>
      </w:r>
    </w:p>
    <w:p>
      <w:pPr>
        <w:spacing w:after="140" w:line="276"/>
        <w:jc w:val="both"/>
      </w:pPr>
      <w:r>
        <w:rPr>
          <w:b w:val="false"/>
          <w:bCs w:val="false"/>
        </w:rPr>
        <w:t xml:space="preserve">La dificultad de una consulta se operacionaliza en tres regiones, cada una con una política de cómputo propia:</w:t>
      </w:r>
    </w:p>
    <w:p>
      <w:pPr>
        <w:pStyle w:val="ListParagraph"/>
        <w:numPr>
          <w:ilvl w:val="0"/>
          <w:numId w:val="2"/>
        </w:numPr>
        <w:spacing w:after="60" w:line="276"/>
      </w:pPr>
      <w:r>
        <w:rPr>
          <w:b w:val="false"/>
          <w:bCs w:val="false"/>
        </w:rPr>
        <w:t xml:space="preserve"/>
      </w:r>
      <w:r>
        <w:rPr>
          <w:b/>
          <w:bCs/>
        </w:rPr>
        <w:t xml:space="preserve">Trivial:</w:t>
      </w:r>
      <w:r>
        <w:rPr>
          <w:b w:val="false"/>
          <w:bCs w:val="false"/>
        </w:rPr>
        <w:t xml:space="preserve"> consultas resolubles directamente, sin razonamiento (saludos, hechos inmediatos, transformaciones simples). Atendidas por la vía rápida.</w:t>
      </w:r>
    </w:p>
    <w:p>
      <w:pPr>
        <w:pStyle w:val="ListParagraph"/>
        <w:numPr>
          <w:ilvl w:val="0"/>
          <w:numId w:val="2"/>
        </w:numPr>
        <w:spacing w:after="60" w:line="276"/>
      </w:pPr>
      <w:r>
        <w:rPr>
          <w:b w:val="false"/>
          <w:bCs w:val="false"/>
        </w:rPr>
        <w:t xml:space="preserve"/>
      </w:r>
      <w:r>
        <w:rPr>
          <w:b/>
          <w:bCs/>
        </w:rPr>
        <w:t xml:space="preserve">Media:</w:t>
      </w:r>
      <w:r>
        <w:rPr>
          <w:b w:val="false"/>
          <w:bCs w:val="false"/>
        </w:rPr>
        <w:t xml:space="preserve"> consultas que requieren unos pocos pasos de razonamiento. Atendidas por la vía lenta corta.</w:t>
      </w:r>
    </w:p>
    <w:p>
      <w:pPr>
        <w:pStyle w:val="ListParagraph"/>
        <w:numPr>
          <w:ilvl w:val="0"/>
          <w:numId w:val="2"/>
        </w:numPr>
        <w:spacing w:after="60" w:line="276"/>
      </w:pPr>
      <w:r>
        <w:rPr>
          <w:b w:val="false"/>
          <w:bCs w:val="false"/>
        </w:rPr>
        <w:t xml:space="preserve"/>
      </w:r>
      <w:r>
        <w:rPr>
          <w:b/>
          <w:bCs/>
        </w:rPr>
        <w:t xml:space="preserve">Alta:</w:t>
      </w:r>
      <w:r>
        <w:rPr>
          <w:b w:val="false"/>
          <w:bCs w:val="false"/>
        </w:rPr>
        <w:t xml:space="preserve"> consultas que requieren razonamiento extenso. Atendidas por la vía lenta profunda, con re-escalada condicional.</w:t>
      </w:r>
    </w:p>
    <w:p>
      <w:pPr>
        <w:spacing w:after="140" w:line="276"/>
        <w:jc w:val="both"/>
      </w:pPr>
      <w:r>
        <w:rPr>
          <w:b w:val="false"/>
          <w:bCs w:val="false"/>
        </w:rPr>
        <w:t xml:space="preserve">La asignación a una región combina la señal de incertidumbre, la longitud y estructura de la consulta y, cuando existe, el playbook recuperado. La frontera entre regiones se calibra empíricamente sobre datos etiquetados por dificultad.</w:t>
      </w:r>
    </w:p>
    <w:p>
      <w:pPr>
        <w:pStyle w:val="Heading2"/>
      </w:pPr>
      <w:r>
        <w:t xml:space="preserve">5.3 Predicción de presupuesto</w:t>
      </w:r>
    </w:p>
    <w:p>
      <w:pPr>
        <w:spacing w:after="140" w:line="276"/>
        <w:jc w:val="both"/>
      </w:pPr>
      <w:r>
        <w:rPr>
          <w:b w:val="false"/>
          <w:bCs w:val="false"/>
        </w:rPr>
        <w:t xml:space="preserve">Kairo predice el presupuesto de razonamiento antes de razonar, y se ciñe a él durante la generación:</w:t>
      </w:r>
    </w:p>
    <w:p>
      <w:pPr>
        <w:shd w:fill="F2F2F2" w:val="clear"/>
        <w:spacing w:after="140" w:before="120" w:line="240"/>
        <w:ind w:left="200" w:right="200"/>
      </w:pPr>
      <w:r>
        <w:rPr>
          <w:rFonts w:ascii="Courier New" w:cs="Courier New" w:eastAsia="Courier New" w:hAnsi="Courier New"/>
          <w:sz w:val="18"/>
          <w:szCs w:val="18"/>
        </w:rPr>
        <w:t xml:space="preserve">B = f_presupuesto( dificultad(x) )</w:t>
      </w:r>
    </w:p>
    <w:p>
      <w:pPr>
        <w:spacing w:after="140" w:line="276"/>
        <w:jc w:val="both"/>
      </w:pPr>
      <w:r>
        <w:rPr>
          <w:b w:val="false"/>
          <w:bCs w:val="false"/>
        </w:rPr>
        <w:t xml:space="preserve">Esta estrategia, de predicción anticipada del presupuesto y adhesión posterior, está documentada en métodos como SelfBudgeter (predicción del presupuesto en una fase previa, seguida de adhesión durante la generación) y TALE (estimación del presupuesto a partir de la complejidad del problema, con reducciones de tokens del orden del 67% y pérdida de precisión mínima). La predicción anticipada presenta además una ventaja operativa: permite anticipar el coste y la latencia de la respuesta antes de generarla.</w:t>
      </w:r>
    </w:p>
    <w:p>
      <w:pPr>
        <w:pStyle w:val="Heading2"/>
      </w:pPr>
      <w:r>
        <w:t xml:space="preserve">5.4 La compuerta de enrutamiento</w:t>
      </w:r>
    </w:p>
    <w:p>
      <w:pPr>
        <w:spacing w:after="140" w:line="276"/>
        <w:jc w:val="both"/>
      </w:pPr>
      <w:r>
        <w:rPr>
          <w:b w:val="false"/>
          <w:bCs w:val="false"/>
        </w:rPr>
        <w:t xml:space="preserve">Con la dificultad estimada y el presupuesto predicho, la compuerta enruta la consulta:</w:t>
      </w:r>
    </w:p>
    <w:p>
      <w:pPr>
        <w:shd w:fill="F2F2F2" w:val="clear"/>
        <w:spacing w:after="0" w:before="120" w:line="240"/>
        <w:ind w:left="200" w:right="200"/>
      </w:pPr>
      <w:r>
        <w:rPr>
          <w:rFonts w:ascii="Courier New" w:cs="Courier New" w:eastAsia="Courier New" w:hAnsi="Courier New"/>
          <w:sz w:val="18"/>
          <w:szCs w:val="18"/>
        </w:rPr>
        <w:t xml:space="preserve">si confianza(x) &gt; theta_rapida:   via rapida    (respuesta directa)</w:t>
      </w:r>
    </w:p>
    <w:p>
      <w:pPr>
        <w:shd w:fill="F2F2F2" w:val="clear"/>
        <w:spacing w:after="0" w:before="0" w:line="240"/>
        <w:ind w:left="200" w:right="200"/>
      </w:pPr>
      <w:r>
        <w:rPr>
          <w:rFonts w:ascii="Courier New" w:cs="Courier New" w:eastAsia="Courier New" w:hAnsi="Courier New"/>
          <w:sz w:val="18"/>
          <w:szCs w:val="18"/>
        </w:rPr>
        <w:t xml:space="preserve">si confianza(x) &lt; theta_dificil:  via lenta      (razonamiento profundo)</w:t>
      </w:r>
    </w:p>
    <w:p>
      <w:pPr>
        <w:shd w:fill="F2F2F2" w:val="clear"/>
        <w:spacing w:after="140" w:before="0" w:line="240"/>
        <w:ind w:left="200" w:right="200"/>
      </w:pPr>
      <w:r>
        <w:rPr>
          <w:rFonts w:ascii="Courier New" w:cs="Courier New" w:eastAsia="Courier New" w:hAnsi="Courier New"/>
          <w:sz w:val="18"/>
          <w:szCs w:val="18"/>
        </w:rPr>
        <w:t xml:space="preserve">en otro caso:                     via lenta corta (pocos pasos)</w:t>
      </w:r>
    </w:p>
    <w:p>
      <w:pPr>
        <w:spacing w:after="140" w:line="276"/>
        <w:jc w:val="both"/>
      </w:pPr>
      <w:r>
        <w:rPr>
          <w:b w:val="false"/>
          <w:bCs w:val="false"/>
        </w:rPr>
        <w:t xml:space="preserve">La vía rápida (vía por defecto para consultas triviales) responde sin desplegar razonamiento. Las vías lentas despliegan razonamiento latente de profundidad creciente. Es la arquitectura de enrutamiento de cómputo (computation routing) documentada en la literatura de eficiencia.</w:t>
      </w:r>
    </w:p>
    <w:p>
      <w:pPr>
        <w:pStyle w:val="Heading2"/>
      </w:pPr>
      <w:r>
        <w:t xml:space="preserve">5.5 Razonamiento latente</w:t>
      </w:r>
    </w:p>
    <w:p>
      <w:pPr>
        <w:spacing w:after="140" w:line="276"/>
        <w:jc w:val="both"/>
      </w:pPr>
      <w:r>
        <w:rPr>
          <w:b w:val="false"/>
          <w:bCs w:val="false"/>
        </w:rPr>
        <w:t xml:space="preserve">Cuando se requiere razonamiento, Kairo lo realiza en el espacio latente, sin materializarlo necesariamente como texto. El razonamiento latente es intrínsecamente más económico en tokens que la cadena de pensamiento textual. El conocimiento de razonamiento de Nova se transfiere a este espacio mediante destilación al espacio continuo, en la línea de métodos que destilan la cadena de pensamiento a representaciones internas (CODI, LightThinker).</w:t>
      </w:r>
    </w:p>
    <w:p>
      <w:pPr>
        <w:pStyle w:val="Heading2"/>
      </w:pPr>
      <w:r>
        <w:t xml:space="preserve">5.6 Profundidad adaptativa y detención</w:t>
      </w:r>
    </w:p>
    <w:p>
      <w:pPr>
        <w:spacing w:after="140" w:line="276"/>
        <w:jc w:val="both"/>
      </w:pPr>
      <w:r>
        <w:rPr>
          <w:b w:val="false"/>
          <w:bCs w:val="false"/>
        </w:rPr>
        <w:t xml:space="preserve">El razonamiento latente se itera un número variable de pasos. Una cabeza de detención produce en cada paso una probabilidad de detención; el sistema se detiene en cuanto la confianza es suficiente. La formulación sigue el cómputo adaptativo:</w:t>
      </w:r>
    </w:p>
    <w:p>
      <w:pPr>
        <w:shd w:fill="F2F2F2" w:val="clear"/>
        <w:spacing w:after="0" w:before="120" w:line="240"/>
        <w:ind w:left="200" w:right="200"/>
      </w:pPr>
      <w:r>
        <w:rPr>
          <w:rFonts w:ascii="Courier New" w:cs="Courier New" w:eastAsia="Courier New" w:hAnsi="Courier New"/>
          <w:sz w:val="18"/>
          <w:szCs w:val="18"/>
        </w:rPr>
        <w:t xml:space="preserve">halt_n   = p_n · PROD_{t&lt;n} (1 - p_t)     # prob. de detenerse exactamente en el paso n</w:t>
      </w:r>
    </w:p>
    <w:p>
      <w:pPr>
        <w:shd w:fill="F2F2F2" w:val="clear"/>
        <w:spacing w:after="140" w:before="0" w:line="240"/>
        <w:ind w:left="200" w:right="200"/>
      </w:pPr>
      <w:r>
        <w:rPr>
          <w:rFonts w:ascii="Courier New" w:cs="Courier New" w:eastAsia="Courier New" w:hAnsi="Courier New"/>
          <w:sz w:val="18"/>
          <w:szCs w:val="18"/>
        </w:rPr>
        <w:t xml:space="preserve">E[pasos] = SUM_n  n · halt_n              # coste esperado (se penaliza al entrenar)</w:t>
      </w:r>
    </w:p>
    <w:p>
      <w:pPr>
        <w:spacing w:after="140" w:line="276"/>
        <w:jc w:val="both"/>
      </w:pPr>
      <w:r>
        <w:rPr>
          <w:b w:val="false"/>
          <w:bCs w:val="false"/>
        </w:rPr>
        <w:t xml:space="preserve">A diferencia de Nova, el suelo de profundidad es bajo y la detención temprana es agresiva, en coherencia con el objetivo de coste mínimo. El término de coste esperado se penaliza durante el entrenamiento, sesgando el modelo hacia la detención temprana.</w:t>
      </w:r>
    </w:p>
    <w:p>
      <w:pPr>
        <w:pStyle w:val="Heading2"/>
      </w:pPr>
      <w:r>
        <w:t xml:space="preserve">5.7 Re-escalada de seguridad</w:t>
      </w:r>
    </w:p>
    <w:p>
      <w:pPr>
        <w:spacing w:after="140" w:line="276"/>
        <w:jc w:val="both"/>
      </w:pPr>
      <w:r>
        <w:rPr>
          <w:b w:val="false"/>
          <w:bCs w:val="false"/>
        </w:rPr>
        <w:t xml:space="preserve">El riesgo principal de una asignación parsimoniosa es la insuficiencia de razonamiento: la subestimación de un problema difícil que conduce a una respuesta incorrecta. Como salvaguarda, si tras agotar el presupuesto la confianza permanece baja, se autoriza una extensión acotada del razonamiento antes de emitir o abstenerse. Esta combinación de planificación y presupuesto local evita simultáneamente el exceso (presupuesto base ajustado) y la insuficiencia (extensión condicional).</w:t>
      </w:r>
    </w:p>
    <w:p>
      <w:pPr>
        <w:pStyle w:val="Heading2"/>
      </w:pPr>
      <w:r>
        <w:t xml:space="preserve">5.8 Sustrato compartido con LARC</w:t>
      </w:r>
    </w:p>
    <w:p>
      <w:pPr>
        <w:spacing w:after="140" w:line="276"/>
        <w:jc w:val="both"/>
      </w:pPr>
      <w:r>
        <w:rPr>
          <w:b w:val="false"/>
          <w:bCs w:val="false"/>
        </w:rPr>
        <w:t xml:space="preserve">GEAR reutiliza los componentes más coste-eficientes del núcleo de Nova (LARC) —el razonamiento latente y la profundidad adaptativa— y descarta sus componentes costosos: no incorpora hipótesis latentes paralelas, ni búsqueda en árbol extensiva, ni el repertorio completo de operaciones cognitivas, ni la modificación de atención ComplexQNN. Opera sobre una única trayectoria de razonamiento, poco profunda por defecto.</w:t>
      </w:r>
    </w:p>
    <w:p>
      <w:pPr>
        <w:pStyle w:val="Heading2"/>
      </w:pPr>
      <w:r>
        <w:t xml:space="preserve">5.9 Ejemplo ilustrado</w:t>
      </w:r>
    </w:p>
    <w:p>
      <w:pPr>
        <w:spacing w:after="140" w:line="276"/>
        <w:jc w:val="both"/>
      </w:pPr>
      <w:r>
        <w:rPr>
          <w:b w:val="false"/>
          <w:bCs w:val="false"/>
        </w:rPr>
        <w:t xml:space="preserve">Para ilustrar el comportamiento de GEAR se consideran tres consultas de dificultad creciente: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Consulta</w:t>
            </w:r>
          </w:p>
        </w:tc>
        <w:tc>
          <w:tcPr>
            <w:tcW w:type="dxa" w:w="1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Región</w:t>
            </w:r>
          </w:p>
        </w:tc>
        <w:tc>
          <w:tcPr>
            <w:tcW w:type="dxa" w:w="4826"/>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Comportamiento de GEAR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“Hola”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Trivial</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Vía rápida; respuesta directa sin razonamiento.</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Operación aritmética de varios pasos</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Media</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Vía lenta corta; pocos pasos latentes; detención temprana al converger.</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Problema de competición (olimpiada)</w:t>
            </w:r>
          </w:p>
        </w:tc>
        <w:tc>
          <w:tcPr>
            <w:tcW w:type="dxa" w:w="1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Alta</w:t>
            </w:r>
          </w:p>
        </w:tc>
        <w:tc>
          <w:tcPr>
            <w:tcW w:type="dxa" w:w="4826"/>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Vía lenta profunda; presupuesto amplio; re-escalada de seguridad si la confianza no alcanza el umbral.</w:t>
            </w:r>
          </w:p>
        </w:tc>
      </w:tr>
    </w:tbl>
    <w:p>
      <w:pPr>
        <w:spacing w:after="120"/>
      </w:pPr>
      <w:r>
        <w:t xml:space="preserve"/>
      </w:r>
    </w:p>
    <w:p>
      <w:pPr>
        <w:pStyle w:val="Heading2"/>
      </w:pPr>
      <w:r>
        <w:t xml:space="preserve">5.10 Bucle de ejecución de GEAR (pseudocódigo)</w:t>
      </w:r>
    </w:p>
    <w:p>
      <w:pPr>
        <w:shd w:fill="F2F2F2" w:val="clear"/>
        <w:spacing w:after="0" w:before="120" w:line="240"/>
        <w:ind w:left="200" w:right="200"/>
      </w:pPr>
      <w:r>
        <w:rPr>
          <w:rFonts w:ascii="Courier New" w:cs="Courier New" w:eastAsia="Courier New" w:hAnsi="Courier New"/>
          <w:sz w:val="18"/>
          <w:szCs w:val="18"/>
        </w:rPr>
        <w:t xml:space="preserve">d  = dificultad(x)                       # estimador de dificultad/incertidumbre</w:t>
      </w:r>
    </w:p>
    <w:p>
      <w:pPr>
        <w:shd w:fill="F2F2F2" w:val="clear"/>
        <w:spacing w:after="0" w:before="0" w:line="240"/>
        <w:ind w:left="200" w:right="200"/>
      </w:pPr>
      <w:r>
        <w:rPr>
          <w:rFonts w:ascii="Courier New" w:cs="Courier New" w:eastAsia="Courier New" w:hAnsi="Courier New"/>
          <w:sz w:val="18"/>
          <w:szCs w:val="18"/>
        </w:rPr>
        <w:t xml:space="preserve">B  = f_presupuesto(d)                    # presupuesto de razonamiento predicho</w:t>
      </w:r>
    </w:p>
    <w:p>
      <w:pPr>
        <w:shd w:fill="F2F2F2" w:val="clear"/>
        <w:spacing w:after="0" w:before="0" w:line="240"/>
        <w:ind w:left="200" w:right="200"/>
      </w:pPr>
      <w:r>
        <w:rPr>
          <w:rFonts w:ascii="Courier New" w:cs="Courier New" w:eastAsia="Courier New" w:hAnsi="Courier New"/>
          <w:sz w:val="18"/>
          <w:szCs w:val="18"/>
        </w:rPr>
        <w:t xml:space="preserve">if via_rapida(x):</w:t>
      </w:r>
    </w:p>
    <w:p>
      <w:pPr>
        <w:shd w:fill="F2F2F2" w:val="clear"/>
        <w:spacing w:after="0" w:before="0" w:line="240"/>
        <w:ind w:left="200" w:right="200"/>
      </w:pPr>
      <w:r>
        <w:rPr>
          <w:rFonts w:ascii="Courier New" w:cs="Courier New" w:eastAsia="Courier New" w:hAnsi="Courier New"/>
          <w:sz w:val="18"/>
          <w:szCs w:val="18"/>
        </w:rPr>
        <w:t xml:space="preserve">    return responder_directo(x)          # ~0 razonamiento</w:t>
      </w:r>
    </w:p>
    <w:p>
      <w:pPr>
        <w:shd w:fill="F2F2F2" w:val="clear"/>
        <w:spacing w:after="0" w:before="0" w:line="240"/>
        <w:ind w:left="200" w:right="200"/>
      </w:pPr>
      <w:r>
        <w:rPr>
          <w:rFonts w:ascii="Courier New" w:cs="Courier New" w:eastAsia="Courier New" w:hAnsi="Courier New"/>
          <w:sz w:val="18"/>
          <w:szCs w:val="18"/>
        </w:rPr>
        <w:t xml:space="preserve">s  = init_latente(x)</w:t>
      </w:r>
    </w:p>
    <w:p>
      <w:pPr>
        <w:shd w:fill="F2F2F2" w:val="clear"/>
        <w:spacing w:after="0" w:before="0" w:line="240"/>
        <w:ind w:left="200" w:right="200"/>
      </w:pPr>
      <w:r>
        <w:rPr>
          <w:rFonts w:ascii="Courier New" w:cs="Courier New" w:eastAsia="Courier New" w:hAnsi="Courier New"/>
          <w:sz w:val="18"/>
          <w:szCs w:val="18"/>
        </w:rPr>
        <w:t xml:space="preserve">t  = 0</w:t>
      </w:r>
    </w:p>
    <w:p>
      <w:pPr>
        <w:shd w:fill="F2F2F2" w:val="clear"/>
        <w:spacing w:after="0" w:before="0" w:line="240"/>
        <w:ind w:left="200" w:right="200"/>
      </w:pPr>
      <w:r>
        <w:rPr>
          <w:rFonts w:ascii="Courier New" w:cs="Courier New" w:eastAsia="Courier New" w:hAnsi="Courier New"/>
          <w:sz w:val="18"/>
          <w:szCs w:val="18"/>
        </w:rPr>
        <w:t xml:space="preserve">while t &lt; B:</w:t>
      </w:r>
    </w:p>
    <w:p>
      <w:pPr>
        <w:shd w:fill="F2F2F2" w:val="clear"/>
        <w:spacing w:after="0" w:before="0" w:line="240"/>
        <w:ind w:left="200" w:right="200"/>
      </w:pPr>
      <w:r>
        <w:rPr>
          <w:rFonts w:ascii="Courier New" w:cs="Courier New" w:eastAsia="Courier New" w:hAnsi="Courier New"/>
          <w:sz w:val="18"/>
          <w:szCs w:val="18"/>
        </w:rPr>
        <w:t xml:space="preserve">    s = PasoLatente(s)                   # razonamiento en espacio latente</w:t>
      </w:r>
    </w:p>
    <w:p>
      <w:pPr>
        <w:shd w:fill="F2F2F2" w:val="clear"/>
        <w:spacing w:after="0" w:before="0" w:line="240"/>
        <w:ind w:left="200" w:right="200"/>
      </w:pPr>
      <w:r>
        <w:rPr>
          <w:rFonts w:ascii="Courier New" w:cs="Courier New" w:eastAsia="Courier New" w:hAnsi="Courier New"/>
          <w:sz w:val="18"/>
          <w:szCs w:val="18"/>
        </w:rPr>
        <w:t xml:space="preserve">    if Detencion(s) and confianza(s) &gt; tau:</w:t>
      </w:r>
    </w:p>
    <w:p>
      <w:pPr>
        <w:shd w:fill="F2F2F2" w:val="clear"/>
        <w:spacing w:after="0" w:before="0" w:line="240"/>
        <w:ind w:left="200" w:right="200"/>
      </w:pPr>
      <w:r>
        <w:rPr>
          <w:rFonts w:ascii="Courier New" w:cs="Courier New" w:eastAsia="Courier New" w:hAnsi="Courier New"/>
          <w:sz w:val="18"/>
          <w:szCs w:val="18"/>
        </w:rPr>
        <w:t xml:space="preserve">        break</w:t>
      </w:r>
    </w:p>
    <w:p>
      <w:pPr>
        <w:shd w:fill="F2F2F2" w:val="clear"/>
        <w:spacing w:after="0" w:before="0" w:line="240"/>
        <w:ind w:left="200" w:right="200"/>
      </w:pPr>
      <w:r>
        <w:rPr>
          <w:rFonts w:ascii="Courier New" w:cs="Courier New" w:eastAsia="Courier New" w:hAnsi="Courier New"/>
          <w:sz w:val="18"/>
          <w:szCs w:val="18"/>
        </w:rPr>
        <w:t xml:space="preserve">    t += 1</w:t>
      </w:r>
    </w:p>
    <w:p>
      <w:pPr>
        <w:shd w:fill="F2F2F2" w:val="clear"/>
        <w:spacing w:after="0" w:before="0" w:line="240"/>
        <w:ind w:left="200" w:right="200"/>
      </w:pPr>
      <w:r>
        <w:rPr>
          <w:rFonts w:ascii="Courier New" w:cs="Courier New" w:eastAsia="Courier New" w:hAnsi="Courier New"/>
          <w:sz w:val="18"/>
          <w:szCs w:val="18"/>
        </w:rPr>
        <w:t xml:space="preserve">if confianza(s) &lt; tau_min:               # re-escalada de seguridad</w:t>
      </w:r>
    </w:p>
    <w:p>
      <w:pPr>
        <w:shd w:fill="F2F2F2" w:val="clear"/>
        <w:spacing w:after="0" w:before="0" w:line="240"/>
        <w:ind w:left="200" w:right="200"/>
      </w:pPr>
      <w:r>
        <w:rPr>
          <w:rFonts w:ascii="Courier New" w:cs="Courier New" w:eastAsia="Courier New" w:hAnsi="Courier New"/>
          <w:sz w:val="18"/>
          <w:szCs w:val="18"/>
        </w:rPr>
        <w:t xml:space="preserve">    s = extension_acotada(s)</w:t>
      </w:r>
    </w:p>
    <w:p>
      <w:pPr>
        <w:shd w:fill="F2F2F2" w:val="clear"/>
        <w:spacing w:after="140" w:before="0" w:line="240"/>
        <w:ind w:left="200" w:right="200"/>
      </w:pPr>
      <w:r>
        <w:rPr>
          <w:rFonts w:ascii="Courier New" w:cs="Courier New" w:eastAsia="Courier New" w:hAnsi="Courier New"/>
          <w:sz w:val="18"/>
          <w:szCs w:val="18"/>
        </w:rPr>
        <w:t xml:space="preserve">return decodificar(s)</w:t>
      </w:r>
    </w:p>
    <w:p>
      <w:pPr>
        <w:pStyle w:val="Heading2"/>
      </w:pPr>
      <w:r>
        <w:t xml:space="preserve">5.11 Consideraciones y limitaciones</w:t>
      </w:r>
    </w:p>
    <w:p>
      <w:pPr>
        <w:pStyle w:val="ListParagraph"/>
        <w:numPr>
          <w:ilvl w:val="0"/>
          <w:numId w:val="2"/>
        </w:numPr>
        <w:spacing w:after="60" w:line="276"/>
      </w:pPr>
      <w:r>
        <w:rPr>
          <w:b w:val="false"/>
          <w:bCs w:val="false"/>
        </w:rPr>
        <w:t xml:space="preserve"/>
      </w:r>
      <w:r>
        <w:rPr>
          <w:b/>
          <w:bCs/>
        </w:rPr>
        <w:t xml:space="preserve">Con respaldo:</w:t>
      </w:r>
      <w:r>
        <w:rPr>
          <w:b w:val="false"/>
          <w:bCs w:val="false"/>
        </w:rPr>
        <w:t xml:space="preserve"> la asignación adaptativa a la dificultad supera a los presupuestos fijos; la predicción anticipada de presupuesto y el enrutamiento de cómputo están documentados.</w:t>
      </w:r>
    </w:p>
    <w:p>
      <w:pPr>
        <w:pStyle w:val="ListParagraph"/>
        <w:numPr>
          <w:ilvl w:val="0"/>
          <w:numId w:val="2"/>
        </w:numPr>
        <w:spacing w:after="60" w:line="276"/>
      </w:pPr>
      <w:r>
        <w:rPr>
          <w:b w:val="false"/>
          <w:bCs w:val="false"/>
        </w:rPr>
        <w:t xml:space="preserve"/>
      </w:r>
      <w:r>
        <w:rPr>
          <w:b/>
          <w:bCs/>
        </w:rPr>
        <w:t xml:space="preserve">Riesgo principal:</w:t>
      </w:r>
      <w:r>
        <w:rPr>
          <w:b w:val="false"/>
          <w:bCs w:val="false"/>
        </w:rPr>
        <w:t xml:space="preserve"> la subestimación de la dificultad (insuficiencia de razonamiento), mitigada por la re-escalada de seguridad.</w:t>
      </w:r>
    </w:p>
    <w:p>
      <w:pPr>
        <w:pStyle w:val="ListParagraph"/>
        <w:numPr>
          <w:ilvl w:val="0"/>
          <w:numId w:val="2"/>
        </w:numPr>
        <w:spacing w:after="60" w:line="276"/>
      </w:pPr>
      <w:r>
        <w:rPr>
          <w:b w:val="false"/>
          <w:bCs w:val="false"/>
        </w:rPr>
        <w:t xml:space="preserve"/>
      </w:r>
      <w:r>
        <w:rPr>
          <w:b/>
          <w:bCs/>
        </w:rPr>
        <w:t xml:space="preserve">Dependencia de calibración:</w:t>
      </w:r>
      <w:r>
        <w:rPr>
          <w:b w:val="false"/>
          <w:bCs w:val="false"/>
        </w:rPr>
        <w:t xml:space="preserve"> el estimador de dificultad debe calibrarse cuidadosamente debido al patrón de entropía en forma de U; una estimación ingenua basada solo en entropía sería inexacta.</w:t>
      </w:r>
    </w:p>
    <w:p>
      <w:pPr>
        <w:pStyle w:val="Heading1"/>
      </w:pPr>
      <w:r>
        <w:t xml:space="preserve">6. Subsistema 2 — THRIFT (inferencia frugal)</w:t>
      </w:r>
    </w:p>
    <w:p>
      <w:pPr>
        <w:spacing w:after="140" w:line="276"/>
        <w:jc w:val="both"/>
      </w:pPr>
      <w:r>
        <w:rPr>
          <w:b w:val="false"/>
          <w:bCs w:val="false"/>
        </w:rPr>
        <w:t xml:space="preserve"/>
      </w:r>
      <w:r>
        <w:rPr>
          <w:b/>
          <w:bCs/>
        </w:rPr>
        <w:t xml:space="preserve">Definición.</w:t>
      </w:r>
      <w:r>
        <w:rPr>
          <w:b w:val="false"/>
          <w:bCs w:val="false"/>
        </w:rPr>
        <w:t xml:space="preserve"> La capa que reduce el coste computacional de generar cada token. Mientras GEAR reduce el número de pasos de razonamiento, THRIFT reduce el coste por paso. Ambos ejes son ortogonales y componibles.</w:t>
      </w:r>
    </w:p>
    <w:p>
      <w:pPr>
        <w:spacing w:after="140" w:line="276"/>
        <w:jc w:val="both"/>
      </w:pPr>
      <w:r>
        <w:rPr>
          <w:b w:val="false"/>
          <w:bCs w:val="false"/>
        </w:rPr>
        <w:t xml:space="preserve"/>
      </w:r>
      <w:r>
        <w:rPr>
          <w:b/>
          <w:bCs/>
        </w:rPr>
        <w:t xml:space="preserve">Función.</w:t>
      </w:r>
      <w:r>
        <w:rPr>
          <w:b w:val="false"/>
          <w:bCs w:val="false"/>
        </w:rPr>
        <w:t xml:space="preserve"> Hacer que Kairo sea efectivamente rápido y económico de ejecutar en hardware modesto, condición necesaria para su papel de modelo de uso cotidiano.</w:t>
      </w:r>
    </w:p>
    <w:p>
      <w:pPr>
        <w:pStyle w:val="Heading2"/>
      </w:pPr>
      <w:r>
        <w:t xml:space="preserve">6.1 Decodificación especulativa</w:t>
      </w:r>
    </w:p>
    <w:p>
      <w:pPr>
        <w:spacing w:after="140" w:line="276"/>
        <w:jc w:val="both"/>
      </w:pPr>
      <w:r>
        <w:rPr>
          <w:b w:val="false"/>
          <w:bCs w:val="false"/>
        </w:rPr>
        <w:t xml:space="preserve">Un modelo borrador de pequeño tamaño (o el propio modelo en modo auto-especulativo) propone varios tokens por adelantado, y el modelo principal los valida en una única pasada. Los tokens propuestos que coinciden con la distribución del modelo principal se aceptan; el primero que no coincide marca el punto de corrección. El resultado es una aceleración de la generación sin alteración de la distribución de salida: las respuestas son idénticas a las de la decodificación estándar.</w:t>
      </w:r>
    </w:p>
    <w:p>
      <w:pPr>
        <w:shd w:fill="F2F2F2" w:val="clear"/>
        <w:spacing w:after="0" w:before="120" w:line="240"/>
        <w:ind w:left="200" w:right="200"/>
      </w:pPr>
      <w:r>
        <w:rPr>
          <w:rFonts w:ascii="Courier New" w:cs="Courier New" w:eastAsia="Courier New" w:hAnsi="Courier New"/>
          <w:sz w:val="18"/>
          <w:szCs w:val="18"/>
        </w:rPr>
        <w:t xml:space="preserve">el borrador propone k tokens -&gt; el modelo principal verifica en 1 pasada</w:t>
      </w:r>
    </w:p>
    <w:p>
      <w:pPr>
        <w:shd w:fill="F2F2F2" w:val="clear"/>
        <w:spacing w:after="140" w:before="0" w:line="240"/>
        <w:ind w:left="200" w:right="200"/>
      </w:pPr>
      <w:r>
        <w:rPr>
          <w:rFonts w:ascii="Courier New" w:cs="Courier New" w:eastAsia="Courier New" w:hAnsi="Courier New"/>
          <w:sz w:val="18"/>
          <w:szCs w:val="18"/>
        </w:rPr>
        <w:t xml:space="preserve">aceleracion ~ a   (a = longitud media de tokens aceptados por verificacion)</w:t>
      </w:r>
    </w:p>
    <w:p>
      <w:pPr>
        <w:spacing w:after="140" w:line="276"/>
        <w:jc w:val="both"/>
      </w:pPr>
      <w:r>
        <w:rPr>
          <w:b w:val="false"/>
          <w:bCs w:val="false"/>
        </w:rPr>
        <w:t xml:space="preserve">Si la longitud media de aceptación es de a tokens por pasada de verificación, la generación se acelera aproximadamente en un factor a, sin coste de calidad. Un borrador débil reduce a y, con ello, la aceleración.</w:t>
      </w:r>
    </w:p>
    <w:p>
      <w:pPr>
        <w:pStyle w:val="Heading2"/>
      </w:pPr>
      <w:r>
        <w:t xml:space="preserve">6.2 Compresión de la caché clave/valor</w:t>
      </w:r>
    </w:p>
    <w:p>
      <w:pPr>
        <w:spacing w:after="140" w:line="276"/>
        <w:jc w:val="both"/>
      </w:pPr>
      <w:r>
        <w:rPr>
          <w:b w:val="false"/>
          <w:bCs w:val="false"/>
        </w:rPr>
        <w:t xml:space="preserve">Durante la generación, el modelo mantiene una caché de los vectores de clave y valor de todos los tokens previos. Su tamaño crece linealmente con la longitud de la secuencia y constituye un consumo de memoria dominante en contextos largos:</w:t>
      </w:r>
    </w:p>
    <w:p>
      <w:pPr>
        <w:shd w:fill="F2F2F2" w:val="clear"/>
        <w:spacing w:after="0" w:before="120" w:line="240"/>
        <w:ind w:left="200" w:right="200"/>
      </w:pPr>
      <w:r>
        <w:rPr>
          <w:rFonts w:ascii="Courier New" w:cs="Courier New" w:eastAsia="Courier New" w:hAnsi="Courier New"/>
          <w:sz w:val="18"/>
          <w:szCs w:val="18"/>
        </w:rPr>
        <w:t xml:space="preserve">memoria_cache  ~  2 · L · n_kv · d_head · longitud · bytes</w:t>
      </w:r>
    </w:p>
    <w:p>
      <w:pPr>
        <w:shd w:fill="F2F2F2" w:val="clear"/>
        <w:spacing w:after="140" w:before="0" w:line="240"/>
        <w:ind w:left="200" w:right="200"/>
      </w:pPr>
      <w:r>
        <w:rPr>
          <w:rFonts w:ascii="Courier New" w:cs="Courier New" w:eastAsia="Courier New" w:hAnsi="Courier New"/>
          <w:sz w:val="18"/>
          <w:szCs w:val="18"/>
        </w:rPr>
        <w:t xml:space="preserve">(L=28 capas, n_kv=2 cabezas KV, d_head=128)</w:t>
      </w:r>
    </w:p>
    <w:p>
      <w:pPr>
        <w:spacing w:after="140" w:line="276"/>
        <w:jc w:val="both"/>
      </w:pPr>
      <w:r>
        <w:rPr>
          <w:b w:val="false"/>
          <w:bCs w:val="false"/>
        </w:rPr>
        <w:t xml:space="preserve">A modo de referencia, para una secuencia de 4096 tokens la caché contiene del orden de 2 × 28 × 2 × 128 × 4096 valores; en precisión de 16 bits equivalen a unos 117 MB, reducibles de forma sustancial mediante cuantización a 8 o 4 bits. THRIFT reduce este consumo mediante cuantización de la caché (almacenamiento de clave/valor en menor precisión) y atención por ventana o dispersa (limitación del número de tokens atendidos).</w:t>
      </w:r>
    </w:p>
    <w:p>
      <w:pPr>
        <w:pStyle w:val="Heading2"/>
      </w:pPr>
      <w:r>
        <w:t xml:space="preserve">6.3 Salida temprana</w:t>
      </w:r>
    </w:p>
    <w:p>
      <w:pPr>
        <w:spacing w:after="140" w:line="276"/>
        <w:jc w:val="both"/>
      </w:pPr>
      <w:r>
        <w:rPr>
          <w:b w:val="false"/>
          <w:bCs w:val="false"/>
        </w:rPr>
        <w:t xml:space="preserve">No todos los tokens requieren el procesamiento de las 28 capas. La salida temprana (early-exit) permite emitir un token cuando la confianza alcanza un umbral en una capa intermedia:</w:t>
      </w:r>
    </w:p>
    <w:p>
      <w:pPr>
        <w:shd w:fill="F2F2F2" w:val="clear"/>
        <w:spacing w:after="140" w:before="120" w:line="240"/>
        <w:ind w:left="200" w:right="200"/>
      </w:pPr>
      <w:r>
        <w:rPr>
          <w:rFonts w:ascii="Courier New" w:cs="Courier New" w:eastAsia="Courier New" w:hAnsi="Courier New"/>
          <w:sz w:val="18"/>
          <w:szCs w:val="18"/>
        </w:rPr>
        <w:t xml:space="preserve">en la capa l, si confianza_l &gt; lambda_l:  emitir token y omitir capas restantes</w:t>
      </w:r>
    </w:p>
    <w:p>
      <w:pPr>
        <w:spacing w:after="140" w:line="276"/>
        <w:jc w:val="both"/>
      </w:pPr>
      <w:r>
        <w:rPr>
          <w:b w:val="false"/>
          <w:bCs w:val="false"/>
        </w:rPr>
        <w:t xml:space="preserve">Los tokens de baja dificultad (continuaciones predecibles) se resuelven en capas tempranas, reservando la profundidad completa para los tokens difíciles. Los umbrales por capa se calibran para garantizar que la salida temprana no altera la predicción respecto del procesamiento completo más allá de una tolerancia establecida; los métodos de modelado adaptativo confiado (confident adaptive language modeling) proporcionan el marco para esta calibración. Este mecanismo compone de forma natural con GEAR: GEAR adapta la profundidad del proceso de razonamiento; la salida temprana adapta la profundidad de procesamiento por token.</w:t>
      </w:r>
    </w:p>
    <w:p>
      <w:pPr>
        <w:pStyle w:val="Heading2"/>
      </w:pPr>
      <w:r>
        <w:t xml:space="preserve">6.4 Cuantización para despliegue</w:t>
      </w:r>
    </w:p>
    <w:p>
      <w:pPr>
        <w:spacing w:after="140" w:line="276"/>
        <w:jc w:val="both"/>
      </w:pPr>
      <w:r>
        <w:rPr>
          <w:b w:val="false"/>
          <w:bCs w:val="false"/>
        </w:rPr>
        <w:t xml:space="preserve">Para la ejecución en hardware modesto, los pesos del modelo se cuantizan (por ejemplo, a 4 bits), reduciendo la huella de memoria con una pérdida de calidad acotada. El ajuste fino mediante QLoRA es compatible con esta representación, lo que alinea entrenamiento y despliegue.</w:t>
      </w:r>
    </w:p>
    <w:p>
      <w:pPr>
        <w:pStyle w:val="Heading2"/>
      </w:pPr>
      <w:r>
        <w:t xml:space="preserve">6.5 Composición de THRIFT con GEAR</w:t>
      </w:r>
    </w:p>
    <w:p>
      <w:pPr>
        <w:spacing w:after="140" w:line="276"/>
        <w:jc w:val="both"/>
      </w:pPr>
      <w:r>
        <w:rPr>
          <w:b w:val="false"/>
          <w:bCs w:val="false"/>
        </w:rPr>
        <w:t xml:space="preserve">GEAR y THRIFT actúan sobre dimensiones distintas del coste. La reducción del número de pasos (GEAR) y la reducción del coste por paso (THRIFT) son independientes, por lo que sus reducciones se multiplican. Esta composición es la fuente principal de la eficiencia de Kairo.</w:t>
      </w:r>
    </w:p>
    <w:p>
      <w:pPr>
        <w:spacing w:after="140" w:line="276"/>
        <w:jc w:val="both"/>
      </w:pPr>
      <w:r>
        <w:rPr>
          <w:b w:val="false"/>
          <w:bCs w:val="false"/>
        </w:rPr>
        <w:t xml:space="preserve">A modo de ilustración: si GEAR reduce el razonamiento de 800 a 200 pasos (factor 4) y THRIFT acelera la generación por token en un factor 2, el coste total se reduce aproximadamente en un factor 8. Los dos ejes se componen multiplicativamente.</w:t>
      </w:r>
    </w:p>
    <w:p>
      <w:pPr>
        <w:spacing w:after="140" w:line="276"/>
        <w:jc w:val="both"/>
      </w:pPr>
      <w:r>
        <w:rPr>
          <w:b w:val="false"/>
          <w:bCs w:val="false"/>
        </w:rPr>
        <w:t xml:space="preserve">La tabla siguiente resume las técnicas de THRIFT, lo que reduce cada una y su principal compromiso.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113"/>
        <w:gridCol w:w="3113"/>
      </w:tblGrid>
      <w:tr>
        <w:trPr>
          <w:tblHeader/>
        </w:trPr>
        <w:tc>
          <w:tcPr>
            <w:tcW w:type="dxa" w:w="28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Técnica</w:t>
            </w:r>
          </w:p>
        </w:tc>
        <w:tc>
          <w:tcPr>
            <w:tcW w:type="dxa" w:w="31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Qué reduce</w:t>
            </w:r>
          </w:p>
        </w:tc>
        <w:tc>
          <w:tcPr>
            <w:tcW w:type="dxa" w:w="31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Compromiso principal</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Decodificación especulativa</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Latencia de generación</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Depende de la calidad del borrador</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Compresión de caché KV</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Memoria por token (contexto largo)</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Coherencia en contextos muy largos</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Salida temprana</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Cómputo por token (capas)</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Calidad si el umbral es agresivo</w:t>
            </w:r>
          </w:p>
        </w:tc>
      </w:tr>
      <w:tr>
        <w:tc>
          <w:tcPr>
            <w:tcW w:type="dxa" w:w="28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Cuantización de pesos</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Memoria del modelo</w:t>
            </w:r>
          </w:p>
        </w:tc>
        <w:tc>
          <w:tcPr>
            <w:tcW w:type="dxa" w:w="31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Pérdida de calidad acotada</w:t>
            </w:r>
          </w:p>
        </w:tc>
      </w:tr>
    </w:tbl>
    <w:p>
      <w:pPr>
        <w:spacing w:after="120"/>
      </w:pPr>
      <w:r>
        <w:t xml:space="preserve"/>
      </w:r>
    </w:p>
    <w:p>
      <w:pPr>
        <w:pStyle w:val="Heading2"/>
      </w:pPr>
      <w:r>
        <w:t xml:space="preserve">6.6 Consideraciones y limitaciones</w:t>
      </w:r>
    </w:p>
    <w:p>
      <w:pPr>
        <w:pStyle w:val="ListParagraph"/>
        <w:numPr>
          <w:ilvl w:val="0"/>
          <w:numId w:val="2"/>
        </w:numPr>
        <w:spacing w:after="60" w:line="276"/>
      </w:pPr>
      <w:r>
        <w:rPr>
          <w:b w:val="false"/>
          <w:bCs w:val="false"/>
        </w:rPr>
        <w:t xml:space="preserve"/>
      </w:r>
      <w:r>
        <w:rPr>
          <w:b/>
          <w:bCs/>
        </w:rPr>
        <w:t xml:space="preserve">Con respaldo:</w:t>
      </w:r>
      <w:r>
        <w:rPr>
          <w:b w:val="false"/>
          <w:bCs w:val="false"/>
        </w:rPr>
        <w:t xml:space="preserve"> la decodificación especulativa y la salida temprana son técnicas establecidas de inferencia eficiente.</w:t>
      </w:r>
    </w:p>
    <w:p>
      <w:pPr>
        <w:pStyle w:val="ListParagraph"/>
        <w:numPr>
          <w:ilvl w:val="0"/>
          <w:numId w:val="2"/>
        </w:numPr>
        <w:spacing w:after="60" w:line="276"/>
      </w:pPr>
      <w:r>
        <w:rPr>
          <w:b w:val="false"/>
          <w:bCs w:val="false"/>
        </w:rPr>
        <w:t xml:space="preserve"/>
      </w:r>
      <w:r>
        <w:rPr>
          <w:b/>
          <w:bCs/>
        </w:rPr>
        <w:t xml:space="preserve">Decodificación especulativa:</w:t>
      </w:r>
      <w:r>
        <w:rPr>
          <w:b w:val="false"/>
          <w:bCs w:val="false"/>
        </w:rPr>
        <w:t xml:space="preserve"> la ganancia depende de la calidad del borrador; un borrador débil reduce la longitud de aceptación y, con ella, la aceleración.</w:t>
      </w:r>
    </w:p>
    <w:p>
      <w:pPr>
        <w:pStyle w:val="ListParagraph"/>
        <w:numPr>
          <w:ilvl w:val="0"/>
          <w:numId w:val="2"/>
        </w:numPr>
        <w:spacing w:after="60" w:line="276"/>
      </w:pPr>
      <w:r>
        <w:rPr>
          <w:b w:val="false"/>
          <w:bCs w:val="false"/>
        </w:rPr>
        <w:t xml:space="preserve"/>
      </w:r>
      <w:r>
        <w:rPr>
          <w:b/>
          <w:bCs/>
        </w:rPr>
        <w:t xml:space="preserve">Salida temprana:</w:t>
      </w:r>
      <w:r>
        <w:rPr>
          <w:b w:val="false"/>
          <w:bCs w:val="false"/>
        </w:rPr>
        <w:t xml:space="preserve"> un umbral demasiado agresivo puede degradar la calidad en tokens aparentemente fáciles pero críticos.</w:t>
      </w:r>
    </w:p>
    <w:p>
      <w:pPr>
        <w:pStyle w:val="ListParagraph"/>
        <w:numPr>
          <w:ilvl w:val="0"/>
          <w:numId w:val="2"/>
        </w:numPr>
        <w:spacing w:after="60" w:line="276"/>
      </w:pPr>
      <w:r>
        <w:rPr>
          <w:b w:val="false"/>
          <w:bCs w:val="false"/>
        </w:rPr>
        <w:t xml:space="preserve"/>
      </w:r>
      <w:r>
        <w:rPr>
          <w:b/>
          <w:bCs/>
        </w:rPr>
        <w:t xml:space="preserve">Compresión de caché:</w:t>
      </w:r>
      <w:r>
        <w:rPr>
          <w:b w:val="false"/>
          <w:bCs w:val="false"/>
        </w:rPr>
        <w:t xml:space="preserve"> la cuantización agresiva de la caché puede afectar a la coherencia en contextos muy largos; requiere calibración.</w:t>
      </w:r>
    </w:p>
    <w:p>
      <w:pPr>
        <w:pStyle w:val="Heading1"/>
      </w:pPr>
      <w:r>
        <w:t xml:space="preserve">7. Entrenamiento por destilación</w:t>
      </w:r>
    </w:p>
    <w:p>
      <w:pPr>
        <w:spacing w:after="140" w:line="276"/>
        <w:jc w:val="both"/>
      </w:pPr>
      <w:r>
        <w:rPr>
          <w:b w:val="false"/>
          <w:bCs w:val="false"/>
        </w:rPr>
        <w:t xml:space="preserve">El entrenamiento de Kairo es, en esencia, una destilación desde Nova, ajustada para la eficiencia. Nova actúa como modelo maestro y Kairo como modelo alumno. El método de entrenamiento (protocolo FORGE) se comparte con Nova; lo que difiere es el origen de los datos y el signo de la función de recompensa.</w:t>
      </w:r>
    </w:p>
    <w:p>
      <w:pPr>
        <w:pStyle w:val="Heading2"/>
      </w:pPr>
      <w:r>
        <w:t xml:space="preserve">7.1 Dependencia de Nova</w:t>
      </w:r>
    </w:p>
    <w:p>
      <w:pPr>
        <w:spacing w:after="140" w:line="276"/>
        <w:jc w:val="both"/>
      </w:pPr>
      <w:r>
        <w:rPr>
          <w:b w:val="false"/>
          <w:bCs w:val="false"/>
        </w:rPr>
        <w:t xml:space="preserve">Kairo depende de la existencia de un Nova al menos parcialmente funcional, dado que Nova genera los datos de entrenamiento. La secuenciación del proyecto es, por tanto: medición de la base, construcción del prototipo de Nova y, una vez Nova produce trazas verificadas, inicio de la destilación de Kairo. Entretanto, los módulos de GEAR y THRIFT pueden implementarse y probarse de forma aislada sobre el modelo base.</w:t>
      </w:r>
    </w:p>
    <w:p>
      <w:pPr>
        <w:pStyle w:val="Heading2"/>
      </w:pPr>
      <w:r>
        <w:t xml:space="preserve">7.2 Generación de datos: trazas verificadas y calibradas</w:t>
      </w:r>
    </w:p>
    <w:p>
      <w:pPr>
        <w:spacing w:after="140" w:line="276"/>
        <w:jc w:val="both"/>
      </w:pPr>
      <w:r>
        <w:rPr>
          <w:b w:val="false"/>
          <w:bCs w:val="false"/>
        </w:rPr>
        <w:t xml:space="preserve">Nova resuelve un conjunto amplio de problemas; el subsistema de verificación de Nova (VERITAS) filtra los resultados y solo se retienen las trazas verificadas como correctas. De forma determinante, las trazas se calibran en longitud según la dificultad: razonamiento conciso para problemas fáciles y medios, y razonamiento extenso y detallado para problemas difíciles. El conjunto resultante se divide en un subconjunto de trazas cortas y otro de trazas largas, y el modelo alumno se entrena sobre ambos. Este procedimiento enseña a Kairo a producir razonamiento adaptado a la dificultad, sin necesidad de etiquetado humano.</w:t>
      </w:r>
    </w:p>
    <w:p>
      <w:pPr>
        <w:pStyle w:val="Heading2"/>
      </w:pPr>
      <w:r>
        <w:t xml:space="preserve">7.3 Pipeline de generación de datos</w:t>
      </w:r>
    </w:p>
    <w:p>
      <w:pPr>
        <w:spacing w:after="140" w:line="276"/>
        <w:jc w:val="both"/>
      </w:pPr>
      <w:r>
        <w:rPr>
          <w:b w:val="false"/>
          <w:bCs w:val="false"/>
        </w:rPr>
        <w:t xml:space="preserve">La construcción del conjunto de destilación sigue un proceso controlado:</w:t>
      </w:r>
    </w:p>
    <w:p>
      <w:pPr>
        <w:pStyle w:val="ListParagraph"/>
        <w:numPr>
          <w:ilvl w:val="0"/>
          <w:numId w:val="3"/>
        </w:numPr>
        <w:spacing w:after="60" w:line="276"/>
      </w:pPr>
      <w:r>
        <w:rPr>
          <w:b w:val="false"/>
          <w:bCs w:val="false"/>
        </w:rPr>
        <w:t xml:space="preserve"/>
      </w:r>
      <w:r>
        <w:rPr>
          <w:b/>
          <w:bCs/>
        </w:rPr>
        <w:t xml:space="preserve">Selección de problemas:</w:t>
      </w:r>
      <w:r>
        <w:rPr>
          <w:b w:val="false"/>
          <w:bCs w:val="false"/>
        </w:rPr>
        <w:t xml:space="preserve"> un repertorio amplio de dominios diversos (matemáticas, lógica, código, conocimiento y razonamiento general), graduado por dificultad.</w:t>
      </w:r>
    </w:p>
    <w:p>
      <w:pPr>
        <w:pStyle w:val="ListParagraph"/>
        <w:numPr>
          <w:ilvl w:val="0"/>
          <w:numId w:val="3"/>
        </w:numPr>
        <w:spacing w:after="60" w:line="276"/>
      </w:pPr>
      <w:r>
        <w:rPr>
          <w:b w:val="false"/>
          <w:bCs w:val="false"/>
        </w:rPr>
        <w:t xml:space="preserve"/>
      </w:r>
      <w:r>
        <w:rPr>
          <w:b/>
          <w:bCs/>
        </w:rPr>
        <w:t xml:space="preserve">Resolución por Nova:</w:t>
      </w:r>
      <w:r>
        <w:rPr>
          <w:b w:val="false"/>
          <w:bCs w:val="false"/>
        </w:rPr>
        <w:t xml:space="preserve"> Nova resuelve cada problema; VERITAS verifica, y solo se retienen las trazas verificadas como correctas.</w:t>
      </w:r>
    </w:p>
    <w:p>
      <w:pPr>
        <w:pStyle w:val="ListParagraph"/>
        <w:numPr>
          <w:ilvl w:val="0"/>
          <w:numId w:val="3"/>
        </w:numPr>
        <w:spacing w:after="60" w:line="276"/>
      </w:pPr>
      <w:r>
        <w:rPr>
          <w:b w:val="false"/>
          <w:bCs w:val="false"/>
        </w:rPr>
        <w:t xml:space="preserve"/>
      </w:r>
      <w:r>
        <w:rPr>
          <w:b/>
          <w:bCs/>
        </w:rPr>
        <w:t xml:space="preserve">Calibración de longitud:</w:t>
      </w:r>
      <w:r>
        <w:rPr>
          <w:b w:val="false"/>
          <w:bCs w:val="false"/>
        </w:rPr>
        <w:t xml:space="preserve"> se generan trazas concisas para los problemas fáciles y medios, y trazas extensas para los difíciles.</w:t>
      </w:r>
    </w:p>
    <w:p>
      <w:pPr>
        <w:pStyle w:val="ListParagraph"/>
        <w:numPr>
          <w:ilvl w:val="0"/>
          <w:numId w:val="3"/>
        </w:numPr>
        <w:spacing w:after="60" w:line="276"/>
      </w:pPr>
      <w:r>
        <w:rPr>
          <w:b w:val="false"/>
          <w:bCs w:val="false"/>
        </w:rPr>
        <w:t xml:space="preserve"/>
      </w:r>
      <w:r>
        <w:rPr>
          <w:b/>
          <w:bCs/>
        </w:rPr>
        <w:t xml:space="preserve">Deduplicación y filtrado de calidad:</w:t>
      </w:r>
      <w:r>
        <w:rPr>
          <w:b w:val="false"/>
          <w:bCs w:val="false"/>
        </w:rPr>
        <w:t xml:space="preserve"> se eliminan trazas redundantes, degeneradas o con bucles de razonamiento.</w:t>
      </w:r>
    </w:p>
    <w:p>
      <w:pPr>
        <w:pStyle w:val="ListParagraph"/>
        <w:numPr>
          <w:ilvl w:val="0"/>
          <w:numId w:val="3"/>
        </w:numPr>
        <w:spacing w:after="60" w:line="276"/>
      </w:pPr>
      <w:r>
        <w:rPr>
          <w:b w:val="false"/>
          <w:bCs w:val="false"/>
        </w:rPr>
        <w:t xml:space="preserve"/>
      </w:r>
      <w:r>
        <w:rPr>
          <w:b/>
          <w:bCs/>
        </w:rPr>
        <w:t xml:space="preserve">Equilibrado:</w:t>
      </w:r>
      <w:r>
        <w:rPr>
          <w:b w:val="false"/>
          <w:bCs w:val="false"/>
        </w:rPr>
        <w:t xml:space="preserve"> se ajusta la proporción entre trazas cortas y largas para evitar el sesgo hacia un único régimen de esfuerzo.</w:t>
      </w:r>
    </w:p>
    <w:p>
      <w:pPr>
        <w:pStyle w:val="ListParagraph"/>
        <w:numPr>
          <w:ilvl w:val="0"/>
          <w:numId w:val="3"/>
        </w:numPr>
        <w:spacing w:after="60" w:line="276"/>
      </w:pPr>
      <w:r>
        <w:rPr>
          <w:b w:val="false"/>
          <w:bCs w:val="false"/>
        </w:rPr>
        <w:t xml:space="preserve"/>
      </w:r>
      <w:r>
        <w:rPr>
          <w:b/>
          <w:bCs/>
        </w:rPr>
        <w:t xml:space="preserve">Versionado:</w:t>
      </w:r>
      <w:r>
        <w:rPr>
          <w:b w:val="false"/>
          <w:bCs w:val="false"/>
        </w:rPr>
        <w:t xml:space="preserve"> el conjunto final se versiona para garantizar la reproducibilidad.</w:t>
      </w:r>
    </w:p>
    <w:p>
      <w:pPr>
        <w:pStyle w:val="Heading2"/>
      </w:pPr>
      <w:r>
        <w:t xml:space="preserve">7.4 Etapas de entrenamiento</w:t>
      </w:r>
    </w:p>
    <w:p>
      <w:pPr>
        <w:pStyle w:val="ListParagraph"/>
        <w:numPr>
          <w:ilvl w:val="0"/>
          <w:numId w:val="4"/>
        </w:numPr>
        <w:spacing w:after="60" w:line="276"/>
      </w:pPr>
      <w:r>
        <w:rPr>
          <w:b w:val="false"/>
          <w:bCs w:val="false"/>
        </w:rPr>
        <w:t xml:space="preserve"/>
      </w:r>
      <w:r>
        <w:rPr>
          <w:b/>
          <w:bCs/>
        </w:rPr>
        <w:t xml:space="preserve">Etapa 0 — Base y medición:</w:t>
      </w:r>
      <w:r>
        <w:rPr>
          <w:b w:val="false"/>
          <w:bCs w:val="false"/>
        </w:rPr>
        <w:t xml:space="preserve"> carga del modelo base y medición de la referencia en los benchmarks.</w:t>
      </w:r>
    </w:p>
    <w:p>
      <w:pPr>
        <w:pStyle w:val="ListParagraph"/>
        <w:numPr>
          <w:ilvl w:val="0"/>
          <w:numId w:val="4"/>
        </w:numPr>
        <w:spacing w:after="60" w:line="276"/>
      </w:pPr>
      <w:r>
        <w:rPr>
          <w:b w:val="false"/>
          <w:bCs w:val="false"/>
        </w:rPr>
        <w:t xml:space="preserve"/>
      </w:r>
      <w:r>
        <w:rPr>
          <w:b/>
          <w:bCs/>
        </w:rPr>
        <w:t xml:space="preserve">Etapa 1 — Injerto de GEAR y THRIFT en identidad:</w:t>
      </w:r>
      <w:r>
        <w:rPr>
          <w:b w:val="false"/>
          <w:bCs w:val="false"/>
        </w:rPr>
        <w:t xml:space="preserve"> incorporación de los módulos con las defensas anti-degradación heredadas de FORGE (inicialización en identidad, congelación más LoRA, control de norma espectral del operador latente, anclaje por divergencia KL).</w:t>
      </w:r>
    </w:p>
    <w:p>
      <w:pPr>
        <w:pStyle w:val="ListParagraph"/>
        <w:numPr>
          <w:ilvl w:val="0"/>
          <w:numId w:val="4"/>
        </w:numPr>
        <w:spacing w:after="60" w:line="276"/>
      </w:pPr>
      <w:r>
        <w:rPr>
          <w:b w:val="false"/>
          <w:bCs w:val="false"/>
        </w:rPr>
        <w:t xml:space="preserve"/>
      </w:r>
      <w:r>
        <w:rPr>
          <w:b/>
          <w:bCs/>
        </w:rPr>
        <w:t xml:space="preserve">Etapa 2 — SFT por destilación:</w:t>
      </w:r>
      <w:r>
        <w:rPr>
          <w:b w:val="false"/>
          <w:bCs w:val="false"/>
        </w:rPr>
        <w:t xml:space="preserve"> entrenamiento supervisado sobre las trazas verificadas y calibradas; en esta etapa se entrena también el predictor de presupuesto, que aprende a inferir la dificultad y el presupuesto a partir de las etiquetas de longitud de los datos.</w:t>
      </w:r>
    </w:p>
    <w:p>
      <w:pPr>
        <w:pStyle w:val="ListParagraph"/>
        <w:numPr>
          <w:ilvl w:val="0"/>
          <w:numId w:val="4"/>
        </w:numPr>
        <w:spacing w:after="60" w:line="276"/>
      </w:pPr>
      <w:r>
        <w:rPr>
          <w:b w:val="false"/>
          <w:bCs w:val="false"/>
        </w:rPr>
        <w:t xml:space="preserve"/>
      </w:r>
      <w:r>
        <w:rPr>
          <w:b/>
          <w:bCs/>
        </w:rPr>
        <w:t xml:space="preserve">Etapa 3 — RL de eficiencia:</w:t>
      </w:r>
      <w:r>
        <w:rPr>
          <w:b w:val="false"/>
          <w:bCs w:val="false"/>
        </w:rPr>
        <w:t xml:space="preserve"> ajuste por refuerzo con una función de recompensa de coste elevado, que premia la corrección y penaliza con fuerza los tokens excedentes, afinando la compuerta para gastar el mínimo compatible con la corrección.</w:t>
      </w:r>
    </w:p>
    <w:p>
      <w:pPr>
        <w:pStyle w:val="ListParagraph"/>
        <w:numPr>
          <w:ilvl w:val="0"/>
          <w:numId w:val="4"/>
        </w:numPr>
        <w:spacing w:after="60" w:line="276"/>
      </w:pPr>
      <w:r>
        <w:rPr>
          <w:b w:val="false"/>
          <w:bCs w:val="false"/>
        </w:rPr>
        <w:t xml:space="preserve"/>
      </w:r>
      <w:r>
        <w:rPr>
          <w:b/>
          <w:bCs/>
        </w:rPr>
        <w:t xml:space="preserve">Etapa 4 — Calibración de THRIFT:</w:t>
      </w:r>
      <w:r>
        <w:rPr>
          <w:b w:val="false"/>
          <w:bCs w:val="false"/>
        </w:rPr>
        <w:t xml:space="preserve"> ajuste de los umbrales de salida temprana, del modelo borrador para la decodificación especulativa y de la compresión de la caché, con medición de la relación velocidad-calidad.</w:t>
      </w:r>
    </w:p>
    <w:p>
      <w:pPr>
        <w:pStyle w:val="ListParagraph"/>
        <w:numPr>
          <w:ilvl w:val="0"/>
          <w:numId w:val="4"/>
        </w:numPr>
        <w:spacing w:after="60" w:line="276"/>
      </w:pPr>
      <w:r>
        <w:rPr>
          <w:b w:val="false"/>
          <w:bCs w:val="false"/>
        </w:rPr>
        <w:t xml:space="preserve"/>
      </w:r>
      <w:r>
        <w:rPr>
          <w:b/>
          <w:bCs/>
        </w:rPr>
        <w:t xml:space="preserve">Etapa 5 — Evaluación en la frontera de Pareto:</w:t>
      </w:r>
      <w:r>
        <w:rPr>
          <w:b w:val="false"/>
          <w:bCs w:val="false"/>
        </w:rPr>
        <w:t xml:space="preserve"> medición de la calidad por unidad de coste frente al base y frente a Nova.</w:t>
      </w:r>
    </w:p>
    <w:p>
      <w:pPr>
        <w:pStyle w:val="Heading2"/>
      </w:pPr>
      <w:r>
        <w:t xml:space="preserve">7.5 Función de recompensa orientada a la eficiencia</w:t>
      </w:r>
    </w:p>
    <w:p>
      <w:pPr>
        <w:spacing w:after="140" w:line="276"/>
        <w:jc w:val="both"/>
      </w:pPr>
      <w:r>
        <w:rPr>
          <w:b w:val="false"/>
          <w:bCs w:val="false"/>
        </w:rPr>
        <w:t xml:space="preserve">La función de recompensa de Kairo invierte el peso del coste respecto de la de Nova:</w:t>
      </w:r>
    </w:p>
    <w:p>
      <w:pPr>
        <w:shd w:fill="F2F2F2" w:val="clear"/>
        <w:spacing w:after="0" w:before="120" w:line="240"/>
        <w:ind w:left="200" w:right="200"/>
      </w:pPr>
      <w:r>
        <w:rPr>
          <w:rFonts w:ascii="Courier New" w:cs="Courier New" w:eastAsia="Courier New" w:hAnsi="Courier New"/>
          <w:sz w:val="18"/>
          <w:szCs w:val="18"/>
        </w:rPr>
        <w:t xml:space="preserve">R = w1·(correccion verificada)</w:t>
      </w:r>
    </w:p>
    <w:p>
      <w:pPr>
        <w:shd w:fill="F2F2F2" w:val="clear"/>
        <w:spacing w:after="0" w:before="0" w:line="240"/>
        <w:ind w:left="200" w:right="200"/>
      </w:pPr>
      <w:r>
        <w:rPr>
          <w:rFonts w:ascii="Courier New" w:cs="Courier New" w:eastAsia="Courier New" w:hAnsi="Courier New"/>
          <w:sz w:val="18"/>
          <w:szCs w:val="18"/>
        </w:rPr>
        <w:t xml:space="preserve">  - gamma·(tokens generados)        # gamma ELEVADO (en Nova es minimo)</w:t>
      </w:r>
    </w:p>
    <w:p>
      <w:pPr>
        <w:shd w:fill="F2F2F2" w:val="clear"/>
        <w:spacing w:after="140" w:before="0" w:line="240"/>
        <w:ind w:left="200" w:right="200"/>
      </w:pPr>
      <w:r>
        <w:rPr>
          <w:rFonts w:ascii="Courier New" w:cs="Courier New" w:eastAsia="Courier New" w:hAnsi="Courier New"/>
          <w:sz w:val="18"/>
          <w:szCs w:val="18"/>
        </w:rPr>
        <w:t xml:space="preserve">  + w2·(adhesion al presupuesto)    # premia ceñirse al presupuesto predicho</w:t>
      </w:r>
    </w:p>
    <w:p>
      <w:pPr>
        <w:spacing w:after="140" w:line="276"/>
        <w:jc w:val="both"/>
      </w:pPr>
      <w:r>
        <w:rPr>
          <w:b w:val="false"/>
          <w:bCs w:val="false"/>
        </w:rPr>
        <w:t xml:space="preserve">Se emplea GRPO (Group Relative Policy Optimization), que compara varios intentos del mismo problema y refuerza los más eficientes entre los correctos.</w:t>
      </w:r>
    </w:p>
    <w:p>
      <w:pPr>
        <w:pStyle w:val="Heading2"/>
      </w:pPr>
      <w:r>
        <w:t xml:space="preserve">7.6 Configuración de referencia (indicativa)</w:t>
      </w:r>
    </w:p>
    <w:p>
      <w:pPr>
        <w:spacing w:after="140" w:line="276"/>
        <w:jc w:val="both"/>
      </w:pPr>
      <w:r>
        <w:rPr>
          <w:b w:val="false"/>
          <w:bCs w:val="false"/>
        </w:rPr>
        <w:t xml:space="preserve">Los valores siguientes son indicativos, a efectos de planificación; se fijarán experimentalmente durante el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Parámetro</w:t>
            </w:r>
          </w:p>
        </w:tc>
        <w:tc>
          <w:tcPr>
            <w:tcW w:type="dxa" w:w="45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Valor indicativo</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Modelo base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DeepSeek-R1-Distill-Qwen-1.5B</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Método de ajuste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LoRA / QLoRA (4 bits)</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Rango LoRA (r)</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16–64 (a determinar empíricamente)</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Módulos entrenados</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GEAR (compuerta, predictor, detención) y THRIFT (umbrales, borrador)</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Tasa de aprendizaje</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del orden de 1e-4 a 1e-5</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Optimización de memoria</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gradient checkpointing, precisión mixta, lote reducido</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Algoritmo de RL</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GRPO</w:t>
            </w:r>
          </w:p>
        </w:tc>
      </w:tr>
      <w:tr>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Entorno de cómputo</w:t>
            </w:r>
          </w:p>
        </w:tc>
        <w:tc>
          <w:tcPr>
            <w:tcW w:type="dxa" w:w="45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GPU de clase T4 (~15 GB)</w:t>
            </w:r>
          </w:p>
        </w:tc>
      </w:tr>
    </w:tbl>
    <w:p>
      <w:pPr>
        <w:spacing w:after="120"/>
      </w:pPr>
      <w:r>
        <w:t xml:space="preserve"/>
      </w:r>
    </w:p>
    <w:p>
      <w:pPr>
        <w:pStyle w:val="Heading2"/>
      </w:pPr>
      <w:r>
        <w:t xml:space="preserve">7.7 Coste de entrenamiento</w:t>
      </w:r>
    </w:p>
    <w:p>
      <w:pPr>
        <w:spacing w:after="140" w:line="276"/>
        <w:jc w:val="both"/>
      </w:pPr>
      <w:r>
        <w:rPr>
          <w:b w:val="false"/>
          <w:bCs w:val="false"/>
        </w:rPr>
        <w:t xml:space="preserve">El entrenamiento de Kairo es sustancialmente más económico que el de Nova: el ajuste supervisado por destilación sobre datos fijos es mucho más barato que el aprendizaje por refuerzo en línea con búsqueda y verificación. El coste elevado se concentra, una sola vez, en la generación de las trazas por parte de Nova.</w:t>
      </w:r>
    </w:p>
    <w:p>
      <w:pPr>
        <w:pStyle w:val="Heading2"/>
      </w:pPr>
      <w:r>
        <w:t xml:space="preserve">7.8 Consideraciones y limitaciones</w:t>
      </w:r>
    </w:p>
    <w:p>
      <w:pPr>
        <w:pStyle w:val="ListParagraph"/>
        <w:numPr>
          <w:ilvl w:val="0"/>
          <w:numId w:val="2"/>
        </w:numPr>
        <w:spacing w:after="60" w:line="276"/>
      </w:pPr>
      <w:r>
        <w:rPr>
          <w:b w:val="false"/>
          <w:bCs w:val="false"/>
        </w:rPr>
        <w:t xml:space="preserve"/>
      </w:r>
      <w:r>
        <w:rPr>
          <w:b/>
          <w:bCs/>
        </w:rPr>
        <w:t xml:space="preserve">Techo de calidad:</w:t>
      </w:r>
      <w:r>
        <w:rPr>
          <w:b w:val="false"/>
          <w:bCs w:val="false"/>
        </w:rPr>
        <w:t xml:space="preserve"> Kairo no puede superar la calidad del maestro; la destilación transfiere lo que Nova sabe hacer.</w:t>
      </w:r>
    </w:p>
    <w:p>
      <w:pPr>
        <w:pStyle w:val="ListParagraph"/>
        <w:numPr>
          <w:ilvl w:val="0"/>
          <w:numId w:val="2"/>
        </w:numPr>
        <w:spacing w:after="60" w:line="276"/>
      </w:pPr>
      <w:r>
        <w:rPr>
          <w:b w:val="false"/>
          <w:bCs w:val="false"/>
        </w:rPr>
        <w:t xml:space="preserve"/>
      </w:r>
      <w:r>
        <w:rPr>
          <w:b/>
          <w:bCs/>
        </w:rPr>
        <w:t xml:space="preserve">Pérdida por destilación:</w:t>
      </w:r>
      <w:r>
        <w:rPr>
          <w:b w:val="false"/>
          <w:bCs w:val="false"/>
        </w:rPr>
        <w:t xml:space="preserve"> el alumno suele quedar por debajo del maestro; el objetivo es minimizar esa brecha en relación con el ahorro de coste.</w:t>
      </w:r>
    </w:p>
    <w:p>
      <w:pPr>
        <w:pStyle w:val="ListParagraph"/>
        <w:numPr>
          <w:ilvl w:val="0"/>
          <w:numId w:val="2"/>
        </w:numPr>
        <w:spacing w:after="60" w:line="276"/>
      </w:pPr>
      <w:r>
        <w:rPr>
          <w:b w:val="false"/>
          <w:bCs w:val="false"/>
        </w:rPr>
        <w:t xml:space="preserve"/>
      </w:r>
      <w:r>
        <w:rPr>
          <w:b/>
          <w:bCs/>
        </w:rPr>
        <w:t xml:space="preserve">Calibración de la longitud:</w:t>
      </w:r>
      <w:r>
        <w:rPr>
          <w:b w:val="false"/>
          <w:bCs w:val="false"/>
        </w:rPr>
        <w:t xml:space="preserve"> una calibración deficiente de las trazas (cortas/largas) trasladaría al alumno una asignación de esfuerzo subóptima.</w:t>
      </w:r>
    </w:p>
    <w:p>
      <w:pPr>
        <w:pStyle w:val="Heading1"/>
      </w:pPr>
      <w:r>
        <w:t xml:space="preserve">8. Evaluación</w:t>
      </w:r>
    </w:p>
    <w:p>
      <w:pPr>
        <w:spacing w:after="140" w:line="276"/>
        <w:jc w:val="both"/>
      </w:pPr>
      <w:r>
        <w:rPr>
          <w:b w:val="false"/>
          <w:bCs w:val="false"/>
        </w:rPr>
        <w:t xml:space="preserve">La evaluación de Kairo no mide únicamente la calidad, sino la calidad por unidad de coste. Toda medición de capacidad se acompaña de su coste asociado (tokens generados y latencia).</w:t>
      </w:r>
    </w:p>
    <w:p>
      <w:pPr>
        <w:pStyle w:val="Heading2"/>
      </w:pPr>
      <w:r>
        <w:t xml:space="preserve">8.1 Batería de benchmarks</w:t>
      </w:r>
    </w:p>
    <w:p>
      <w:pPr>
        <w:spacing w:after="140" w:line="276"/>
        <w:jc w:val="both"/>
      </w:pPr>
      <w:r>
        <w:rPr>
          <w:b w:val="false"/>
          <w:bCs w:val="false"/>
        </w:rPr>
        <w:t xml:space="preserve">Se emplea la misma batería que Nova, dado el carácter general de ambos modelos:</w:t>
      </w:r>
    </w:p>
    <w:p>
      <w:pPr>
        <w:pStyle w:val="ListParagraph"/>
        <w:numPr>
          <w:ilvl w:val="0"/>
          <w:numId w:val="2"/>
        </w:numPr>
        <w:spacing w:after="60" w:line="276"/>
      </w:pPr>
      <w:r>
        <w:rPr>
          <w:b w:val="false"/>
          <w:bCs w:val="false"/>
        </w:rPr>
        <w:t xml:space="preserve"/>
      </w:r>
      <w:r>
        <w:rPr>
          <w:b/>
          <w:bCs/>
        </w:rPr>
        <w:t xml:space="preserve">Matemáticas:</w:t>
      </w:r>
      <w:r>
        <w:rPr>
          <w:b w:val="false"/>
          <w:bCs w:val="false"/>
        </w:rPr>
        <w:t xml:space="preserve"> GSM8K, MATH.</w:t>
      </w:r>
    </w:p>
    <w:p>
      <w:pPr>
        <w:pStyle w:val="ListParagraph"/>
        <w:numPr>
          <w:ilvl w:val="0"/>
          <w:numId w:val="2"/>
        </w:numPr>
        <w:spacing w:after="60" w:line="276"/>
      </w:pPr>
      <w:r>
        <w:rPr>
          <w:b w:val="false"/>
          <w:bCs w:val="false"/>
        </w:rPr>
        <w:t xml:space="preserve"/>
      </w:r>
      <w:r>
        <w:rPr>
          <w:b/>
          <w:bCs/>
        </w:rPr>
        <w:t xml:space="preserve">Razonamiento general y ciencia:</w:t>
      </w:r>
      <w:r>
        <w:rPr>
          <w:b w:val="false"/>
          <w:bCs w:val="false"/>
        </w:rPr>
        <w:t xml:space="preserve"> GPQA, ARC-AGI, BIG-Bench Hard (BBH).</w:t>
      </w:r>
    </w:p>
    <w:p>
      <w:pPr>
        <w:pStyle w:val="ListParagraph"/>
        <w:numPr>
          <w:ilvl w:val="0"/>
          <w:numId w:val="2"/>
        </w:numPr>
        <w:spacing w:after="60" w:line="276"/>
      </w:pPr>
      <w:r>
        <w:rPr>
          <w:b w:val="false"/>
          <w:bCs w:val="false"/>
        </w:rPr>
        <w:t xml:space="preserve"/>
      </w:r>
      <w:r>
        <w:rPr>
          <w:b/>
          <w:bCs/>
        </w:rPr>
        <w:t xml:space="preserve">Conocimiento y razonamiento:</w:t>
      </w:r>
      <w:r>
        <w:rPr>
          <w:b w:val="false"/>
          <w:bCs w:val="false"/>
        </w:rPr>
        <w:t xml:space="preserve"> MMLU-Pro.</w:t>
      </w:r>
    </w:p>
    <w:p>
      <w:pPr>
        <w:pStyle w:val="ListParagraph"/>
        <w:numPr>
          <w:ilvl w:val="0"/>
          <w:numId w:val="2"/>
        </w:numPr>
        <w:spacing w:after="60" w:line="276"/>
      </w:pPr>
      <w:r>
        <w:rPr>
          <w:b w:val="false"/>
          <w:bCs w:val="false"/>
        </w:rPr>
        <w:t xml:space="preserve"/>
      </w:r>
      <w:r>
        <w:rPr>
          <w:b/>
          <w:bCs/>
        </w:rPr>
        <w:t xml:space="preserve">Programación:</w:t>
      </w:r>
      <w:r>
        <w:rPr>
          <w:b w:val="false"/>
          <w:bCs w:val="false"/>
        </w:rPr>
        <w:t xml:space="preserve"> HumanEval, MBPP.</w:t>
      </w:r>
    </w:p>
    <w:p>
      <w:pPr>
        <w:pStyle w:val="ListParagraph"/>
        <w:numPr>
          <w:ilvl w:val="0"/>
          <w:numId w:val="2"/>
        </w:numPr>
        <w:spacing w:after="60" w:line="276"/>
      </w:pPr>
      <w:r>
        <w:rPr>
          <w:b w:val="false"/>
          <w:bCs w:val="false"/>
        </w:rPr>
        <w:t xml:space="preserve"/>
      </w:r>
      <w:r>
        <w:rPr>
          <w:b/>
          <w:bCs/>
        </w:rPr>
        <w:t xml:space="preserve">Razonamiento multipaso y lógica:</w:t>
      </w:r>
      <w:r>
        <w:rPr>
          <w:b w:val="false"/>
          <w:bCs w:val="false"/>
        </w:rPr>
        <w:t xml:space="preserve"> DROP, MuSR.</w:t>
      </w:r>
    </w:p>
    <w:p>
      <w:pPr>
        <w:pStyle w:val="Heading2"/>
      </w:pPr>
      <w:r>
        <w:t xml:space="preserve">8.2 Metodología de medición de coste</w:t>
      </w:r>
    </w:p>
    <w:p>
      <w:pPr>
        <w:spacing w:after="140" w:line="276"/>
        <w:jc w:val="both"/>
      </w:pPr>
      <w:r>
        <w:rPr>
          <w:b w:val="false"/>
          <w:bCs w:val="false"/>
        </w:rPr>
        <w:t xml:space="preserve">El coste se mide en dos magnitudes complementarias: el número de tokens generados (proxy de cómputo) y la latencia de extremo a extremo (proxy de experiencia de uso). Para cada benchmark se traza la curva calidad-coste variando el presupuesto, y se selecciona el punto de operación que maximiza la calidad para el coste objetivo. La comparación con Nova y con el modelo base se realiza a igualdad de cómputo cuando es posible.</w:t>
      </w:r>
    </w:p>
    <w:p>
      <w:pPr>
        <w:pStyle w:val="Heading2"/>
      </w:pPr>
      <w:r>
        <w:t xml:space="preserve">8.3 Métrica y criterios</w:t>
      </w:r>
    </w:p>
    <w:p>
      <w:pPr>
        <w:spacing w:after="140" w:line="276"/>
        <w:jc w:val="both"/>
      </w:pPr>
      <w:r>
        <w:rPr>
          <w:b w:val="false"/>
          <w:bCs w:val="false"/>
        </w:rPr>
        <w:t xml:space="preserve">La métrica primaria es la calidad por unidad de coste (precisión en relación con los tokens o la latencia consumidos). Criterios de éxito: proximidad a Nova en tareas de dificultad baja y media; degradación gradual y predecible en las de dificultad alta; y una reducción sustancial del coste respecto de Nova en el conjunto de la batería.</w:t>
      </w:r>
    </w:p>
    <w:p>
      <w:pPr>
        <w:pStyle w:val="Heading2"/>
      </w:pPr>
      <w:r>
        <w:t xml:space="preserve">8.4 Modos de fallo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Modo de fallo</w:t>
            </w:r>
          </w:p>
        </w:tc>
        <w:tc>
          <w:tcPr>
            <w:tcW w:type="dxa" w:w="32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Causa</w:t>
            </w:r>
          </w:p>
        </w:tc>
        <w:tc>
          <w:tcPr>
            <w:tcW w:type="dxa" w:w="3213"/>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Mitigación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Insuficiencia de razonamiento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Subestimación de la dificultad</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Re-escalada de seguridad</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Exceso residual</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Sobreestimación de la dificultad</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Penalización de coste en RL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Degradación por salida temprana</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Umbral por capa demasiado agresivo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Calibración de umbrales</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Pérdida en contexto largo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Compresión agresiva de la caché</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Ajuste del nivel de compresión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Brecha respecto al maestro</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Pérdida por destilación</w:t>
            </w:r>
          </w:p>
        </w:tc>
        <w:tc>
          <w:tcPr>
            <w:tcW w:type="dxa" w:w="3213"/>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Calidad y calibración de los datos</w:t>
            </w:r>
          </w:p>
        </w:tc>
      </w:tr>
    </w:tbl>
    <w:p>
      <w:pPr>
        <w:spacing w:after="120"/>
      </w:pPr>
      <w:r>
        <w:t xml:space="preserve"/>
      </w:r>
    </w:p>
    <w:p>
      <w:pPr>
        <w:pStyle w:val="Heading2"/>
      </w:pPr>
      <w:r>
        <w:t xml:space="preserve">8.5 Controles de honestidad</w:t>
      </w:r>
    </w:p>
    <w:p>
      <w:pPr>
        <w:pStyle w:val="ListParagraph"/>
        <w:numPr>
          <w:ilvl w:val="0"/>
          <w:numId w:val="2"/>
        </w:numPr>
        <w:spacing w:after="60" w:line="276"/>
      </w:pPr>
      <w:r>
        <w:rPr>
          <w:b w:val="false"/>
          <w:bCs w:val="false"/>
        </w:rPr>
        <w:t xml:space="preserve"/>
      </w:r>
      <w:r>
        <w:rPr>
          <w:b/>
          <w:bCs/>
        </w:rPr>
        <w:t xml:space="preserve">Control de exceso de razonamiento:</w:t>
      </w:r>
      <w:r>
        <w:rPr>
          <w:b w:val="false"/>
          <w:bCs w:val="false"/>
        </w:rPr>
        <w:t xml:space="preserve"> verificación de que Kairo no incrementa el coste en tareas triviales.</w:t>
      </w:r>
    </w:p>
    <w:p>
      <w:pPr>
        <w:pStyle w:val="ListParagraph"/>
        <w:numPr>
          <w:ilvl w:val="0"/>
          <w:numId w:val="2"/>
        </w:numPr>
        <w:spacing w:after="60" w:line="276"/>
      </w:pPr>
      <w:r>
        <w:rPr>
          <w:b w:val="false"/>
          <w:bCs w:val="false"/>
        </w:rPr>
        <w:t xml:space="preserve"/>
      </w:r>
      <w:r>
        <w:rPr>
          <w:b/>
          <w:bCs/>
        </w:rPr>
        <w:t xml:space="preserve">Control de insuficiencia de razonamiento:</w:t>
      </w:r>
      <w:r>
        <w:rPr>
          <w:b w:val="false"/>
          <w:bCs w:val="false"/>
        </w:rPr>
        <w:t xml:space="preserve"> verificación de que la re-escalada de seguridad evita caídas bruscas de precisión en tareas difíciles.</w:t>
      </w:r>
    </w:p>
    <w:p>
      <w:pPr>
        <w:pStyle w:val="ListParagraph"/>
        <w:numPr>
          <w:ilvl w:val="0"/>
          <w:numId w:val="2"/>
        </w:numPr>
        <w:spacing w:after="60" w:line="276"/>
      </w:pPr>
      <w:r>
        <w:rPr>
          <w:b w:val="false"/>
          <w:bCs w:val="false"/>
        </w:rPr>
        <w:t xml:space="preserve"/>
      </w:r>
      <w:r>
        <w:rPr>
          <w:b/>
          <w:bCs/>
        </w:rPr>
        <w:t xml:space="preserve">Equivalencia de salida bajo THRIFT:</w:t>
      </w:r>
      <w:r>
        <w:rPr>
          <w:b w:val="false"/>
          <w:bCs w:val="false"/>
        </w:rPr>
        <w:t xml:space="preserve"> verificación de que la decodificación especulativa no altera las respuestas y de que la salida temprana y la compresión de caché mantienen la calidad dentro del margen establecido.</w:t>
      </w:r>
    </w:p>
    <w:p>
      <w:pPr>
        <w:pStyle w:val="Heading1"/>
      </w:pPr>
      <w:r>
        <w:t xml:space="preserve">9. Despliegue y servicio</w:t>
      </w:r>
    </w:p>
    <w:p>
      <w:pPr>
        <w:spacing w:after="140" w:line="276"/>
        <w:jc w:val="both"/>
      </w:pPr>
      <w:r>
        <w:rPr>
          <w:b w:val="false"/>
          <w:bCs w:val="false"/>
        </w:rPr>
        <w:t xml:space="preserve">A diferencia de Nova, Kairo está diseñado para el despliegue efectivo en entornos sensibles al coste y a la latencia. Esta sección recoge las consideraciones de servicio.</w:t>
      </w:r>
    </w:p>
    <w:p>
      <w:pPr>
        <w:pStyle w:val="Heading2"/>
      </w:pPr>
      <w:r>
        <w:t xml:space="preserve">9.1 Entorno de ejecución</w:t>
      </w:r>
    </w:p>
    <w:p>
      <w:pPr>
        <w:spacing w:after="140" w:line="276"/>
        <w:jc w:val="both"/>
      </w:pPr>
      <w:r>
        <w:rPr>
          <w:b w:val="false"/>
          <w:bCs w:val="false"/>
        </w:rPr>
        <w:t xml:space="preserve">Kairo se sirve con pesos cuantizados (por ejemplo, a 4 bits) y la pila de inferencia de THRIFT activa (decodificación especulativa, caché comprimida y salida temprana). Esta configuración permite la ejecución en GPU de gama de consumo o en cómputo en la nube de bajo coste, y reduce los requisitos de memoria respecto de la ejecución en precisión completa.</w:t>
      </w:r>
    </w:p>
    <w:p>
      <w:pPr>
        <w:pStyle w:val="Heading2"/>
      </w:pPr>
      <w:r>
        <w:t xml:space="preserve">9.2 Modos de operación expuestos</w:t>
      </w:r>
    </w:p>
    <w:p>
      <w:pPr>
        <w:spacing w:after="140" w:line="276"/>
        <w:jc w:val="both"/>
      </w:pPr>
      <w:r>
        <w:rPr>
          <w:b w:val="false"/>
          <w:bCs w:val="false"/>
        </w:rPr>
        <w:t xml:space="preserve">El enrutamiento adaptativo de GEAR puede exponerse como modos de operación seleccionables: un modo de respuesta directa para consultas sencillas o sensibles a la latencia, y un modo de razonamiento para consultas que lo requieran. La selección puede ser automática (gobernada por la compuerta) o manual (a indicación del usuario o de la aplicación).</w:t>
      </w:r>
    </w:p>
    <w:p>
      <w:pPr>
        <w:spacing w:after="140" w:line="276"/>
        <w:jc w:val="both"/>
      </w:pPr>
      <w:r>
        <w:rPr>
          <w:b w:val="false"/>
          <w:bCs w:val="false"/>
        </w:rPr>
        <w:t xml:space="preserve">Para observabilidad y depuración, Kairo puede exponer señales internas de cada respuesta: el presupuesto de razonamiento predicho, la vía elegida (rápida o lenta) y la confianza final. Esta información facilita el diagnóstico, la auditoría del comportamiento y la confianza del usuario.</w:t>
      </w:r>
    </w:p>
    <w:p>
      <w:pPr>
        <w:pStyle w:val="Heading2"/>
      </w:pPr>
      <w:r>
        <w:t xml:space="preserve">9.3 Latencia y rendimiento</w:t>
      </w:r>
    </w:p>
    <w:p>
      <w:pPr>
        <w:spacing w:after="140" w:line="276"/>
        <w:jc w:val="both"/>
      </w:pPr>
      <w:r>
        <w:rPr>
          <w:b w:val="false"/>
          <w:bCs w:val="false"/>
        </w:rPr>
        <w:t xml:space="preserve">La latencia percibida se beneficia de tres factores combinados: menor número de pasos de razonamiento (GEAR), menor coste por token (THRIFT) y la posibilidad de anticipar el presupuesto de razonamiento antes de generar (lo que permite estimar el tiempo de respuesta). El procesamiento por lotes (batching) de múltiples consultas mejora el rendimiento agregado en escenarios de servicio.</w:t>
      </w:r>
    </w:p>
    <w:p>
      <w:pPr>
        <w:pStyle w:val="Heading2"/>
      </w:pPr>
      <w:r>
        <w:t xml:space="preserve">9.4 Patrón de cascada con Nova</w:t>
      </w:r>
    </w:p>
    <w:p>
      <w:pPr>
        <w:spacing w:after="140" w:line="276"/>
        <w:jc w:val="both"/>
      </w:pPr>
      <w:r>
        <w:rPr>
          <w:b w:val="false"/>
          <w:bCs w:val="false"/>
        </w:rPr>
        <w:t xml:space="preserve">En un despliegue conjunto, Kairo y Nova pueden organizarse en cascada: Kairo atiende todas las consultas y, cuando su confianza tras el razonamiento permanece por debajo de un umbral o la dificultad estimada es muy alta, deriva la consulta a Nova. Este patrón concentra el cómputo costoso de Nova en la fracción de consultas que lo requieren, mientras Kairo absorbe el grueso de la carga a bajo coste. La política de derivación es una decisión de producto y no forma parte del núcleo de Kairo.</w:t>
      </w:r>
    </w:p>
    <w:p>
      <w:pPr>
        <w:pStyle w:val="Heading2"/>
      </w:pPr>
      <w:r>
        <w:t xml:space="preserve">9.5 Consideraciones y limitaciones</w:t>
      </w:r>
    </w:p>
    <w:p>
      <w:pPr>
        <w:pStyle w:val="ListParagraph"/>
        <w:numPr>
          <w:ilvl w:val="0"/>
          <w:numId w:val="2"/>
        </w:numPr>
        <w:spacing w:after="60" w:line="276"/>
      </w:pPr>
      <w:r>
        <w:rPr>
          <w:b w:val="false"/>
          <w:bCs w:val="false"/>
        </w:rPr>
        <w:t xml:space="preserve">La cuantización a baja precisión reduce la huella de memoria a costa de una pérdida de calidad acotada, que debe medirse.</w:t>
      </w:r>
    </w:p>
    <w:p>
      <w:pPr>
        <w:pStyle w:val="ListParagraph"/>
        <w:numPr>
          <w:ilvl w:val="0"/>
          <w:numId w:val="2"/>
        </w:numPr>
        <w:spacing w:after="60" w:line="276"/>
      </w:pPr>
      <w:r>
        <w:rPr>
          <w:b w:val="false"/>
          <w:bCs w:val="false"/>
        </w:rPr>
        <w:t xml:space="preserve">El procesamiento por lotes y la decodificación especulativa interactúan de forma no trivial; su combinación requiere ajuste.</w:t>
      </w:r>
    </w:p>
    <w:p>
      <w:pPr>
        <w:pStyle w:val="ListParagraph"/>
        <w:numPr>
          <w:ilvl w:val="0"/>
          <w:numId w:val="2"/>
        </w:numPr>
        <w:spacing w:after="60" w:line="276"/>
      </w:pPr>
      <w:r>
        <w:rPr>
          <w:b w:val="false"/>
          <w:bCs w:val="false"/>
        </w:rPr>
        <w:t xml:space="preserve">La seguridad en el despliegue exige el aislamiento (sandbox) de la ejecución de código y la aplicación de los límites de comportamiento de la constitución.</w:t>
      </w:r>
    </w:p>
    <w:p>
      <w:pPr>
        <w:pStyle w:val="Heading1"/>
      </w:pPr>
      <w:r>
        <w:t xml:space="preserve">10. Relación con Nova</w:t>
      </w:r>
    </w:p>
    <w:p>
      <w:pPr>
        <w:spacing w:after="140" w:line="276"/>
        <w:jc w:val="both"/>
      </w:pPr>
      <w:r>
        <w:rPr>
          <w:b w:val="false"/>
          <w:bCs w:val="false"/>
        </w:rPr>
        <w:t xml:space="preserve">Kairo y Nova constituyen una familia coherente. Comparten el modelo base y el protocolo de entrenamiento FORGE, y se diferencian en sus subsistemas definitorios y en el ajuste de sus políticas. Nova es el maestro que genera los datos; Kairo es el alumno eficiente. En un escenario de despliegue conjunto, las consultas de máxima dificultad pueden derivarse a Nova (§9.4), reservando a Kairo el grueso de la carga.</w:t>
      </w:r>
    </w:p>
    <w:p>
      <w:pPr>
        <w:pStyle w:val="Heading1"/>
      </w:pPr>
      <w:r>
        <w:t xml:space="preserve">11. Correspondencia con el estado del arte</w:t>
      </w:r>
    </w:p>
    <w:p>
      <w:pPr>
        <w:spacing w:after="140" w:line="276"/>
        <w:jc w:val="both"/>
      </w:pPr>
      <w:r>
        <w:rPr>
          <w:b w:val="false"/>
          <w:bCs w:val="false"/>
        </w:rPr>
        <w:t xml:space="preserve">Las técnicas de Kairo se apoyan en líneas de investigación documentadas sobre eficiencia en modelos de razonamiento. La tabla siguiente relaciona cada componente con su fundamento.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9"/>
        <w:gridCol w:w="5617"/>
      </w:tblGrid>
      <w:tr>
        <w:trPr>
          <w:tblHeader/>
        </w:trPr>
        <w:tc>
          <w:tcPr>
            <w:tcW w:type="dxa" w:w="3409"/>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Componente de Kairo</w:t>
            </w:r>
          </w:p>
        </w:tc>
        <w:tc>
          <w:tcPr>
            <w:tcW w:type="dxa" w:w="5617"/>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pPr>
              <w:spacing w:after="20" w:before="20"/>
            </w:pPr>
            <w:r>
              <w:rPr>
                <w:b/>
                <w:bCs/>
                <w:color w:val="FFFFFF"/>
              </w:rPr>
              <w:t xml:space="preserve">Fundamento en la literatura</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Predicción de presupuesto (GEAR)</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SelfBudgeter (predicción anticipada); TALE (presupuesto por complejidad)</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Asignación por dificultad (GEAR)</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Inferencia adaptativa a la dificultad; CoT-Valve (control de longitud)</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Enrutamiento de cómputo (GEAR)</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Arquitecturas de enrutamiento (router) entre vía rápida y lenta</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Razonamiento latente (GEAR)</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Razonamiento en espacio continuo; CODI, LightThinker (destilación a latente)</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Decodificación especulativa (THRIFT)</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Borrador-verificación para acelerar la generación</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Salida temprana (THRIFT)</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Modelado adaptativo confiado (confident adaptive language modeling)</w:t>
            </w:r>
          </w:p>
        </w:tc>
      </w:tr>
      <w:tr>
        <w:tc>
          <w:tcPr>
            <w:tcW w:type="dxa" w:w="3409"/>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Destilación de razonamiento</w:t>
            </w:r>
          </w:p>
        </w:tc>
        <w:tc>
          <w:tcPr>
            <w:tcW w:type="dxa" w:w="5617"/>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pPr>
              <w:spacing w:after="20" w:before="20"/>
            </w:pPr>
            <w:r>
              <w:rPr>
                <w:b w:val="false"/>
                <w:bCs w:val="false"/>
                <w:color w:val="000000"/>
              </w:rPr>
              <w:t xml:space="preserve">Destilación de cadena de pensamiento con trazas corta/larga por dificultad</w:t>
            </w:r>
          </w:p>
        </w:tc>
      </w:tr>
    </w:tbl>
    <w:p>
      <w:pPr>
        <w:spacing w:after="120"/>
      </w:pPr>
      <w:r>
        <w:t xml:space="preserve"/>
      </w:r>
    </w:p>
    <w:p>
      <w:pPr>
        <w:spacing w:after="140" w:line="276"/>
        <w:jc w:val="both"/>
      </w:pPr>
      <w:r>
        <w:rPr>
          <w:b w:val="false"/>
          <w:bCs w:val="false"/>
        </w:rPr>
        <w:t xml:space="preserve">Esta correspondencia documenta que el diseño de Kairo combina técnicas con respaldo empírico, integradas de forma coherente bajo el principio de eficiencia.</w:t>
      </w:r>
    </w:p>
    <w:p>
      <w:pPr>
        <w:pStyle w:val="Heading1"/>
      </w:pPr>
      <w:r>
        <w:t xml:space="preserve">12. Riesgos y limitaciones</w:t>
      </w:r>
    </w:p>
    <w:p>
      <w:pPr>
        <w:pStyle w:val="ListParagraph"/>
        <w:numPr>
          <w:ilvl w:val="0"/>
          <w:numId w:val="2"/>
        </w:numPr>
        <w:spacing w:after="60" w:line="276"/>
      </w:pPr>
      <w:r>
        <w:rPr>
          <w:b w:val="false"/>
          <w:bCs w:val="false"/>
        </w:rPr>
        <w:t xml:space="preserve">El sistema es un prototipo a escala reducida; el entregable es la demostración de la viabilidad de las técnicas de eficiencia.</w:t>
      </w:r>
    </w:p>
    <w:p>
      <w:pPr>
        <w:pStyle w:val="ListParagraph"/>
        <w:numPr>
          <w:ilvl w:val="0"/>
          <w:numId w:val="2"/>
        </w:numPr>
        <w:spacing w:after="60" w:line="276"/>
      </w:pPr>
      <w:r>
        <w:rPr>
          <w:b w:val="false"/>
          <w:bCs w:val="false"/>
        </w:rPr>
        <w:t xml:space="preserve">La calidad de Kairo está acotada por la de Nova (maestro); Kairo no la supera.</w:t>
      </w:r>
    </w:p>
    <w:p>
      <w:pPr>
        <w:pStyle w:val="ListParagraph"/>
        <w:numPr>
          <w:ilvl w:val="0"/>
          <w:numId w:val="2"/>
        </w:numPr>
        <w:spacing w:after="60" w:line="276"/>
      </w:pPr>
      <w:r>
        <w:rPr>
          <w:b w:val="false"/>
          <w:bCs w:val="false"/>
        </w:rPr>
        <w:t xml:space="preserve">La asignación adaptativa puede subestimar la dificultad (insuficiencia de razonamiento); se mitiga con la re-escalada de seguridad, que no la elimina por completo.</w:t>
      </w:r>
    </w:p>
    <w:p>
      <w:pPr>
        <w:pStyle w:val="ListParagraph"/>
        <w:numPr>
          <w:ilvl w:val="0"/>
          <w:numId w:val="2"/>
        </w:numPr>
        <w:spacing w:after="60" w:line="276"/>
      </w:pPr>
      <w:r>
        <w:rPr>
          <w:b w:val="false"/>
          <w:bCs w:val="false"/>
        </w:rPr>
        <w:t xml:space="preserve">El estimador de dificultad requiere una calibración cuidadosa por el patrón de entropía en forma de U.</w:t>
      </w:r>
    </w:p>
    <w:p>
      <w:pPr>
        <w:pStyle w:val="ListParagraph"/>
        <w:numPr>
          <w:ilvl w:val="0"/>
          <w:numId w:val="2"/>
        </w:numPr>
        <w:spacing w:after="60" w:line="276"/>
      </w:pPr>
      <w:r>
        <w:rPr>
          <w:b w:val="false"/>
          <w:bCs w:val="false"/>
        </w:rPr>
        <w:t xml:space="preserve">Las técnicas de THRIFT (decodificación especulativa, salida temprana, compresión de caché) introducen compromisos velocidad-calidad que deben medirse y ajustarse.</w:t>
      </w:r>
    </w:p>
    <w:p>
      <w:pPr>
        <w:pStyle w:val="ListParagraph"/>
        <w:numPr>
          <w:ilvl w:val="0"/>
          <w:numId w:val="2"/>
        </w:numPr>
        <w:spacing w:after="60" w:line="276"/>
      </w:pPr>
      <w:r>
        <w:rPr>
          <w:b w:val="false"/>
          <w:bCs w:val="false"/>
        </w:rPr>
        <w:t xml:space="preserve">La cuantización de despliegue conlleva una pérdida de calidad acotada.</w:t>
      </w:r>
    </w:p>
    <w:p>
      <w:pPr>
        <w:pStyle w:val="ListParagraph"/>
        <w:numPr>
          <w:ilvl w:val="0"/>
          <w:numId w:val="2"/>
        </w:numPr>
        <w:spacing w:after="60" w:line="276"/>
      </w:pPr>
      <w:r>
        <w:rPr>
          <w:b w:val="false"/>
          <w:bCs w:val="false"/>
        </w:rPr>
        <w:t xml:space="preserve">Kairo depende de Nova para su entrenamiento; su desarrollo no puede completarse antes que el de Nova.</w:t>
      </w:r>
    </w:p>
    <w:p>
      <w:pPr>
        <w:pStyle w:val="ListParagraph"/>
        <w:numPr>
          <w:ilvl w:val="0"/>
          <w:numId w:val="2"/>
        </w:numPr>
        <w:spacing w:after="60" w:line="276"/>
      </w:pPr>
      <w:r>
        <w:rPr>
          <w:b w:val="false"/>
          <w:bCs w:val="false"/>
        </w:rPr>
        <w:t xml:space="preserve">Seguridad: aislamiento de la ejecución de código y límites de comportamiento en la constitución.</w:t>
      </w:r>
    </w:p>
    <w:p>
      <w:pPr>
        <w:pStyle w:val="Heading1"/>
      </w:pPr>
      <w:r>
        <w:t xml:space="preserve">13. Glosario</w:t>
      </w:r>
    </w:p>
    <w:p>
      <w:pPr>
        <w:pStyle w:val="ListParagraph"/>
        <w:numPr>
          <w:ilvl w:val="0"/>
          <w:numId w:val="2"/>
        </w:numPr>
        <w:spacing w:after="60" w:line="276"/>
      </w:pPr>
      <w:r>
        <w:rPr>
          <w:b w:val="false"/>
          <w:bCs w:val="false"/>
        </w:rPr>
        <w:t xml:space="preserve"/>
      </w:r>
      <w:r>
        <w:rPr>
          <w:b/>
          <w:bCs/>
        </w:rPr>
        <w:t xml:space="preserve">GEAR</w:t>
      </w:r>
      <w:r>
        <w:rPr>
          <w:b w:val="false"/>
          <w:bCs w:val="false"/>
        </w:rPr>
        <w:t xml:space="preserve"> — Gated Efficient Adaptive Reasoning; núcleo de razonamiento eficiente de Kairo.</w:t>
      </w:r>
    </w:p>
    <w:p>
      <w:pPr>
        <w:pStyle w:val="ListParagraph"/>
        <w:numPr>
          <w:ilvl w:val="0"/>
          <w:numId w:val="2"/>
        </w:numPr>
        <w:spacing w:after="60" w:line="276"/>
      </w:pPr>
      <w:r>
        <w:rPr>
          <w:b w:val="false"/>
          <w:bCs w:val="false"/>
        </w:rPr>
        <w:t xml:space="preserve"/>
      </w:r>
      <w:r>
        <w:rPr>
          <w:b/>
          <w:bCs/>
        </w:rPr>
        <w:t xml:space="preserve">THRIFT</w:t>
      </w:r>
      <w:r>
        <w:rPr>
          <w:b w:val="false"/>
          <w:bCs w:val="false"/>
        </w:rPr>
        <w:t xml:space="preserve"> — capa de inferencia frugal; reduce el coste por token.</w:t>
      </w:r>
    </w:p>
    <w:p>
      <w:pPr>
        <w:pStyle w:val="ListParagraph"/>
        <w:numPr>
          <w:ilvl w:val="0"/>
          <w:numId w:val="2"/>
        </w:numPr>
        <w:spacing w:after="60" w:line="276"/>
      </w:pPr>
      <w:r>
        <w:rPr>
          <w:b w:val="false"/>
          <w:bCs w:val="false"/>
        </w:rPr>
        <w:t xml:space="preserve"/>
      </w:r>
      <w:r>
        <w:rPr>
          <w:b/>
          <w:bCs/>
        </w:rPr>
        <w:t xml:space="preserve">Destilación (de conocimiento)</w:t>
      </w:r>
      <w:r>
        <w:rPr>
          <w:b w:val="false"/>
          <w:bCs w:val="false"/>
        </w:rPr>
        <w:t xml:space="preserve"> — entrenamiento de un modelo alumno a partir de las salidas de un modelo maestro.</w:t>
      </w:r>
    </w:p>
    <w:p>
      <w:pPr>
        <w:pStyle w:val="ListParagraph"/>
        <w:numPr>
          <w:ilvl w:val="0"/>
          <w:numId w:val="2"/>
        </w:numPr>
        <w:spacing w:after="60" w:line="276"/>
      </w:pPr>
      <w:r>
        <w:rPr>
          <w:b w:val="false"/>
          <w:bCs w:val="false"/>
        </w:rPr>
        <w:t xml:space="preserve"/>
      </w:r>
      <w:r>
        <w:rPr>
          <w:b/>
          <w:bCs/>
        </w:rPr>
        <w:t xml:space="preserve">Frontera de Pareto</w:t>
      </w:r>
      <w:r>
        <w:rPr>
          <w:b w:val="false"/>
          <w:bCs w:val="false"/>
        </w:rPr>
        <w:t xml:space="preserve"> — conjunto de configuraciones óptimas en el compromiso calidad-coste; ninguna mejora una dimensión sin empeorar la otra.</w:t>
      </w:r>
    </w:p>
    <w:p>
      <w:pPr>
        <w:pStyle w:val="ListParagraph"/>
        <w:numPr>
          <w:ilvl w:val="0"/>
          <w:numId w:val="2"/>
        </w:numPr>
        <w:spacing w:after="60" w:line="276"/>
      </w:pPr>
      <w:r>
        <w:rPr>
          <w:b w:val="false"/>
          <w:bCs w:val="false"/>
        </w:rPr>
        <w:t xml:space="preserve"/>
      </w:r>
      <w:r>
        <w:rPr>
          <w:b/>
          <w:bCs/>
        </w:rPr>
        <w:t xml:space="preserve">Exceso de razonamiento (overthinking)</w:t>
      </w:r>
      <w:r>
        <w:rPr>
          <w:b w:val="false"/>
          <w:bCs w:val="false"/>
        </w:rPr>
        <w:t xml:space="preserve"> — generación de razonamiento excesivo en relación con la dificultad, con coste superfluo y posible pérdida de precisión.</w:t>
      </w:r>
    </w:p>
    <w:p>
      <w:pPr>
        <w:pStyle w:val="ListParagraph"/>
        <w:numPr>
          <w:ilvl w:val="0"/>
          <w:numId w:val="2"/>
        </w:numPr>
        <w:spacing w:after="60" w:line="276"/>
      </w:pPr>
      <w:r>
        <w:rPr>
          <w:b w:val="false"/>
          <w:bCs w:val="false"/>
        </w:rPr>
        <w:t xml:space="preserve"/>
      </w:r>
      <w:r>
        <w:rPr>
          <w:b/>
          <w:bCs/>
        </w:rPr>
        <w:t xml:space="preserve">Insuficiencia de razonamiento (underthinking)</w:t>
      </w:r>
      <w:r>
        <w:rPr>
          <w:b w:val="false"/>
          <w:bCs w:val="false"/>
        </w:rPr>
        <w:t xml:space="preserve"> — terminación prematura del razonamiento, con pérdida de corrección.</w:t>
      </w:r>
    </w:p>
    <w:p>
      <w:pPr>
        <w:pStyle w:val="ListParagraph"/>
        <w:numPr>
          <w:ilvl w:val="0"/>
          <w:numId w:val="2"/>
        </w:numPr>
        <w:spacing w:after="60" w:line="276"/>
      </w:pPr>
      <w:r>
        <w:rPr>
          <w:b w:val="false"/>
          <w:bCs w:val="false"/>
        </w:rPr>
        <w:t xml:space="preserve"/>
      </w:r>
      <w:r>
        <w:rPr>
          <w:b/>
          <w:bCs/>
        </w:rPr>
        <w:t xml:space="preserve">Predicción de presupuesto</w:t>
      </w:r>
      <w:r>
        <w:rPr>
          <w:b w:val="false"/>
          <w:bCs w:val="false"/>
        </w:rPr>
        <w:t xml:space="preserve"> — estimación anticipada de la cantidad de razonamiento que requiere una consulta.</w:t>
      </w:r>
    </w:p>
    <w:p>
      <w:pPr>
        <w:pStyle w:val="ListParagraph"/>
        <w:numPr>
          <w:ilvl w:val="0"/>
          <w:numId w:val="2"/>
        </w:numPr>
        <w:spacing w:after="60" w:line="276"/>
      </w:pPr>
      <w:r>
        <w:rPr>
          <w:b w:val="false"/>
          <w:bCs w:val="false"/>
        </w:rPr>
        <w:t xml:space="preserve"/>
      </w:r>
      <w:r>
        <w:rPr>
          <w:b/>
          <w:bCs/>
        </w:rPr>
        <w:t xml:space="preserve">Compuerta / enrutamiento de cómputo</w:t>
      </w:r>
      <w:r>
        <w:rPr>
          <w:b w:val="false"/>
          <w:bCs w:val="false"/>
        </w:rPr>
        <w:t xml:space="preserve"> — mecanismo que asigna la consulta a una vía de cómputo (rápida o lenta) según su dificultad.</w:t>
      </w:r>
    </w:p>
    <w:p>
      <w:pPr>
        <w:pStyle w:val="ListParagraph"/>
        <w:numPr>
          <w:ilvl w:val="0"/>
          <w:numId w:val="2"/>
        </w:numPr>
        <w:spacing w:after="60" w:line="276"/>
      </w:pPr>
      <w:r>
        <w:rPr>
          <w:b w:val="false"/>
          <w:bCs w:val="false"/>
        </w:rPr>
        <w:t xml:space="preserve"/>
      </w:r>
      <w:r>
        <w:rPr>
          <w:b/>
          <w:bCs/>
        </w:rPr>
        <w:t xml:space="preserve">Razonamiento latente</w:t>
      </w:r>
      <w:r>
        <w:rPr>
          <w:b w:val="false"/>
          <w:bCs w:val="false"/>
        </w:rPr>
        <w:t xml:space="preserve"> — razonamiento en el espacio de representación interno, sin materialización textual.</w:t>
      </w:r>
    </w:p>
    <w:p>
      <w:pPr>
        <w:pStyle w:val="ListParagraph"/>
        <w:numPr>
          <w:ilvl w:val="0"/>
          <w:numId w:val="2"/>
        </w:numPr>
        <w:spacing w:after="60" w:line="276"/>
      </w:pPr>
      <w:r>
        <w:rPr>
          <w:b w:val="false"/>
          <w:bCs w:val="false"/>
        </w:rPr>
        <w:t xml:space="preserve"/>
      </w:r>
      <w:r>
        <w:rPr>
          <w:b/>
          <w:bCs/>
        </w:rPr>
        <w:t xml:space="preserve">Decodificación especulativa</w:t>
      </w:r>
      <w:r>
        <w:rPr>
          <w:b w:val="false"/>
          <w:bCs w:val="false"/>
        </w:rPr>
        <w:t xml:space="preserve"> — aceleración de la generación mediante un borrador que propone tokens validados por el modelo principal.</w:t>
      </w:r>
    </w:p>
    <w:p>
      <w:pPr>
        <w:pStyle w:val="ListParagraph"/>
        <w:numPr>
          <w:ilvl w:val="0"/>
          <w:numId w:val="2"/>
        </w:numPr>
        <w:spacing w:after="60" w:line="276"/>
      </w:pPr>
      <w:r>
        <w:rPr>
          <w:b w:val="false"/>
          <w:bCs w:val="false"/>
        </w:rPr>
        <w:t xml:space="preserve"/>
      </w:r>
      <w:r>
        <w:rPr>
          <w:b/>
          <w:bCs/>
        </w:rPr>
        <w:t xml:space="preserve">Caché clave/valor (KV cache)</w:t>
      </w:r>
      <w:r>
        <w:rPr>
          <w:b w:val="false"/>
          <w:bCs w:val="false"/>
        </w:rPr>
        <w:t xml:space="preserve"> — almacenamiento de los vectores de clave y valor de los tokens previos durante la generación.</w:t>
      </w:r>
    </w:p>
    <w:p>
      <w:pPr>
        <w:pStyle w:val="ListParagraph"/>
        <w:numPr>
          <w:ilvl w:val="0"/>
          <w:numId w:val="2"/>
        </w:numPr>
        <w:spacing w:after="60" w:line="276"/>
      </w:pPr>
      <w:r>
        <w:rPr>
          <w:b w:val="false"/>
          <w:bCs w:val="false"/>
        </w:rPr>
        <w:t xml:space="preserve"/>
      </w:r>
      <w:r>
        <w:rPr>
          <w:b/>
          <w:bCs/>
        </w:rPr>
        <w:t xml:space="preserve">Salida temprana (early-exit)</w:t>
      </w:r>
      <w:r>
        <w:rPr>
          <w:b w:val="false"/>
          <w:bCs w:val="false"/>
        </w:rPr>
        <w:t xml:space="preserve"> — emisión de un token en una capa intermedia cuando la confianza es suficiente.</w:t>
      </w:r>
    </w:p>
    <w:p>
      <w:pPr>
        <w:pStyle w:val="ListParagraph"/>
        <w:numPr>
          <w:ilvl w:val="0"/>
          <w:numId w:val="2"/>
        </w:numPr>
        <w:spacing w:after="60" w:line="276"/>
      </w:pPr>
      <w:r>
        <w:rPr>
          <w:b w:val="false"/>
          <w:bCs w:val="false"/>
        </w:rPr>
        <w:t xml:space="preserve"/>
      </w:r>
      <w:r>
        <w:rPr>
          <w:b/>
          <w:bCs/>
        </w:rPr>
        <w:t xml:space="preserve">Cuantización</w:t>
      </w:r>
      <w:r>
        <w:rPr>
          <w:b w:val="false"/>
          <w:bCs w:val="false"/>
        </w:rPr>
        <w:t xml:space="preserve"> — representación de los pesos o la caché en menor precisión numérica para reducir memoria y cómputo.</w:t>
      </w:r>
    </w:p>
    <w:p>
      <w:pPr>
        <w:pStyle w:val="ListParagraph"/>
        <w:numPr>
          <w:ilvl w:val="0"/>
          <w:numId w:val="2"/>
        </w:numPr>
        <w:spacing w:after="60" w:line="276"/>
      </w:pPr>
      <w:r>
        <w:rPr>
          <w:b w:val="false"/>
          <w:bCs w:val="false"/>
        </w:rPr>
        <w:t xml:space="preserve"/>
      </w:r>
      <w:r>
        <w:rPr>
          <w:b/>
          <w:bCs/>
        </w:rPr>
        <w:t xml:space="preserve">LoRA / QLoRA</w:t>
      </w:r>
      <w:r>
        <w:rPr>
          <w:b w:val="false"/>
          <w:bCs w:val="false"/>
        </w:rPr>
        <w:t xml:space="preserve"> — ajuste de un modelo entrenando un conjunto reducido de parámetros adicionales (QLoRA, sobre pesos cuantizados).</w:t>
      </w:r>
    </w:p>
    <w:p>
      <w:pPr>
        <w:pStyle w:val="ListParagraph"/>
        <w:numPr>
          <w:ilvl w:val="0"/>
          <w:numId w:val="2"/>
        </w:numPr>
        <w:spacing w:after="60" w:line="276"/>
      </w:pPr>
      <w:r>
        <w:rPr>
          <w:b w:val="false"/>
          <w:bCs w:val="false"/>
        </w:rPr>
        <w:t xml:space="preserve"/>
      </w:r>
      <w:r>
        <w:rPr>
          <w:b/>
          <w:bCs/>
        </w:rPr>
        <w:t xml:space="preserve">GRPO</w:t>
      </w:r>
      <w:r>
        <w:rPr>
          <w:b w:val="false"/>
          <w:bCs w:val="false"/>
        </w:rPr>
        <w:t xml:space="preserve"> — Group Relative Policy Optimization; algoritmo de aprendizaje por refuerzo eficiente en memoria.</w:t>
      </w:r>
    </w:p>
    <w:p>
      <w:pPr>
        <w:pStyle w:val="ListParagraph"/>
        <w:numPr>
          <w:ilvl w:val="0"/>
          <w:numId w:val="2"/>
        </w:numPr>
        <w:spacing w:after="60" w:line="276"/>
      </w:pPr>
      <w:r>
        <w:rPr>
          <w:b w:val="false"/>
          <w:bCs w:val="false"/>
        </w:rPr>
        <w:t xml:space="preserve"/>
      </w:r>
      <w:r>
        <w:rPr>
          <w:b/>
          <w:bCs/>
        </w:rPr>
        <w:t xml:space="preserve">FORGE</w:t>
      </w:r>
      <w:r>
        <w:rPr>
          <w:b w:val="false"/>
          <w:bCs w:val="false"/>
        </w:rPr>
        <w:t xml:space="preserve"> — protocolo de entrenamiento compartido con Nova (defensas anti-degradación y etapas).</w:t>
      </w:r>
    </w:p>
    <w:p>
      <w:pPr>
        <w:pStyle w:val="ListParagraph"/>
        <w:numPr>
          <w:ilvl w:val="0"/>
          <w:numId w:val="2"/>
        </w:numPr>
        <w:spacing w:after="60" w:line="276"/>
      </w:pPr>
      <w:r>
        <w:rPr>
          <w:b w:val="false"/>
          <w:bCs w:val="false"/>
        </w:rPr>
        <w:t xml:space="preserve"/>
      </w:r>
      <w:r>
        <w:rPr>
          <w:b/>
          <w:bCs/>
        </w:rPr>
        <w:t xml:space="preserve">Norma espectral</w:t>
      </w:r>
      <w:r>
        <w:rPr>
          <w:b w:val="false"/>
          <w:bCs w:val="false"/>
        </w:rPr>
        <w:t xml:space="preserve"> — magnitud que determina la estabilidad del operador de razonamiento latente recurrente.</w:t>
      </w:r>
    </w:p>
    <w:p>
      <w:pPr>
        <w:pStyle w:val="Heading1"/>
      </w:pPr>
      <w:r>
        <w:t xml:space="preserve">14. Estado y próximos pasos</w:t>
      </w:r>
    </w:p>
    <w:p>
      <w:pPr>
        <w:pStyle w:val="ListParagraph"/>
        <w:numPr>
          <w:ilvl w:val="0"/>
          <w:numId w:val="2"/>
        </w:numPr>
        <w:spacing w:after="60" w:line="276"/>
      </w:pPr>
      <w:r>
        <w:rPr>
          <w:b w:val="false"/>
          <w:bCs w:val="false"/>
        </w:rPr>
        <w:t xml:space="preserve"/>
      </w:r>
      <w:r>
        <w:rPr>
          <w:b/>
          <w:bCs/>
        </w:rPr>
        <w:t xml:space="preserve">Completado:</w:t>
      </w:r>
      <w:r>
        <w:rPr>
          <w:b w:val="false"/>
          <w:bCs w:val="false"/>
        </w:rPr>
        <w:t xml:space="preserve"> diseño arquitectónico de Kairo (este documento).</w:t>
      </w:r>
    </w:p>
    <w:p>
      <w:pPr>
        <w:pStyle w:val="ListParagraph"/>
        <w:numPr>
          <w:ilvl w:val="0"/>
          <w:numId w:val="2"/>
        </w:numPr>
        <w:spacing w:after="60" w:line="276"/>
      </w:pPr>
      <w:r>
        <w:rPr>
          <w:b w:val="false"/>
          <w:bCs w:val="false"/>
        </w:rPr>
        <w:t xml:space="preserve"/>
      </w:r>
      <w:r>
        <w:rPr>
          <w:b/>
          <w:bCs/>
        </w:rPr>
        <w:t xml:space="preserve">Dependencia:</w:t>
      </w:r>
      <w:r>
        <w:rPr>
          <w:b w:val="false"/>
          <w:bCs w:val="false"/>
        </w:rPr>
        <w:t xml:space="preserve"> la implementación de Kairo requiere un Nova al menos parcialmente funcional como maestro.</w:t>
      </w:r>
    </w:p>
    <w:p>
      <w:pPr>
        <w:pStyle w:val="ListParagraph"/>
        <w:numPr>
          <w:ilvl w:val="0"/>
          <w:numId w:val="2"/>
        </w:numPr>
        <w:spacing w:after="60" w:line="276"/>
      </w:pPr>
      <w:r>
        <w:rPr>
          <w:b w:val="false"/>
          <w:bCs w:val="false"/>
        </w:rPr>
        <w:t xml:space="preserve"/>
      </w:r>
      <w:r>
        <w:rPr>
          <w:b/>
          <w:bCs/>
        </w:rPr>
        <w:t xml:space="preserve">Siguiente:</w:t>
      </w:r>
      <w:r>
        <w:rPr>
          <w:b w:val="false"/>
          <w:bCs w:val="false"/>
        </w:rPr>
        <w:t xml:space="preserve"> plan de arranque del proyecto y herramientas (entorno, datos, orden de trabajo), común a Nova y Kairo.</w:t>
      </w:r>
    </w:p>
    <w:p>
      <w:pPr>
        <w:spacing w:after="140" w:line="276"/>
        <w:jc w:val="both"/>
      </w:pPr>
      <w:r>
        <w:rPr>
          <w:b w:val="false"/>
          <w:bCs w:val="false"/>
        </w:rPr>
        <w:t xml:space="preserve">Documento vivo: se refina y amplía conforme avanza el proyecto.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E5" w:sz="4" w:space="4"/>
      </w:pBdr>
      <w:spacing w:after="0"/>
      <w:jc w:val="right"/>
    </w:pPr>
    <w:r>
      <w:rPr>
        <w:color w:val="808080"/>
        <w:sz w:val="16"/>
        <w:szCs w:val="16"/>
      </w:rPr>
      <w:t xml:space="preserve">Interlace · Kairo — Model Card (Preconstrucción)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0D7E5" w:sz="4" w:space="4"/>
      </w:pBd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4A7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2026-06-04T05:32:40.279Z</dcterms:created>
  <dcterms:modified xsi:type="dcterms:W3CDTF">2026-06-04T05:32:40.279Z</dcterms:modified>
</cp:coreProperties>
</file>

<file path=docProps/custom.xml><?xml version="1.0" encoding="utf-8"?>
<Properties xmlns="http://schemas.openxmlformats.org/officeDocument/2006/custom-properties" xmlns:vt="http://schemas.openxmlformats.org/officeDocument/2006/docPropsVTypes"/>
</file>