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82B49"/>
          <w:sz w:val="48"/>
        </w:rPr>
        <w:t>Korg MS-20 Architecture &amp; DSP Engineering Specification</w:t>
      </w:r>
    </w:p>
    <w:p>
      <w:pPr>
        <w:spacing w:before="0" w:after="320"/>
      </w:pPr>
      <w:r>
        <w:rPr>
          <w:rFonts w:ascii="Calibri" w:hAnsi="Calibri"/>
          <w:i/>
          <w:color w:val="B85018"/>
          <w:sz w:val="24"/>
        </w:rPr>
        <w:t>Digital Emulation Blueprint: TPT Sallen-Key Filters, PolyBLEP VCOs, IC Topologies &amp; Rust Multi-Target Architecture</w:t>
      </w:r>
    </w:p>
    <w:p>
      <w:pPr>
        <w:spacing w:after="320"/>
        <w:pBdr>
          <w:bottom w:val="single" w:sz="12" w:space="1" w:color="182B49"/>
        </w:pBdr>
      </w:pPr>
    </w:p>
    <w:p>
      <w:r>
        <w:t>This document details the complete mathematical models, component-level IC topologies, and software architecture required to implement an authentic digital emulation of the classic Korg MS-20 synthesizer in Rust, targeting both a native Text User Interface (TUI via ratatui/crossterm) and a Web target (AudioWorklet via WebAssembly).</w:t>
      </w:r>
    </w:p>
    <w:p>
      <w:pPr>
        <w:keepNext/>
        <w:spacing w:before="280" w:after="80"/>
        <w:pBdr>
          <w:bottom w:val="single" w:sz="6" w:space="2" w:color="B85018"/>
        </w:pBdr>
      </w:pPr>
      <w:r>
        <w:rPr>
          <w:rFonts w:ascii="Calibri" w:hAnsi="Calibri"/>
          <w:b/>
          <w:color w:val="182B49"/>
          <w:sz w:val="30"/>
        </w:rPr>
        <w:t>1. Core Synthesis Engine Architecture</w:t>
      </w:r>
    </w:p>
    <w:p>
      <w:r>
        <w:t>The MS-20 is a monophonic, dual-VCO, dual-VCF semi-modular synthesizer using linear Hz/V pitch tracking and S-Trig switching in the analog domain. In DSP, signal calculation is carried out in normalized floating-point samples (f32 or f64). The architecture operates in a strictly monophonic voice allocation mode with high-priority or low-priority note tracking.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18" w:space="0" w:color="182B49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28"/>
                <w:sz w:val="18"/>
              </w:rPr>
              <w:t xml:space="preserve">                    +-----------+</w:t>
              <w:br/>
              <w:t xml:space="preserve">                    |   VCO 1   |----+</w:t>
              <w:br/>
              <w:t xml:space="preserve">                    +-----------+    |</w:t>
              <w:br/>
              <w:t xml:space="preserve">                          | (Sync/RM)|   +--------------+   +--------------+   +---------+</w:t>
              <w:br/>
              <w:t xml:space="preserve">                          v          +--&gt;| KORG35 HPF   |--&gt;| KORG35 LPF   |--&gt;|   VCA   |--&gt; Output</w:t>
              <w:br/>
              <w:t xml:space="preserve">                    +-----------+    |   | 12dB/oct TPT |   | 12dB/oct TPT |   | (Linear/|</w:t>
              <w:br/>
              <w:t xml:space="preserve">                    |   VCO 2   |----+   +--------------+   +--------------+   |  Exp)   |</w:t>
              <w:br/>
              <w:t xml:space="preserve">                    +-----------+               ^                  ^           +---------+</w:t>
              <w:br/>
              <w:t xml:space="preserve">                          |                     |                  |                ^</w:t>
              <w:br/>
              <w:t xml:space="preserve">                     Ring Modulation            +-------- EG1 -----+                |</w:t>
              <w:br/>
              <w:t xml:space="preserve">                                                +-------- EG2 ----------------------+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  <w:pBdr>
          <w:bottom w:val="single" w:sz="6" w:space="2" w:color="B85018"/>
        </w:pBdr>
      </w:pPr>
      <w:r>
        <w:rPr>
          <w:rFonts w:ascii="Calibri" w:hAnsi="Calibri"/>
          <w:b/>
          <w:color w:val="182B49"/>
          <w:sz w:val="30"/>
        </w:rPr>
        <w:t>2. Oscillator Section (VCO 1 &amp; VCO 2)</w:t>
      </w:r>
    </w:p>
    <w:p>
      <w:r>
        <w:t>Naive digital sawtooth and pulse waveforms suffer from severe Nyquist aliasing. To preserve authentic analog brightness without aliasing artifacts, implement PolyBLEP (Polynomial Band-Limited Step) residual correction around phase discontinuities.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B85018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B85018"/>
                <w:sz w:val="20"/>
              </w:rPr>
              <w:t>PolyBLEP Residual Function:</w:t>
              <w:br/>
            </w:r>
            <w:r>
              <w:rPr>
                <w:rFonts w:ascii="Cambria Math" w:hAnsi="Cambria Math"/>
                <w:color w:val="182B49"/>
                <w:sz w:val="21"/>
              </w:rPr>
              <w:t>For phase accumulator φ ∈ [0, 1) and phase increment Δt = f₀ / fₛ:</w:t>
              <w:br/>
              <w:br/>
              <w:t>BLEP(t, Δt) = (t / Δt) - (t² / (2 · Δt²)) - 0.5   for 0 ≤ t &lt; Δt</w:t>
              <w:br/>
              <w:t>BLEP(t, Δt) = (t / Δt) + (t² / (2 · Δt²)) + 0.5   for -Δt &lt; t ≤ 0</w:t>
              <w:br/>
              <w:t>BLEP(t, Δt) = 0                                     otherwise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B85018"/>
          <w:sz w:val="25"/>
        </w:rPr>
        <w:t>VCO Waveforms &amp; Ring Modulation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VCO 1: Triangle (integrated square or PolyBLAMP), Sawtooth (y_naive(φ) = 2φ - 1 minus BLEP(φ, Δt)), Variable Pulse/Square (PWM via dual BLEP subtraction), and White/Pink Noise.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VCO 2: Sawtooth, Square, and Narrow Pulse with independent pitch offset and master pitch tune.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Ring Modulation: In the MS-20, Ring Mod is an XOR-based digital logic network (TC4011 CMOS), NOT analog 4-quadrant multiplication. It calculates the sign product: RingOut = sgn(VCO1_Pulse) × sgn(VCO2_Pulse).</w:t>
      </w:r>
    </w:p>
    <w:p>
      <w:pPr>
        <w:keepNext/>
        <w:spacing w:before="280" w:after="80"/>
        <w:pBdr>
          <w:bottom w:val="single" w:sz="6" w:space="2" w:color="B85018"/>
        </w:pBdr>
      </w:pPr>
      <w:r>
        <w:rPr>
          <w:rFonts w:ascii="Calibri" w:hAnsi="Calibri"/>
          <w:b/>
          <w:color w:val="182B49"/>
          <w:sz w:val="30"/>
        </w:rPr>
        <w:t>3. The Dual KORG35 Filter (VCF HPF &amp; LPF)</w:t>
      </w:r>
    </w:p>
    <w:p>
      <w:r>
        <w:t>The defining sonic characteristic of the MS-20 (Rev. 1) is the paired Sallen-Key KORG35 topology: an active 2nd-order High-Pass Filter followed directly in series by an active 2nd-order Low-Pass Filter. Each filter provides 12 dB/octave attenuation. Conventional unit-delay feedback (z⁻¹) breaks down and destabilizes near self-oscillation. The filter must be implemented using Topology-Preserving Transform (TPT) with trapezoidal bilinear integration.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B85018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B85018"/>
                <w:sz w:val="20"/>
              </w:rPr>
              <w:t>TPT Sallen-Key Equations (Zero-Delay Feedback):</w:t>
              <w:br/>
            </w:r>
            <w:r>
              <w:rPr>
                <w:rFonts w:ascii="Cambria Math" w:hAnsi="Cambria Math"/>
                <w:color w:val="182B49"/>
                <w:sz w:val="21"/>
              </w:rPr>
              <w:t>Pre-warped Cutoff:  ωₐ = 2π · f_c,     g = tan(ωₐ / (2 · fₛ)),     G = g / (1 + g)</w:t>
              <w:br/>
              <w:br/>
              <w:t>Loop Resolution:    u[n] = x[n] - k · f_sat(y₂[n])     where f_sat(v) = tanh(v)</w:t>
              <w:br/>
              <w:br/>
              <w:t>State Updates:      v₁ = G · (u[n] - s₁),      y₁ = v₁ + s₁,      s₁ ← y₁ + v₁</w:t>
              <w:br/>
              <w:t xml:space="preserve">                    v₂ = G · (y₁ - s₂),        y₂ = v₂ + s₂,      s₂ ← y₂ + v₂</w:t>
              <w:br/>
              <w:br/>
              <w:t>HPF Output Node:    y_HP = u[n] - 2 · y₁ + y₂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  <w:pBdr>
          <w:bottom w:val="single" w:sz="6" w:space="2" w:color="B85018"/>
        </w:pBdr>
      </w:pPr>
      <w:r>
        <w:rPr>
          <w:rFonts w:ascii="Calibri" w:hAnsi="Calibri"/>
          <w:b/>
          <w:color w:val="182B49"/>
          <w:sz w:val="30"/>
        </w:rPr>
        <w:t>4. Envelope Generators (EG1 &amp; EG2)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EG1 (DAR - Delay, Attack, Release): Triggered by key press. Delay phase counter, followed by exponential Attack, and exponential Release upon note-off.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EG2 (HADSR - Hold, Attack, Decay, Sustain, Release): Main envelope generator featuring a Hold phase holding base level before attack, exponential attack toward target, decay toward sustain level, and exponential release.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Exponential Asymptotic Update: y[n] = y[n-1] + α · (V_target - y[n-1]), where α = 1 - exp(-1 / (τ · fₛ)).</w:t>
      </w:r>
    </w:p>
    <w:p>
      <w:pPr>
        <w:keepNext/>
        <w:spacing w:before="280" w:after="80"/>
        <w:pBdr>
          <w:bottom w:val="single" w:sz="6" w:space="2" w:color="B85018"/>
        </w:pBdr>
      </w:pPr>
      <w:r>
        <w:rPr>
          <w:rFonts w:ascii="Calibri" w:hAnsi="Calibri"/>
          <w:b/>
          <w:color w:val="182B49"/>
          <w:sz w:val="30"/>
        </w:rPr>
        <w:t>5. Component-Level IC &amp; Circuit Breakdown</w:t>
      </w:r>
    </w:p>
    <w:p>
      <w:pPr>
        <w:keepNext/>
        <w:spacing w:before="200" w:after="60"/>
      </w:pPr>
      <w:r>
        <w:rPr>
          <w:rFonts w:ascii="Calibri" w:hAnsi="Calibri"/>
          <w:b/>
          <w:color w:val="B85018"/>
          <w:sz w:val="25"/>
        </w:rPr>
        <w:t>5.1 KORG35 Hybrid Module (KLM-128 Board)</w:t>
      </w:r>
    </w:p>
    <w:p>
      <w:r>
        <w:t>Custom 8-pin SIP thick-film hybrid. Operates as an unbuffered variable-gain transconductance cell based on a matched NPN differential pair (equivalent to 2SC945 / 2N3904) with a common current-sink transistor, driven by a control current I_bias (0 to 500 μA) at Pin 6. The output is a single-ended PNP emitter follower (2SA733 / 2N3906). The Peak feedback loop incorporates diode/transistor junctions causing asymmetric soft-clipping and harmonic enrichment without losing low-frequency gain.</w:t>
      </w:r>
    </w:p>
    <w:p>
      <w:pPr>
        <w:keepNext/>
        <w:spacing w:before="200" w:after="60"/>
      </w:pPr>
      <w:r>
        <w:rPr>
          <w:rFonts w:ascii="Calibri" w:hAnsi="Calibri"/>
          <w:b/>
          <w:color w:val="B85018"/>
          <w:sz w:val="25"/>
        </w:rPr>
        <w:t>5.2 Logic &amp; Operational Amplifier ICs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TC4011BP (Quad 2-Input CMOS NAND): Implements the XOR logic network for VCO Ring Modulation and ESP pulse shaping.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TC4001BP (Quad 2-Input CMOS NOR): Manages S-Trig (active-low switch trigger) inversion and envelope gating pulses.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LM13600 / NJM13600: Dual OTA integrated circuit used in MS-20 Rev. 2 (KLM-307 board) featuring linearizing diodes and Darlington buffers.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LM324 &amp; RC4558: General-purpose quad and dual op-amps configured for envelope RC timing stages and ESP frequency tracking.</w:t>
      </w:r>
    </w:p>
    <w:p>
      <w:pPr>
        <w:keepNext/>
        <w:spacing w:before="280" w:after="80"/>
        <w:pBdr>
          <w:bottom w:val="single" w:sz="6" w:space="2" w:color="B85018"/>
        </w:pBdr>
      </w:pPr>
      <w:r>
        <w:rPr>
          <w:rFonts w:ascii="Calibri" w:hAnsi="Calibri"/>
          <w:b/>
          <w:color w:val="182B49"/>
          <w:sz w:val="30"/>
        </w:rPr>
        <w:t>6. Rust Multi-Target Architecture (Native TUI &amp; Web/WASM)</w:t>
      </w:r>
    </w:p>
    <w:p>
      <w:r>
        <w:t>To support both a Native TUI (via Ratatui and CPAL) and a Web target (via AudioWorklet and WebAssembly), the codebase must separate the core DSP engine into a strict pure-compute crate with zero I/O and zero dynamic memory allocations in the render path.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18" w:space="0" w:color="182B49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28"/>
                <w:sz w:val="18"/>
              </w:rPr>
              <w:t>ms20-workspace/</w:t>
              <w:br/>
              <w:t>├── ms20-core/               # Pure Rust audio engine (no I/O, no UI)</w:t>
              <w:br/>
              <w:t>│   ├── Cargo.toml</w:t>
              <w:br/>
              <w:t>│   └── src/</w:t>
              <w:br/>
              <w:t>│       ├── dsp/</w:t>
              <w:br/>
              <w:t>│       │   ├── oscillator.rs # PolyBLEP VCOs + Ring Mod</w:t>
              <w:br/>
              <w:t>│       │   ├── korg35.rs     # TPT Sallen-Key HPF &amp; LPF</w:t>
              <w:br/>
              <w:t>│       │   ├── envelope.rs   # DAR &amp; HADSR state machines</w:t>
              <w:br/>
              <w:t>│       │   └── lfo.rs        # Modulation generator</w:t>
              <w:br/>
              <w:t>│       ├── voice.rs          # Voice allocation &amp; signal flow</w:t>
              <w:br/>
              <w:t>│       ├── patchbay.rs       # Modulation matrix / virtual cables</w:t>
              <w:br/>
              <w:t>│       └── engine.rs         # Master synthesizer state &amp; render buffer</w:t>
              <w:br/>
              <w:t>│</w:t>
              <w:br/>
              <w:t>├── ms20-tui/                # Native Terminal Application (ratatui + cpal)</w:t>
              <w:br/>
              <w:t>│   ├── Cargo.toml</w:t>
              <w:br/>
              <w:t>│   └── src/</w:t>
              <w:br/>
              <w:t>│       ├── audio_host.rs    # cpal stream callback invoking ms20-core</w:t>
              <w:br/>
              <w:t>│       └── ui/              # Knobs, patchbay view, visual scopes</w:t>
              <w:br/>
              <w:t>│</w:t>
              <w:br/>
              <w:t>└── ms20-wasm/               # WebAssembly Target (wasm-bindgen)</w:t>
              <w:br/>
              <w:t xml:space="preserve">    ├── Cargo.toml</w:t>
              <w:br/>
              <w:t xml:space="preserve">    └── src/</w:t>
              <w:br/>
              <w:t xml:space="preserve">        └── lib.rs           # WebAudio AudioWorklet processor wrapper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B85018"/>
          <w:sz w:val="25"/>
        </w:rPr>
        <w:t>Audio Processor Trait &amp; Lock-Free Thread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18" w:space="0" w:color="182B49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28"/>
                <w:sz w:val="18"/>
              </w:rPr>
              <w:t>pub trait AudioProcessor {</w:t>
              <w:br/>
              <w:t xml:space="preserve">    fn process(&amp;mut self, output_left: &amp;mut [f32], output_right: &amp;mut [f32]);</w:t>
              <w:br/>
              <w:t xml:space="preserve">    fn handle_midi_event(&amp;mut self, message: [u8; 3]);</w:t>
              <w:br/>
              <w:t xml:space="preserve">    fn set_parameter(&amp;mut self, param_id: u32, value: f32);</w:t>
              <w:br/>
              <w:t>}</w:t>
            </w:r>
          </w:p>
        </w:tc>
      </w:tr>
    </w:tbl>
    <w:p>
      <w:pPr>
        <w:spacing w:before="0" w:after="80"/>
      </w:pPr>
    </w:p>
    <w:p>
      <w:r>
        <w:t>Thread Boundary: In both cpal and AudioWorkletProcessor, the audio rendering callback must remain strictly lock-free. Use atomic primitives or ring buffers (e.g. crossbeam-channel or rtrb) to pass MIDI events and parameter knob changes from the TUI/Web UI thread to the audio thread.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82C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