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7B7CD" w14:textId="77777777" w:rsidR="00F50613" w:rsidRPr="00DE3FE2" w:rsidRDefault="00F50613">
      <w:pPr>
        <w:rPr>
          <w:rFonts w:ascii="Arial" w:hAnsi="Arial" w:cs="Arial"/>
          <w:i/>
          <w:color w:val="4F81BD" w:themeColor="accent1"/>
          <w:shd w:val="clear" w:color="auto" w:fill="FFFFFF"/>
        </w:rPr>
      </w:pPr>
      <w:r w:rsidRPr="00DE3FE2">
        <w:rPr>
          <w:rFonts w:ascii="Arial" w:hAnsi="Arial" w:cs="Arial"/>
          <w:i/>
          <w:color w:val="4F81BD" w:themeColor="accent1"/>
          <w:shd w:val="clear" w:color="auto" w:fill="FFFFFF"/>
        </w:rPr>
        <w:t xml:space="preserve">Design projektu: </w:t>
      </w:r>
    </w:p>
    <w:p w14:paraId="2152E035" w14:textId="77777777" w:rsidR="00F50613" w:rsidRPr="00DE3FE2" w:rsidRDefault="00F50613">
      <w:pPr>
        <w:rPr>
          <w:rFonts w:ascii="Arial" w:hAnsi="Arial" w:cs="Arial"/>
          <w:i/>
          <w:color w:val="4F81BD" w:themeColor="accent1"/>
          <w:shd w:val="clear" w:color="auto" w:fill="FFFFFF"/>
        </w:rPr>
      </w:pPr>
      <w:r w:rsidRPr="00DE3FE2">
        <w:rPr>
          <w:rFonts w:ascii="Arial" w:hAnsi="Arial" w:cs="Arial"/>
          <w:i/>
          <w:color w:val="4F81BD" w:themeColor="accent1"/>
          <w:shd w:val="clear" w:color="auto" w:fill="FFFFFF"/>
        </w:rPr>
        <w:t>20 lokalit po celé ČR (různě daleko od sebe - 3 lokality pár km od sebe v Brdech, pak i jedna v Beskydech...)</w:t>
      </w:r>
    </w:p>
    <w:p w14:paraId="03701598" w14:textId="77777777" w:rsidR="00F50613" w:rsidRPr="00DE3FE2" w:rsidRDefault="00F50613">
      <w:pPr>
        <w:rPr>
          <w:rFonts w:ascii="Arial" w:hAnsi="Arial" w:cs="Arial"/>
          <w:i/>
          <w:color w:val="4F81BD" w:themeColor="accent1"/>
          <w:shd w:val="clear" w:color="auto" w:fill="FFFFFF"/>
        </w:rPr>
      </w:pPr>
      <w:r w:rsidRPr="00DE3FE2">
        <w:rPr>
          <w:rFonts w:ascii="Arial" w:hAnsi="Arial" w:cs="Arial"/>
          <w:i/>
          <w:color w:val="4F81BD" w:themeColor="accent1"/>
          <w:shd w:val="clear" w:color="auto" w:fill="FFFFFF"/>
        </w:rPr>
        <w:t xml:space="preserve">V každé lokalitě vytyčeno území 6 km2 v zapojeneém porostu (s dominancí smrhu), vyhledány silné stromy a na základě jejich hustot na každé lokalitě vybráno cca 10 ploch, tak aby pokrývali gradient počtu stromů od 0 do maxima na lokalitě. K nim vybrána jedna nejbližší rezevace (většinou stará bučina) pro porovnání (vzdálená od 6km2 území od 0,6 do cca 19 km). </w:t>
      </w:r>
    </w:p>
    <w:p w14:paraId="7DF90E81" w14:textId="77777777" w:rsidR="00F50613" w:rsidRPr="00DE3FE2" w:rsidRDefault="00F50613">
      <w:pPr>
        <w:rPr>
          <w:rFonts w:ascii="Arial" w:hAnsi="Arial" w:cs="Arial"/>
          <w:i/>
          <w:color w:val="4F81BD" w:themeColor="accent1"/>
          <w:shd w:val="clear" w:color="auto" w:fill="FFFFFF"/>
        </w:rPr>
      </w:pPr>
      <w:r w:rsidRPr="00DE3FE2">
        <w:rPr>
          <w:rFonts w:ascii="Arial" w:hAnsi="Arial" w:cs="Arial"/>
          <w:i/>
          <w:color w:val="4F81BD" w:themeColor="accent1"/>
          <w:shd w:val="clear" w:color="auto" w:fill="FFFFFF"/>
        </w:rPr>
        <w:t>Bylo provedeno sčítání ptáků (na každé ploše bodovkou do cca 50 m. a pro každý bod sebrány atributy o porostu do 100 m od bodu (počet listnatých silných stromů, počet všech silných stromů, celkový podíl listnáčů...).</w:t>
      </w:r>
    </w:p>
    <w:p w14:paraId="56AE6419" w14:textId="77777777" w:rsidR="00F50613" w:rsidRPr="00DE3FE2" w:rsidRDefault="00F50613">
      <w:pPr>
        <w:rPr>
          <w:rFonts w:ascii="Arial" w:hAnsi="Arial" w:cs="Arial"/>
          <w:i/>
          <w:color w:val="4F81BD" w:themeColor="accent1"/>
          <w:shd w:val="clear" w:color="auto" w:fill="FFFFFF"/>
        </w:rPr>
      </w:pPr>
      <w:r w:rsidRPr="00DE3FE2">
        <w:rPr>
          <w:rFonts w:ascii="Arial" w:hAnsi="Arial" w:cs="Arial"/>
          <w:i/>
          <w:color w:val="4F81BD" w:themeColor="accent1"/>
          <w:shd w:val="clear" w:color="auto" w:fill="FFFFFF"/>
        </w:rPr>
        <w:t>Z ploch se vyřadily ty, kde byl příliš velký podíl listnáčů, aby se zachovala dominance smrku v ploše.</w:t>
      </w:r>
    </w:p>
    <w:p w14:paraId="7B42E906" w14:textId="77777777" w:rsidR="00F50613" w:rsidRDefault="00F50613">
      <w:pPr>
        <w:rPr>
          <w:rFonts w:ascii="Arial" w:hAnsi="Arial" w:cs="Arial"/>
          <w:i/>
          <w:color w:val="4F81BD" w:themeColor="accent1"/>
          <w:shd w:val="clear" w:color="auto" w:fill="FFFFFF"/>
        </w:rPr>
      </w:pPr>
      <w:r w:rsidRPr="00DE3FE2">
        <w:rPr>
          <w:rFonts w:ascii="Arial" w:hAnsi="Arial" w:cs="Arial"/>
          <w:i/>
          <w:color w:val="4F81BD" w:themeColor="accent1"/>
          <w:shd w:val="clear" w:color="auto" w:fill="FFFFFF"/>
        </w:rPr>
        <w:t xml:space="preserve">Analyzoval se vliv těchto proměnných na ptáky </w:t>
      </w:r>
      <w:r w:rsidR="00DE3FE2" w:rsidRPr="00DE3FE2">
        <w:rPr>
          <w:rFonts w:ascii="Arial" w:hAnsi="Arial" w:cs="Arial"/>
          <w:i/>
          <w:color w:val="4F81BD" w:themeColor="accent1"/>
          <w:shd w:val="clear" w:color="auto" w:fill="FFFFFF"/>
        </w:rPr>
        <w:t>(celkový počet druhů, počet druhů generalistů a počet druhů specialistů)</w:t>
      </w:r>
      <w:r w:rsidRPr="00DE3FE2">
        <w:rPr>
          <w:rFonts w:ascii="Arial" w:hAnsi="Arial" w:cs="Arial"/>
          <w:i/>
          <w:color w:val="4F81BD" w:themeColor="accent1"/>
          <w:shd w:val="clear" w:color="auto" w:fill="FFFFFF"/>
        </w:rPr>
        <w:t xml:space="preserve">pouze na plochách s dominancí smrku (tedy bez rezervací). Použil </w:t>
      </w:r>
      <w:r w:rsidR="00DE3FE2" w:rsidRPr="00DE3FE2">
        <w:rPr>
          <w:rFonts w:ascii="Arial" w:hAnsi="Arial" w:cs="Arial"/>
          <w:i/>
          <w:color w:val="4F81BD" w:themeColor="accent1"/>
          <w:shd w:val="clear" w:color="auto" w:fill="FFFFFF"/>
        </w:rPr>
        <w:t>j</w:t>
      </w:r>
      <w:r w:rsidRPr="00DE3FE2">
        <w:rPr>
          <w:rFonts w:ascii="Arial" w:hAnsi="Arial" w:cs="Arial"/>
          <w:i/>
          <w:color w:val="4F81BD" w:themeColor="accent1"/>
          <w:shd w:val="clear" w:color="auto" w:fill="FFFFFF"/>
        </w:rPr>
        <w:t>se</w:t>
      </w:r>
      <w:r w:rsidR="00DE3FE2" w:rsidRPr="00DE3FE2">
        <w:rPr>
          <w:rFonts w:ascii="Arial" w:hAnsi="Arial" w:cs="Arial"/>
          <w:i/>
          <w:color w:val="4F81BD" w:themeColor="accent1"/>
          <w:shd w:val="clear" w:color="auto" w:fill="FFFFFF"/>
        </w:rPr>
        <w:t>m</w:t>
      </w:r>
      <w:r w:rsidRPr="00DE3FE2">
        <w:rPr>
          <w:rFonts w:ascii="Arial" w:hAnsi="Arial" w:cs="Arial"/>
          <w:i/>
          <w:color w:val="4F81BD" w:themeColor="accent1"/>
          <w:shd w:val="clear" w:color="auto" w:fill="FFFFFF"/>
        </w:rPr>
        <w:t xml:space="preserve"> LMM </w:t>
      </w:r>
      <w:r w:rsidR="00DE3FE2" w:rsidRPr="00DE3FE2">
        <w:rPr>
          <w:rFonts w:ascii="Arial" w:hAnsi="Arial" w:cs="Arial"/>
          <w:i/>
          <w:color w:val="4F81BD" w:themeColor="accent1"/>
          <w:shd w:val="clear" w:color="auto" w:fill="FFFFFF"/>
        </w:rPr>
        <w:t xml:space="preserve">(lineární trend u všech proměnných odpovídal) </w:t>
      </w:r>
      <w:r w:rsidRPr="00DE3FE2">
        <w:rPr>
          <w:rFonts w:ascii="Arial" w:hAnsi="Arial" w:cs="Arial"/>
          <w:i/>
          <w:color w:val="4F81BD" w:themeColor="accent1"/>
          <w:shd w:val="clear" w:color="auto" w:fill="FFFFFF"/>
        </w:rPr>
        <w:t>a ID lokality jako proměnn</w:t>
      </w:r>
      <w:r w:rsidR="00DE3FE2" w:rsidRPr="00DE3FE2">
        <w:rPr>
          <w:rFonts w:ascii="Arial" w:hAnsi="Arial" w:cs="Arial"/>
          <w:i/>
          <w:color w:val="4F81BD" w:themeColor="accent1"/>
          <w:shd w:val="clear" w:color="auto" w:fill="FFFFFF"/>
        </w:rPr>
        <w:t>ou</w:t>
      </w:r>
      <w:r w:rsidRPr="00DE3FE2">
        <w:rPr>
          <w:rFonts w:ascii="Arial" w:hAnsi="Arial" w:cs="Arial"/>
          <w:i/>
          <w:color w:val="4F81BD" w:themeColor="accent1"/>
          <w:shd w:val="clear" w:color="auto" w:fill="FFFFFF"/>
        </w:rPr>
        <w:t xml:space="preserve"> s náhodným efektem (abych zohlednil různou vzdálenost lokalit od sebe a možnou vzájemnou podobnost těch bližších).</w:t>
      </w:r>
    </w:p>
    <w:p w14:paraId="50F27221" w14:textId="77777777" w:rsidR="009F692F" w:rsidRDefault="009F692F">
      <w:pPr>
        <w:rPr>
          <w:rFonts w:ascii="Arial" w:hAnsi="Arial" w:cs="Arial"/>
          <w:i/>
          <w:color w:val="4F81BD" w:themeColor="accent1"/>
          <w:shd w:val="clear" w:color="auto" w:fill="FFFFFF"/>
        </w:rPr>
      </w:pPr>
      <w:r>
        <w:rPr>
          <w:rFonts w:ascii="Arial" w:hAnsi="Arial" w:cs="Arial"/>
          <w:i/>
          <w:color w:val="4F81BD" w:themeColor="accent1"/>
          <w:shd w:val="clear" w:color="auto" w:fill="FFFFFF"/>
        </w:rPr>
        <w:t>Použil jsem funkci stepAIC, jelikož jsem měl některé proměnné korelované a nevěděl jsem, kterou použít. Ve finálním výběru jsem měl 10 proměnných. Provedl jsem postupný i zpětný výběr proměnných abych měl jistotu, že finální model je správný.</w:t>
      </w:r>
    </w:p>
    <w:p w14:paraId="00114C03" w14:textId="77777777" w:rsidR="009F692F" w:rsidRPr="00DE3FE2" w:rsidRDefault="009F692F">
      <w:pPr>
        <w:rPr>
          <w:rFonts w:ascii="Arial" w:hAnsi="Arial" w:cs="Arial"/>
          <w:i/>
          <w:color w:val="4F81BD" w:themeColor="accent1"/>
          <w:shd w:val="clear" w:color="auto" w:fill="FFFFFF"/>
        </w:rPr>
      </w:pPr>
    </w:p>
    <w:p w14:paraId="329DB168" w14:textId="77777777" w:rsidR="00DE3FE2" w:rsidRPr="00DE3FE2" w:rsidRDefault="00DE3FE2">
      <w:pPr>
        <w:rPr>
          <w:rFonts w:ascii="Arial" w:hAnsi="Arial" w:cs="Arial"/>
          <w:i/>
          <w:color w:val="4F81BD" w:themeColor="accent1"/>
          <w:shd w:val="clear" w:color="auto" w:fill="FFFFFF"/>
        </w:rPr>
      </w:pPr>
      <w:r w:rsidRPr="00DE3FE2">
        <w:rPr>
          <w:rFonts w:ascii="Arial" w:hAnsi="Arial" w:cs="Arial"/>
          <w:i/>
          <w:color w:val="4F81BD" w:themeColor="accent1"/>
          <w:shd w:val="clear" w:color="auto" w:fill="FFFFFF"/>
        </w:rPr>
        <w:t>Druhá část analýzy spočívala v rozdělení onoho gradientu počtu silných stromů na 4 kategorie (0,0&lt;&gt;1, 1&lt;&gt;3, 3&lt;&gt;max), tak aby každá kategorie byla rozumně zastoupena (ty kde nebylo nic byly početnější, těch kde bylo stromů hodně bylo naopak málo). A tyto plochy se porovnaly s rezervacemi. Zase pomocí LMM s ID jako faktorem s náhodným efektem (ID lokality společné pro plochy v hosp. lese i příslušnou rezervaci). Následně jsem zjistil rozdíly mezi kategoriemi pomocí Tukey porovnání.</w:t>
      </w:r>
    </w:p>
    <w:p w14:paraId="66ABC3F6" w14:textId="77777777" w:rsidR="00F50613" w:rsidRPr="003639F1" w:rsidRDefault="003639F1">
      <w:pPr>
        <w:rPr>
          <w:rFonts w:ascii="Arial" w:hAnsi="Arial" w:cs="Arial"/>
          <w:i/>
          <w:color w:val="4F81BD" w:themeColor="accent1"/>
          <w:shd w:val="clear" w:color="auto" w:fill="FFFFFF"/>
        </w:rPr>
      </w:pPr>
      <w:r w:rsidRPr="003639F1">
        <w:rPr>
          <w:rFonts w:ascii="Arial" w:hAnsi="Arial" w:cs="Arial"/>
          <w:i/>
          <w:color w:val="4F81BD" w:themeColor="accent1"/>
          <w:shd w:val="clear" w:color="auto" w:fill="FFFFFF"/>
        </w:rPr>
        <w:t>U modelů jsem hodnotil korektnost pomocí shapiro testu normality residuálů a diagnostickými grafy.</w:t>
      </w:r>
    </w:p>
    <w:p w14:paraId="6689B265" w14:textId="77777777" w:rsidR="00F50613" w:rsidRDefault="00F50613">
      <w:pPr>
        <w:rPr>
          <w:rFonts w:ascii="Arial" w:hAnsi="Arial" w:cs="Arial"/>
          <w:color w:val="000000"/>
          <w:highlight w:val="yellow"/>
          <w:shd w:val="clear" w:color="auto" w:fill="FFFFFF"/>
        </w:rPr>
      </w:pPr>
    </w:p>
    <w:p w14:paraId="4B8DBA76" w14:textId="77777777" w:rsidR="00DE3FE2" w:rsidRPr="00DE3FE2" w:rsidRDefault="00DE3FE2">
      <w:pPr>
        <w:rPr>
          <w:rFonts w:ascii="Arial" w:hAnsi="Arial" w:cs="Arial"/>
          <w:color w:val="000000"/>
          <w:shd w:val="clear" w:color="auto" w:fill="FFFFFF"/>
        </w:rPr>
      </w:pPr>
      <w:r w:rsidRPr="00DE3FE2">
        <w:rPr>
          <w:rFonts w:ascii="Arial" w:hAnsi="Arial" w:cs="Arial"/>
          <w:color w:val="000000"/>
          <w:shd w:val="clear" w:color="auto" w:fill="FFFFFF"/>
        </w:rPr>
        <w:t>Otázky od oponenta (žluté podbarvení)</w:t>
      </w:r>
    </w:p>
    <w:p w14:paraId="17371EAE" w14:textId="77777777" w:rsidR="00DE3FE2" w:rsidRDefault="00DE3FE2">
      <w:pPr>
        <w:rPr>
          <w:rFonts w:ascii="Arial" w:hAnsi="Arial" w:cs="Arial"/>
          <w:color w:val="000000"/>
          <w:highlight w:val="yellow"/>
          <w:shd w:val="clear" w:color="auto" w:fill="FFFFFF"/>
        </w:rPr>
      </w:pPr>
    </w:p>
    <w:p w14:paraId="38A0BC92" w14:textId="77777777" w:rsidR="005E1453" w:rsidRDefault="00362E3A">
      <w:pPr>
        <w:rPr>
          <w:rFonts w:ascii="Arial" w:hAnsi="Arial" w:cs="Arial"/>
          <w:color w:val="000000"/>
          <w:shd w:val="clear" w:color="auto" w:fill="FFFFFF"/>
        </w:rPr>
      </w:pPr>
      <w:r w:rsidRPr="005C566B">
        <w:rPr>
          <w:rFonts w:ascii="Arial" w:hAnsi="Arial" w:cs="Arial"/>
          <w:color w:val="000000"/>
          <w:highlight w:val="yellow"/>
          <w:shd w:val="clear" w:color="auto" w:fill="FFFFFF"/>
        </w:rPr>
        <w:t>L211: linear mixed models are not appropriate to analyse count data (species richness), for which the Gaussian distribution is not correct. The authors should use generalised linear models with Poisson error distribution, and verify the assumptions of the distribution (in particular, potential overdispersion). Please also note that in this case, there is no assumption on the normality of the results.</w:t>
      </w:r>
    </w:p>
    <w:p w14:paraId="096F1232" w14:textId="77777777" w:rsidR="003639F1" w:rsidRPr="001815B3" w:rsidRDefault="003639F1">
      <w:pPr>
        <w:rPr>
          <w:rFonts w:ascii="Arial" w:hAnsi="Arial" w:cs="Arial"/>
          <w:i/>
          <w:color w:val="4F81BD" w:themeColor="accent1"/>
          <w:shd w:val="clear" w:color="auto" w:fill="FFFFFF"/>
        </w:rPr>
      </w:pPr>
      <w:commentRangeStart w:id="0"/>
      <w:r w:rsidRPr="001815B3">
        <w:rPr>
          <w:rFonts w:ascii="Arial" w:hAnsi="Arial" w:cs="Arial"/>
          <w:i/>
          <w:color w:val="4F81BD" w:themeColor="accent1"/>
          <w:shd w:val="clear" w:color="auto" w:fill="FFFFFF"/>
        </w:rPr>
        <w:lastRenderedPageBreak/>
        <w:t>Znamenalo by to užití GLMM s Poisson (glmer knihovna lme4). S touto knihovnou jsem záměrně nepracoval (užil jsem lme z nlme), často jsem měl problém ,aby mi fungovala funkce stepAIC nebo vyvolávání výsledků diagnostických grafů apod.</w:t>
      </w:r>
      <w:r w:rsidR="001815B3" w:rsidRPr="001815B3">
        <w:rPr>
          <w:rFonts w:ascii="Arial" w:hAnsi="Arial" w:cs="Arial"/>
          <w:i/>
          <w:color w:val="4F81BD" w:themeColor="accent1"/>
          <w:shd w:val="clear" w:color="auto" w:fill="FFFFFF"/>
        </w:rPr>
        <w:t xml:space="preserve"> </w:t>
      </w:r>
      <w:commentRangeEnd w:id="0"/>
      <w:r w:rsidR="006F19D4">
        <w:rPr>
          <w:rStyle w:val="Odkaznakoment"/>
        </w:rPr>
        <w:commentReference w:id="0"/>
      </w:r>
    </w:p>
    <w:p w14:paraId="0519C3E3" w14:textId="77777777" w:rsidR="00362E3A" w:rsidRDefault="00362E3A">
      <w:pPr>
        <w:rPr>
          <w:rFonts w:ascii="Arial" w:hAnsi="Arial" w:cs="Arial"/>
          <w:color w:val="000000"/>
          <w:shd w:val="clear" w:color="auto" w:fill="FFFFFF"/>
        </w:rPr>
      </w:pPr>
      <w:r w:rsidRPr="005C566B">
        <w:rPr>
          <w:rFonts w:ascii="Arial" w:hAnsi="Arial" w:cs="Arial"/>
          <w:color w:val="000000"/>
          <w:highlight w:val="yellow"/>
          <w:shd w:val="clear" w:color="auto" w:fill="FFFFFF"/>
        </w:rPr>
        <w:t>L231: same remark as above on the statistics</w:t>
      </w:r>
      <w:r w:rsidRPr="005C566B">
        <w:rPr>
          <w:rFonts w:ascii="Arial" w:hAnsi="Arial" w:cs="Arial"/>
          <w:color w:val="000000"/>
          <w:highlight w:val="yellow"/>
        </w:rPr>
        <w:br/>
      </w:r>
      <w:r w:rsidRPr="005C566B">
        <w:rPr>
          <w:rFonts w:ascii="Arial" w:hAnsi="Arial" w:cs="Arial"/>
          <w:color w:val="000000"/>
          <w:highlight w:val="yellow"/>
          <w:shd w:val="clear" w:color="auto" w:fill="FFFFFF"/>
        </w:rPr>
        <w:t>The fact that the sampling points are not of the same surface area between production forests and reserves is never taken into account. The authors should consider the use of an offset to account for the differences in sampling effort.</w:t>
      </w:r>
    </w:p>
    <w:p w14:paraId="487C8606" w14:textId="77777777" w:rsidR="00362E3A" w:rsidRPr="009C62D2" w:rsidRDefault="00362E3A">
      <w:pPr>
        <w:rPr>
          <w:rFonts w:ascii="Arial" w:hAnsi="Arial" w:cs="Arial"/>
          <w:i/>
          <w:color w:val="548DD4" w:themeColor="text2" w:themeTint="99"/>
          <w:shd w:val="clear" w:color="auto" w:fill="FFFFFF"/>
        </w:rPr>
      </w:pPr>
      <w:commentRangeStart w:id="1"/>
      <w:r w:rsidRPr="009C62D2">
        <w:rPr>
          <w:rFonts w:ascii="Arial" w:hAnsi="Arial" w:cs="Arial"/>
          <w:i/>
          <w:color w:val="548DD4" w:themeColor="text2" w:themeTint="99"/>
          <w:shd w:val="clear" w:color="auto" w:fill="FFFFFF"/>
        </w:rPr>
        <w:t>Rezervace byly vzdálené od ploch v produkčním lese od 0,6 až do 19 km. Do analýzy nebyla tato vzdálenost zahrnuta, ale plochy byly brány jako z jedné oblasti. Jako náhodný faktor byla brána pouze ID oblasti, která byla totožná pro danou rezervaci a porost.</w:t>
      </w:r>
      <w:r w:rsidR="001815B3">
        <w:rPr>
          <w:rFonts w:ascii="Arial" w:hAnsi="Arial" w:cs="Arial"/>
          <w:i/>
          <w:color w:val="548DD4" w:themeColor="text2" w:themeTint="99"/>
          <w:shd w:val="clear" w:color="auto" w:fill="FFFFFF"/>
        </w:rPr>
        <w:t xml:space="preserve"> Vzdálenost jsem zanedbal.</w:t>
      </w:r>
    </w:p>
    <w:p w14:paraId="6C2E749C" w14:textId="77777777" w:rsidR="006B606F" w:rsidRDefault="006B606F">
      <w:pPr>
        <w:rPr>
          <w:rFonts w:ascii="Arial" w:hAnsi="Arial" w:cs="Arial"/>
          <w:i/>
          <w:color w:val="548DD4" w:themeColor="text2" w:themeTint="99"/>
          <w:shd w:val="clear" w:color="auto" w:fill="FFFFFF"/>
        </w:rPr>
      </w:pPr>
      <w:r w:rsidRPr="009C62D2">
        <w:rPr>
          <w:rFonts w:ascii="Arial" w:hAnsi="Arial" w:cs="Arial"/>
          <w:i/>
          <w:color w:val="548DD4" w:themeColor="text2" w:themeTint="99"/>
          <w:shd w:val="clear" w:color="auto" w:fill="FFFFFF"/>
        </w:rPr>
        <w:t>Do modelu by tedy měl jako další náhodný efekt vstupovat vedle ID oblasti také vzdálenost studované lokalityv hospodářském lese od rezervace?</w:t>
      </w:r>
      <w:commentRangeEnd w:id="1"/>
      <w:r w:rsidR="006F19D4">
        <w:rPr>
          <w:rStyle w:val="Odkaznakoment"/>
        </w:rPr>
        <w:commentReference w:id="1"/>
      </w:r>
    </w:p>
    <w:p w14:paraId="4D3C7C1B" w14:textId="77777777" w:rsidR="001941D2" w:rsidRDefault="001941D2">
      <w:pPr>
        <w:rPr>
          <w:rFonts w:ascii="Arial" w:hAnsi="Arial" w:cs="Arial"/>
          <w:color w:val="000000"/>
          <w:shd w:val="clear" w:color="auto" w:fill="FFFFFF"/>
        </w:rPr>
      </w:pPr>
      <w:r w:rsidRPr="005C566B">
        <w:rPr>
          <w:rFonts w:ascii="Arial" w:hAnsi="Arial" w:cs="Arial"/>
          <w:color w:val="000000"/>
          <w:highlight w:val="yellow"/>
          <w:shd w:val="clear" w:color="auto" w:fill="FFFFFF"/>
        </w:rPr>
        <w:t>“The authors should consider the use of an offset to account for the differences in sampling effort.”</w:t>
      </w:r>
      <w:r>
        <w:rPr>
          <w:rFonts w:ascii="Arial" w:hAnsi="Arial" w:cs="Arial"/>
          <w:color w:val="000000"/>
          <w:shd w:val="clear" w:color="auto" w:fill="FFFFFF"/>
        </w:rPr>
        <w:t xml:space="preserve"> </w:t>
      </w:r>
    </w:p>
    <w:p w14:paraId="24720654" w14:textId="77777777" w:rsidR="001941D2" w:rsidRPr="001941D2" w:rsidRDefault="001941D2">
      <w:pPr>
        <w:rPr>
          <w:rFonts w:ascii="Arial" w:hAnsi="Arial" w:cs="Arial"/>
          <w:i/>
          <w:color w:val="4F81BD" w:themeColor="accent1"/>
          <w:shd w:val="clear" w:color="auto" w:fill="FFFFFF"/>
        </w:rPr>
      </w:pPr>
      <w:commentRangeStart w:id="2"/>
      <w:r>
        <w:rPr>
          <w:rFonts w:ascii="Arial" w:hAnsi="Arial" w:cs="Arial"/>
          <w:i/>
          <w:color w:val="4F81BD" w:themeColor="accent1"/>
          <w:shd w:val="clear" w:color="auto" w:fill="FFFFFF"/>
        </w:rPr>
        <w:t>Zde nerozumím co tím bylo myšleno. Na všech plochách bylo úsilí stejné. Ptáci byli sčítáni stejnou metodou. V produkčním porostu byla prozkoumána určitá plocha a dle nálezů starých stromů vytýčeny plochy. Tyto plochy byly dle hustoty stromů do 100 m od bodů rozkategorizovány na 4 kategorie. Tyto 4 kategorie byly následně porovnány s rezervacemi, kde sice byly stromy měřeny také a jen do cca 56 m od bodu, avšak tyto údaje o výskytech stromů nebo jejich počtu nebyly do analýzy zahrnuty, pouze označení, že jde o rezervaci.</w:t>
      </w:r>
      <w:r w:rsidR="00072053">
        <w:rPr>
          <w:rFonts w:ascii="Arial" w:hAnsi="Arial" w:cs="Arial"/>
          <w:i/>
          <w:color w:val="4F81BD" w:themeColor="accent1"/>
          <w:shd w:val="clear" w:color="auto" w:fill="FFFFFF"/>
        </w:rPr>
        <w:t xml:space="preserve"> Cílem bylo udělat si představu, jaký význam mají individuální stromy v hospodářském lese, pokud bychom tyto plochy srovnali s potenciání přirozenou vegetací (tedy bučinou, která je ponechána samovolnému vývoji - alespoň do určité míry). </w:t>
      </w:r>
      <w:commentRangeEnd w:id="2"/>
      <w:r w:rsidR="006F19D4">
        <w:rPr>
          <w:rStyle w:val="Odkaznakoment"/>
        </w:rPr>
        <w:commentReference w:id="2"/>
      </w:r>
    </w:p>
    <w:p w14:paraId="45699B48" w14:textId="77777777" w:rsidR="009C62D2" w:rsidRDefault="009C62D2">
      <w:pPr>
        <w:rPr>
          <w:rFonts w:ascii="Arial" w:hAnsi="Arial" w:cs="Arial"/>
          <w:color w:val="000000"/>
          <w:shd w:val="clear" w:color="auto" w:fill="FFFFFF"/>
        </w:rPr>
      </w:pPr>
      <w:r w:rsidRPr="005C566B">
        <w:rPr>
          <w:rFonts w:ascii="Arial" w:hAnsi="Arial" w:cs="Arial"/>
          <w:color w:val="000000"/>
          <w:highlight w:val="yellow"/>
          <w:shd w:val="clear" w:color="auto" w:fill="FFFFFF"/>
        </w:rPr>
        <w:t>L272-292: it would be interesting to further comment the magnitude of the results (ie. How many species more in each category?).</w:t>
      </w:r>
      <w:r>
        <w:rPr>
          <w:rFonts w:ascii="Arial" w:hAnsi="Arial" w:cs="Arial"/>
          <w:color w:val="000000"/>
          <w:shd w:val="clear" w:color="auto" w:fill="FFFFFF"/>
        </w:rPr>
        <w:t xml:space="preserve"> </w:t>
      </w:r>
    </w:p>
    <w:p w14:paraId="7F770007" w14:textId="77777777" w:rsidR="002A5629" w:rsidRPr="00FD139B" w:rsidRDefault="00FD139B">
      <w:pPr>
        <w:rPr>
          <w:rFonts w:ascii="Arial" w:hAnsi="Arial" w:cs="Arial"/>
          <w:i/>
          <w:color w:val="4F81BD" w:themeColor="accent1"/>
          <w:shd w:val="clear" w:color="auto" w:fill="FFFFFF"/>
        </w:rPr>
      </w:pPr>
      <w:commentRangeStart w:id="3"/>
      <w:r w:rsidRPr="00FD139B">
        <w:rPr>
          <w:rFonts w:ascii="Arial" w:hAnsi="Arial" w:cs="Arial"/>
          <w:i/>
          <w:color w:val="4F81BD" w:themeColor="accent1"/>
          <w:shd w:val="clear" w:color="auto" w:fill="FFFFFF"/>
        </w:rPr>
        <w:t xml:space="preserve">Lze to získat z modelu? Tedy z hodnoty Estimate u dané proměnné např.? Estimate pro kategorií 0&lt;&gt;1 a 0 je 1.2259, v kategorii 0&lt;&gt;1 je tedy v průměru o 1,2 druhu víc? </w:t>
      </w:r>
      <w:r>
        <w:rPr>
          <w:rFonts w:ascii="Arial" w:hAnsi="Arial" w:cs="Arial"/>
          <w:i/>
          <w:color w:val="4F81BD" w:themeColor="accent1"/>
          <w:shd w:val="clear" w:color="auto" w:fill="FFFFFF"/>
        </w:rPr>
        <w:t>Nevím, zda je to správné řešení?</w:t>
      </w:r>
      <w:commentRangeEnd w:id="3"/>
      <w:r w:rsidR="006F19D4">
        <w:rPr>
          <w:rStyle w:val="Odkaznakoment"/>
        </w:rPr>
        <w:commentReference w:id="3"/>
      </w:r>
    </w:p>
    <w:p w14:paraId="13491BCF" w14:textId="77777777" w:rsidR="002A5629" w:rsidRDefault="002A5629">
      <w:pPr>
        <w:rPr>
          <w:rFonts w:ascii="Arial" w:hAnsi="Arial" w:cs="Arial"/>
          <w:color w:val="000000"/>
          <w:shd w:val="clear" w:color="auto" w:fill="FFFFFF"/>
        </w:rPr>
      </w:pPr>
      <w:r w:rsidRPr="005C566B">
        <w:rPr>
          <w:rFonts w:ascii="Arial" w:hAnsi="Arial" w:cs="Arial"/>
          <w:color w:val="000000"/>
          <w:highlight w:val="yellow"/>
          <w:shd w:val="clear" w:color="auto" w:fill="FFFFFF"/>
        </w:rPr>
        <w:t>I would be curious about a comparison of the effects of the co-variables (e.g. scaled estimates), to see whether the effects of large trees is really more "important" than the other variables. This would replace estimate values in the Table 1.</w:t>
      </w:r>
    </w:p>
    <w:p w14:paraId="76BC9310" w14:textId="77777777" w:rsidR="002A5629" w:rsidRPr="00FD139B" w:rsidRDefault="00FD139B">
      <w:pPr>
        <w:rPr>
          <w:rFonts w:ascii="Arial" w:hAnsi="Arial" w:cs="Arial"/>
          <w:i/>
          <w:color w:val="4F81BD" w:themeColor="accent1"/>
          <w:shd w:val="clear" w:color="auto" w:fill="FFFFFF"/>
        </w:rPr>
      </w:pPr>
      <w:commentRangeStart w:id="4"/>
      <w:r>
        <w:rPr>
          <w:rFonts w:ascii="Arial" w:hAnsi="Arial" w:cs="Arial"/>
          <w:i/>
          <w:color w:val="4F81BD" w:themeColor="accent1"/>
          <w:shd w:val="clear" w:color="auto" w:fill="FFFFFF"/>
        </w:rPr>
        <w:t xml:space="preserve">Toto </w:t>
      </w:r>
      <w:r w:rsidRPr="00FD139B">
        <w:rPr>
          <w:rFonts w:ascii="Arial" w:hAnsi="Arial" w:cs="Arial"/>
          <w:i/>
          <w:color w:val="4F81BD" w:themeColor="accent1"/>
          <w:shd w:val="clear" w:color="auto" w:fill="FFFFFF"/>
        </w:rPr>
        <w:t>nevím jak z</w:t>
      </w:r>
      <w:r>
        <w:rPr>
          <w:rFonts w:ascii="Arial" w:hAnsi="Arial" w:cs="Arial"/>
          <w:i/>
          <w:color w:val="4F81BD" w:themeColor="accent1"/>
          <w:shd w:val="clear" w:color="auto" w:fill="FFFFFF"/>
        </w:rPr>
        <w:t xml:space="preserve"> modelu z</w:t>
      </w:r>
      <w:r w:rsidRPr="00FD139B">
        <w:rPr>
          <w:rFonts w:ascii="Arial" w:hAnsi="Arial" w:cs="Arial"/>
          <w:i/>
          <w:color w:val="4F81BD" w:themeColor="accent1"/>
          <w:shd w:val="clear" w:color="auto" w:fill="FFFFFF"/>
        </w:rPr>
        <w:t>ískat?</w:t>
      </w:r>
      <w:commentRangeEnd w:id="4"/>
      <w:r w:rsidR="006F19D4">
        <w:rPr>
          <w:rStyle w:val="Odkaznakoment"/>
        </w:rPr>
        <w:commentReference w:id="4"/>
      </w:r>
    </w:p>
    <w:p w14:paraId="3B62B5DD" w14:textId="77777777" w:rsidR="000116C9" w:rsidRDefault="000116C9">
      <w:pPr>
        <w:rPr>
          <w:rFonts w:ascii="Arial" w:hAnsi="Arial" w:cs="Arial"/>
          <w:color w:val="000000"/>
          <w:shd w:val="clear" w:color="auto" w:fill="FFFFFF"/>
        </w:rPr>
      </w:pPr>
      <w:r w:rsidRPr="005C566B">
        <w:rPr>
          <w:rFonts w:ascii="Arial" w:hAnsi="Arial" w:cs="Arial"/>
          <w:color w:val="000000"/>
          <w:highlight w:val="yellow"/>
          <w:shd w:val="clear" w:color="auto" w:fill="FFFFFF"/>
        </w:rPr>
        <w:t>L440-446: I also suspect an effect of sampling size here, but it is not very clear how this was assessed.</w:t>
      </w:r>
    </w:p>
    <w:p w14:paraId="54E7AC3C" w14:textId="77777777" w:rsidR="000116C9" w:rsidRDefault="000116C9">
      <w:pPr>
        <w:rPr>
          <w:rFonts w:ascii="Arial" w:hAnsi="Arial" w:cs="Arial"/>
          <w:color w:val="000000"/>
          <w:shd w:val="clear" w:color="auto" w:fill="FFFFFF"/>
        </w:rPr>
      </w:pPr>
      <w:r>
        <w:rPr>
          <w:noProof/>
          <w:lang w:val="cs-CZ" w:eastAsia="cs-CZ"/>
        </w:rPr>
        <w:lastRenderedPageBreak/>
        <w:drawing>
          <wp:inline distT="0" distB="0" distL="0" distR="0" wp14:anchorId="61A7D1CC" wp14:editId="7E286336">
            <wp:extent cx="2593149" cy="2664000"/>
            <wp:effectExtent l="0" t="0" r="0" b="317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key_Specialist_oprava.png"/>
                    <pic:cNvPicPr/>
                  </pic:nvPicPr>
                  <pic:blipFill>
                    <a:blip r:embed="rId8">
                      <a:extLst>
                        <a:ext uri="{28A0092B-C50C-407E-A947-70E740481C1C}">
                          <a14:useLocalDpi xmlns:a14="http://schemas.microsoft.com/office/drawing/2010/main" val="0"/>
                        </a:ext>
                      </a:extLst>
                    </a:blip>
                    <a:stretch>
                      <a:fillRect/>
                    </a:stretch>
                  </pic:blipFill>
                  <pic:spPr>
                    <a:xfrm>
                      <a:off x="0" y="0"/>
                      <a:ext cx="2593149" cy="2664000"/>
                    </a:xfrm>
                    <a:prstGeom prst="rect">
                      <a:avLst/>
                    </a:prstGeom>
                  </pic:spPr>
                </pic:pic>
              </a:graphicData>
            </a:graphic>
          </wp:inline>
        </w:drawing>
      </w:r>
    </w:p>
    <w:p w14:paraId="56C7688A" w14:textId="77777777" w:rsidR="000116C9" w:rsidRDefault="00DF1ABA">
      <w:pPr>
        <w:rPr>
          <w:rFonts w:ascii="Arial" w:hAnsi="Arial" w:cs="Arial"/>
          <w:color w:val="4F81BD" w:themeColor="accent1"/>
          <w:shd w:val="clear" w:color="auto" w:fill="FFFFFF"/>
        </w:rPr>
      </w:pPr>
      <w:commentRangeStart w:id="5"/>
      <w:r>
        <w:rPr>
          <w:rFonts w:ascii="Arial" w:hAnsi="Arial" w:cs="Arial"/>
          <w:color w:val="4F81BD" w:themeColor="accent1"/>
          <w:shd w:val="clear" w:color="auto" w:fill="FFFFFF"/>
        </w:rPr>
        <w:t>Mohl větší počet ploch v nižších kategoriích ovlivnit výsledky? Tedy, že byla vyšší šance na podchycení počtu druhů specialistů v kategoriích 0, 0&lt;&gt;1, 1&lt;&gt;3 ? A tím pádem podhodnocení ploch R? Proč by to bylo jen u specialistů?</w:t>
      </w:r>
      <w:commentRangeEnd w:id="5"/>
      <w:r w:rsidR="006F19D4">
        <w:rPr>
          <w:rStyle w:val="Odkaznakoment"/>
        </w:rPr>
        <w:commentReference w:id="5"/>
      </w:r>
    </w:p>
    <w:p w14:paraId="3B0261CE" w14:textId="77777777" w:rsidR="008A5C23" w:rsidRDefault="008A5C23">
      <w:pPr>
        <w:rPr>
          <w:rFonts w:ascii="Arial" w:hAnsi="Arial" w:cs="Arial"/>
          <w:color w:val="4F81BD" w:themeColor="accent1"/>
          <w:shd w:val="clear" w:color="auto" w:fill="FFFFFF"/>
        </w:rPr>
      </w:pPr>
    </w:p>
    <w:p w14:paraId="656EF659" w14:textId="77777777" w:rsidR="008A5C23" w:rsidRDefault="008A5C23">
      <w:pPr>
        <w:rPr>
          <w:rFonts w:ascii="Arial" w:hAnsi="Arial" w:cs="Arial"/>
          <w:color w:val="000000"/>
          <w:shd w:val="clear" w:color="auto" w:fill="FFFFFF"/>
        </w:rPr>
      </w:pPr>
      <w:r w:rsidRPr="005C566B">
        <w:rPr>
          <w:rFonts w:ascii="Arial" w:hAnsi="Arial" w:cs="Arial"/>
          <w:color w:val="000000"/>
          <w:highlight w:val="yellow"/>
          <w:shd w:val="clear" w:color="auto" w:fill="FFFFFF"/>
        </w:rPr>
        <w:t>Figure 2: Please mention if co-variables were averaged for this representation. Also, the curves extrapolate beyond the maximum number of broadleaved trees. Please stop at the maximum unless the representation is not correct.</w:t>
      </w:r>
    </w:p>
    <w:p w14:paraId="6CED9E5A" w14:textId="77777777" w:rsidR="0052207E" w:rsidRPr="0052207E" w:rsidRDefault="0052207E" w:rsidP="0052207E">
      <w:pPr>
        <w:rPr>
          <w:color w:val="4F81BD" w:themeColor="accent1"/>
        </w:rPr>
      </w:pPr>
      <w:commentRangeStart w:id="6"/>
      <w:r w:rsidRPr="0052207E">
        <w:rPr>
          <w:color w:val="4F81BD" w:themeColor="accent1"/>
        </w:rPr>
        <w:t>Počítal jsem to pomocí knihovny effects</w:t>
      </w:r>
      <w:r>
        <w:rPr>
          <w:color w:val="4F81BD" w:themeColor="accent1"/>
        </w:rPr>
        <w:t>. Tedy by to mělo být automaticky zprůměrováno? L</w:t>
      </w:r>
      <w:r w:rsidRPr="0052207E">
        <w:rPr>
          <w:color w:val="4F81BD" w:themeColor="accent1"/>
        </w:rPr>
        <w:t xml:space="preserve">ze </w:t>
      </w:r>
      <w:r>
        <w:rPr>
          <w:color w:val="4F81BD" w:themeColor="accent1"/>
        </w:rPr>
        <w:t xml:space="preserve">nějak jednoduše upravit délku vykreslení křivky? </w:t>
      </w:r>
      <w:r w:rsidRPr="0052207E">
        <w:rPr>
          <w:color w:val="4F81BD" w:themeColor="accent1"/>
        </w:rPr>
        <w:t>Případně jak by to šlo u GLMM? Měl jsem často problém z modelu křivku vytáhnout.</w:t>
      </w:r>
      <w:commentRangeEnd w:id="6"/>
      <w:r w:rsidR="00C1371A">
        <w:rPr>
          <w:rStyle w:val="Odkaznakoment"/>
        </w:rPr>
        <w:commentReference w:id="6"/>
      </w:r>
    </w:p>
    <w:p w14:paraId="72E0E3B8" w14:textId="77777777" w:rsidR="0052207E" w:rsidRDefault="0052207E">
      <w:pPr>
        <w:rPr>
          <w:rFonts w:ascii="Arial" w:hAnsi="Arial" w:cs="Arial"/>
          <w:color w:val="4F81BD" w:themeColor="accent1"/>
          <w:shd w:val="clear" w:color="auto" w:fill="FFFFFF"/>
        </w:rPr>
      </w:pPr>
    </w:p>
    <w:p w14:paraId="388D01F4" w14:textId="77777777" w:rsidR="008A5C23" w:rsidRDefault="008A5C23">
      <w:pPr>
        <w:rPr>
          <w:rFonts w:ascii="Arial" w:hAnsi="Arial" w:cs="Arial"/>
          <w:color w:val="4F81BD" w:themeColor="accent1"/>
          <w:shd w:val="clear" w:color="auto" w:fill="FFFFFF"/>
        </w:rPr>
      </w:pPr>
      <w:r>
        <w:rPr>
          <w:rFonts w:ascii="Times New Roman" w:hAnsi="Times New Roman" w:cs="Times New Roman"/>
          <w:noProof/>
          <w:lang w:val="cs-CZ" w:eastAsia="cs-CZ"/>
        </w:rPr>
        <w:drawing>
          <wp:inline distT="0" distB="0" distL="0" distR="0" wp14:anchorId="6E73193B" wp14:editId="509BEE22">
            <wp:extent cx="2693491" cy="2664000"/>
            <wp:effectExtent l="0" t="0" r="0" b="317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Y_ggplot_Specialist_Pocet_List.png"/>
                    <pic:cNvPicPr/>
                  </pic:nvPicPr>
                  <pic:blipFill>
                    <a:blip r:embed="rId9">
                      <a:extLst>
                        <a:ext uri="{28A0092B-C50C-407E-A947-70E740481C1C}">
                          <a14:useLocalDpi xmlns:a14="http://schemas.microsoft.com/office/drawing/2010/main" val="0"/>
                        </a:ext>
                      </a:extLst>
                    </a:blip>
                    <a:stretch>
                      <a:fillRect/>
                    </a:stretch>
                  </pic:blipFill>
                  <pic:spPr>
                    <a:xfrm>
                      <a:off x="0" y="0"/>
                      <a:ext cx="2693491" cy="2664000"/>
                    </a:xfrm>
                    <a:prstGeom prst="rect">
                      <a:avLst/>
                    </a:prstGeom>
                  </pic:spPr>
                </pic:pic>
              </a:graphicData>
            </a:graphic>
          </wp:inline>
        </w:drawing>
      </w:r>
    </w:p>
    <w:p w14:paraId="1490CE14" w14:textId="77777777" w:rsidR="008A5C23" w:rsidRDefault="008A5C23" w:rsidP="008A5C23">
      <w:pPr>
        <w:pStyle w:val="Titulek"/>
        <w:jc w:val="both"/>
        <w:rPr>
          <w:rFonts w:ascii="Times New Roman" w:hAnsi="Times New Roman" w:cs="Times New Roman"/>
          <w:b w:val="0"/>
          <w:color w:val="auto"/>
        </w:rPr>
      </w:pPr>
      <w:r w:rsidRPr="00753FA6">
        <w:rPr>
          <w:rFonts w:ascii="Times New Roman" w:hAnsi="Times New Roman" w:cs="Times New Roman"/>
          <w:color w:val="auto"/>
        </w:rPr>
        <w:t>Fig</w:t>
      </w:r>
      <w:r>
        <w:rPr>
          <w:rFonts w:ascii="Times New Roman" w:hAnsi="Times New Roman" w:cs="Times New Roman"/>
          <w:color w:val="auto"/>
        </w:rPr>
        <w:t>ure</w:t>
      </w:r>
      <w:r w:rsidRPr="00753FA6">
        <w:rPr>
          <w:rFonts w:ascii="Times New Roman" w:hAnsi="Times New Roman" w:cs="Times New Roman"/>
          <w:color w:val="auto"/>
        </w:rPr>
        <w:t xml:space="preserve"> 2:</w:t>
      </w:r>
      <w:r w:rsidRPr="00753FA6">
        <w:rPr>
          <w:rFonts w:ascii="Times New Roman" w:hAnsi="Times New Roman" w:cs="Times New Roman"/>
          <w:b w:val="0"/>
          <w:color w:val="auto"/>
        </w:rPr>
        <w:t xml:space="preserve"> Relationship between number of live </w:t>
      </w:r>
      <w:r>
        <w:rPr>
          <w:rFonts w:ascii="Times New Roman" w:hAnsi="Times New Roman" w:cs="Times New Roman"/>
          <w:b w:val="0"/>
          <w:color w:val="auto"/>
        </w:rPr>
        <w:t>broadleaved</w:t>
      </w:r>
      <w:r w:rsidRPr="00753FA6">
        <w:rPr>
          <w:rFonts w:ascii="Times New Roman" w:hAnsi="Times New Roman" w:cs="Times New Roman"/>
          <w:b w:val="0"/>
          <w:color w:val="auto"/>
        </w:rPr>
        <w:t xml:space="preserve"> trees ≥70 cm DBH within sampling plot</w:t>
      </w:r>
      <w:r>
        <w:rPr>
          <w:rFonts w:ascii="Times New Roman" w:hAnsi="Times New Roman" w:cs="Times New Roman"/>
          <w:b w:val="0"/>
          <w:color w:val="auto"/>
        </w:rPr>
        <w:t>s</w:t>
      </w:r>
      <w:r w:rsidRPr="00753FA6">
        <w:rPr>
          <w:rFonts w:ascii="Times New Roman" w:hAnsi="Times New Roman" w:cs="Times New Roman"/>
          <w:b w:val="0"/>
          <w:color w:val="auto"/>
        </w:rPr>
        <w:t xml:space="preserve"> (r =100 m) and total number of bird species (a), or number of generalist bird species (b), or specialist bird species (c) in spruce</w:t>
      </w:r>
      <w:r>
        <w:rPr>
          <w:rFonts w:ascii="Times New Roman" w:hAnsi="Times New Roman" w:cs="Times New Roman"/>
          <w:b w:val="0"/>
          <w:color w:val="auto"/>
        </w:rPr>
        <w:t>-</w:t>
      </w:r>
      <w:r w:rsidRPr="00753FA6">
        <w:rPr>
          <w:rFonts w:ascii="Times New Roman" w:hAnsi="Times New Roman" w:cs="Times New Roman"/>
          <w:b w:val="0"/>
          <w:color w:val="auto"/>
        </w:rPr>
        <w:t>dominated production forests (p value from LMM top</w:t>
      </w:r>
      <w:r>
        <w:rPr>
          <w:rFonts w:ascii="Times New Roman" w:hAnsi="Times New Roman" w:cs="Times New Roman"/>
          <w:b w:val="0"/>
          <w:color w:val="auto"/>
        </w:rPr>
        <w:t xml:space="preserve"> </w:t>
      </w:r>
      <w:r w:rsidRPr="00753FA6">
        <w:rPr>
          <w:rFonts w:ascii="Times New Roman" w:hAnsi="Times New Roman" w:cs="Times New Roman"/>
          <w:b w:val="0"/>
          <w:color w:val="auto"/>
        </w:rPr>
        <w:t xml:space="preserve">left). The black line is the regression curve from the linear mixed effect model and </w:t>
      </w:r>
      <w:r>
        <w:rPr>
          <w:rFonts w:ascii="Times New Roman" w:hAnsi="Times New Roman" w:cs="Times New Roman"/>
          <w:b w:val="0"/>
          <w:color w:val="auto"/>
        </w:rPr>
        <w:t xml:space="preserve">the </w:t>
      </w:r>
      <w:r w:rsidRPr="00753FA6">
        <w:rPr>
          <w:rFonts w:ascii="Times New Roman" w:hAnsi="Times New Roman" w:cs="Times New Roman"/>
          <w:b w:val="0"/>
          <w:color w:val="auto"/>
        </w:rPr>
        <w:t>grey area indicates the 95</w:t>
      </w:r>
      <w:r>
        <w:rPr>
          <w:rFonts w:ascii="Times New Roman" w:hAnsi="Times New Roman" w:cs="Times New Roman"/>
          <w:b w:val="0"/>
          <w:color w:val="auto"/>
        </w:rPr>
        <w:t xml:space="preserve"> </w:t>
      </w:r>
      <w:r w:rsidRPr="00753FA6">
        <w:rPr>
          <w:rFonts w:ascii="Times New Roman" w:hAnsi="Times New Roman" w:cs="Times New Roman"/>
          <w:b w:val="0"/>
          <w:color w:val="auto"/>
        </w:rPr>
        <w:t>% confident interval.</w:t>
      </w:r>
    </w:p>
    <w:p w14:paraId="123E7FFA" w14:textId="77777777" w:rsidR="000B4A75" w:rsidRDefault="000B4A75" w:rsidP="000B4A75">
      <w:pPr>
        <w:rPr>
          <w:rFonts w:ascii="Arial" w:hAnsi="Arial" w:cs="Arial"/>
          <w:color w:val="000000"/>
          <w:shd w:val="clear" w:color="auto" w:fill="FFFFFF"/>
        </w:rPr>
      </w:pPr>
      <w:r w:rsidRPr="005C566B">
        <w:rPr>
          <w:rFonts w:ascii="Arial" w:hAnsi="Arial" w:cs="Arial"/>
          <w:color w:val="000000"/>
          <w:highlight w:val="yellow"/>
          <w:shd w:val="clear" w:color="auto" w:fill="FFFFFF"/>
        </w:rPr>
        <w:lastRenderedPageBreak/>
        <w:t>Table 1: as mentioned, the estimates should be scaled to allow comparability and commented accordingly.</w:t>
      </w:r>
    </w:p>
    <w:p w14:paraId="02C061D5" w14:textId="77777777" w:rsidR="00881BBF" w:rsidRPr="00881BBF" w:rsidRDefault="00881BBF" w:rsidP="000B4A75">
      <w:pPr>
        <w:rPr>
          <w:rFonts w:ascii="Arial" w:hAnsi="Arial" w:cs="Arial"/>
          <w:color w:val="4F81BD" w:themeColor="accent1"/>
          <w:shd w:val="clear" w:color="auto" w:fill="FFFFFF"/>
        </w:rPr>
      </w:pPr>
      <w:r w:rsidRPr="00881BBF">
        <w:rPr>
          <w:rFonts w:ascii="Arial" w:hAnsi="Arial" w:cs="Arial"/>
          <w:color w:val="4F81BD" w:themeColor="accent1"/>
          <w:shd w:val="clear" w:color="auto" w:fill="FFFFFF"/>
        </w:rPr>
        <w:t>ddto</w:t>
      </w:r>
    </w:p>
    <w:p w14:paraId="2975CAD9" w14:textId="77777777" w:rsidR="000B4A75" w:rsidRPr="00753FA6" w:rsidRDefault="000B4A75" w:rsidP="000B4A75">
      <w:r w:rsidRPr="00753FA6">
        <w:rPr>
          <w:b/>
        </w:rPr>
        <w:t>Table 1:</w:t>
      </w:r>
      <w:r w:rsidRPr="00753FA6">
        <w:t xml:space="preserve"> Effect of selected stand features in spruce</w:t>
      </w:r>
      <w:r>
        <w:t>-</w:t>
      </w:r>
      <w:r w:rsidRPr="00753FA6">
        <w:t>dominated production forest on total number of bird species, number of generalist bird species</w:t>
      </w:r>
      <w:r>
        <w:t>,</w:t>
      </w:r>
      <w:r w:rsidRPr="00753FA6">
        <w:t xml:space="preserve"> and number of specialist bird species (last-mentioned sqrt-transformed).</w:t>
      </w:r>
    </w:p>
    <w:tbl>
      <w:tblPr>
        <w:tblStyle w:val="Mkatabulky"/>
        <w:tblW w:w="9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5"/>
        <w:gridCol w:w="2355"/>
        <w:gridCol w:w="1546"/>
        <w:gridCol w:w="1106"/>
        <w:gridCol w:w="991"/>
        <w:gridCol w:w="1112"/>
      </w:tblGrid>
      <w:tr w:rsidR="000B4A75" w:rsidRPr="00753FA6" w14:paraId="63AFB21A" w14:textId="77777777" w:rsidTr="005E4799">
        <w:tc>
          <w:tcPr>
            <w:tcW w:w="2325" w:type="dxa"/>
            <w:tcBorders>
              <w:top w:val="single" w:sz="4" w:space="0" w:color="auto"/>
              <w:bottom w:val="single" w:sz="4" w:space="0" w:color="auto"/>
            </w:tcBorders>
          </w:tcPr>
          <w:p w14:paraId="26F3AF97" w14:textId="77777777" w:rsidR="000B4A75" w:rsidRPr="00753FA6" w:rsidRDefault="000B4A75" w:rsidP="005E4799"/>
        </w:tc>
        <w:tc>
          <w:tcPr>
            <w:tcW w:w="2355" w:type="dxa"/>
            <w:tcBorders>
              <w:top w:val="single" w:sz="4" w:space="0" w:color="auto"/>
              <w:bottom w:val="single" w:sz="4" w:space="0" w:color="auto"/>
            </w:tcBorders>
          </w:tcPr>
          <w:p w14:paraId="6DA40CA5" w14:textId="77777777" w:rsidR="000B4A75" w:rsidRPr="00753FA6" w:rsidRDefault="000B4A75" w:rsidP="005E4799">
            <w:r w:rsidRPr="00753FA6">
              <w:rPr>
                <w:rFonts w:ascii="Times New Roman" w:hAnsi="Times New Roman" w:cs="Times New Roman"/>
              </w:rPr>
              <w:t>Variable</w:t>
            </w:r>
          </w:p>
        </w:tc>
        <w:tc>
          <w:tcPr>
            <w:tcW w:w="1546" w:type="dxa"/>
            <w:tcBorders>
              <w:top w:val="single" w:sz="4" w:space="0" w:color="auto"/>
              <w:bottom w:val="single" w:sz="4" w:space="0" w:color="auto"/>
            </w:tcBorders>
          </w:tcPr>
          <w:p w14:paraId="4985F925" w14:textId="77777777" w:rsidR="000B4A75" w:rsidRPr="00753FA6" w:rsidRDefault="000B4A75" w:rsidP="005E4799">
            <w:r w:rsidRPr="00753FA6">
              <w:rPr>
                <w:rFonts w:ascii="Times New Roman" w:hAnsi="Times New Roman" w:cs="Times New Roman"/>
              </w:rPr>
              <w:t>Est. (SE)</w:t>
            </w:r>
          </w:p>
        </w:tc>
        <w:tc>
          <w:tcPr>
            <w:tcW w:w="1106" w:type="dxa"/>
            <w:tcBorders>
              <w:top w:val="single" w:sz="4" w:space="0" w:color="auto"/>
              <w:bottom w:val="single" w:sz="4" w:space="0" w:color="auto"/>
            </w:tcBorders>
          </w:tcPr>
          <w:p w14:paraId="33B3ED2A" w14:textId="77777777" w:rsidR="000B4A75" w:rsidRPr="00753FA6" w:rsidRDefault="000B4A75" w:rsidP="005E4799">
            <w:pPr>
              <w:jc w:val="center"/>
            </w:pPr>
            <w:r w:rsidRPr="00753FA6">
              <w:rPr>
                <w:rFonts w:ascii="Times New Roman" w:hAnsi="Times New Roman" w:cs="Times New Roman"/>
              </w:rPr>
              <w:t>t</w:t>
            </w:r>
          </w:p>
        </w:tc>
        <w:tc>
          <w:tcPr>
            <w:tcW w:w="991" w:type="dxa"/>
            <w:tcBorders>
              <w:top w:val="single" w:sz="4" w:space="0" w:color="auto"/>
              <w:bottom w:val="single" w:sz="4" w:space="0" w:color="auto"/>
            </w:tcBorders>
          </w:tcPr>
          <w:p w14:paraId="189E2D3E" w14:textId="77777777" w:rsidR="000B4A75" w:rsidRPr="00753FA6" w:rsidRDefault="000B4A75" w:rsidP="005E4799">
            <w:pPr>
              <w:jc w:val="center"/>
            </w:pPr>
            <w:r w:rsidRPr="00753FA6">
              <w:rPr>
                <w:rFonts w:ascii="Times New Roman" w:hAnsi="Times New Roman" w:cs="Times New Roman"/>
              </w:rPr>
              <w:t>P</w:t>
            </w:r>
          </w:p>
        </w:tc>
        <w:tc>
          <w:tcPr>
            <w:tcW w:w="1112" w:type="dxa"/>
            <w:tcBorders>
              <w:top w:val="single" w:sz="4" w:space="0" w:color="auto"/>
              <w:bottom w:val="single" w:sz="4" w:space="0" w:color="auto"/>
            </w:tcBorders>
          </w:tcPr>
          <w:p w14:paraId="073A53DB" w14:textId="77777777" w:rsidR="000B4A75" w:rsidRPr="00753FA6" w:rsidRDefault="000B4A75" w:rsidP="005E4799">
            <w:r w:rsidRPr="00753FA6">
              <w:rPr>
                <w:rFonts w:ascii="Times New Roman" w:hAnsi="Times New Roman" w:cs="Times New Roman"/>
              </w:rPr>
              <w:t>Response</w:t>
            </w:r>
          </w:p>
        </w:tc>
      </w:tr>
      <w:tr w:rsidR="000B4A75" w:rsidRPr="00753FA6" w14:paraId="72E5C7EA" w14:textId="77777777" w:rsidTr="005E4799">
        <w:tc>
          <w:tcPr>
            <w:tcW w:w="2325" w:type="dxa"/>
            <w:tcBorders>
              <w:top w:val="single" w:sz="4" w:space="0" w:color="auto"/>
            </w:tcBorders>
          </w:tcPr>
          <w:p w14:paraId="66507C77" w14:textId="77777777" w:rsidR="000B4A75" w:rsidRPr="00753FA6" w:rsidRDefault="000B4A75" w:rsidP="005E4799">
            <w:r w:rsidRPr="00753FA6">
              <w:t>Total species richness</w:t>
            </w:r>
          </w:p>
        </w:tc>
        <w:tc>
          <w:tcPr>
            <w:tcW w:w="2355" w:type="dxa"/>
            <w:tcBorders>
              <w:top w:val="single" w:sz="4" w:space="0" w:color="auto"/>
            </w:tcBorders>
          </w:tcPr>
          <w:p w14:paraId="38C3C616" w14:textId="77777777" w:rsidR="000B4A75" w:rsidRPr="00753FA6" w:rsidRDefault="000B4A75" w:rsidP="005E4799">
            <w:r w:rsidRPr="00753FA6">
              <w:rPr>
                <w:rFonts w:ascii="Times New Roman" w:hAnsi="Times New Roman" w:cs="Times New Roman"/>
              </w:rPr>
              <w:t>Num</w:t>
            </w:r>
            <w:r>
              <w:rPr>
                <w:rFonts w:ascii="Times New Roman" w:hAnsi="Times New Roman" w:cs="Times New Roman"/>
              </w:rPr>
              <w:t>Broadl</w:t>
            </w:r>
            <w:r w:rsidRPr="00753FA6">
              <w:rPr>
                <w:rFonts w:ascii="Times New Roman" w:hAnsi="Times New Roman" w:cs="Times New Roman"/>
              </w:rPr>
              <w:t>LT70DBH</w:t>
            </w:r>
          </w:p>
        </w:tc>
        <w:tc>
          <w:tcPr>
            <w:tcW w:w="1546" w:type="dxa"/>
            <w:tcBorders>
              <w:top w:val="single" w:sz="4" w:space="0" w:color="auto"/>
            </w:tcBorders>
          </w:tcPr>
          <w:p w14:paraId="49930033" w14:textId="77777777" w:rsidR="000B4A75" w:rsidRPr="00753FA6" w:rsidRDefault="000B4A75" w:rsidP="005E4799">
            <w:pPr>
              <w:jc w:val="right"/>
            </w:pPr>
            <w:r w:rsidRPr="00753FA6">
              <w:t>0.130 (0.035)</w:t>
            </w:r>
          </w:p>
        </w:tc>
        <w:tc>
          <w:tcPr>
            <w:tcW w:w="1106" w:type="dxa"/>
            <w:tcBorders>
              <w:top w:val="single" w:sz="4" w:space="0" w:color="auto"/>
            </w:tcBorders>
          </w:tcPr>
          <w:p w14:paraId="277B85F0" w14:textId="77777777" w:rsidR="000B4A75" w:rsidRPr="00753FA6" w:rsidRDefault="000B4A75" w:rsidP="005E4799">
            <w:pPr>
              <w:jc w:val="right"/>
            </w:pPr>
            <w:r w:rsidRPr="00753FA6">
              <w:t>3.685</w:t>
            </w:r>
          </w:p>
        </w:tc>
        <w:tc>
          <w:tcPr>
            <w:tcW w:w="991" w:type="dxa"/>
            <w:tcBorders>
              <w:top w:val="single" w:sz="4" w:space="0" w:color="auto"/>
            </w:tcBorders>
          </w:tcPr>
          <w:p w14:paraId="48CE00C2" w14:textId="77777777" w:rsidR="000B4A75" w:rsidRPr="00753FA6" w:rsidRDefault="000B4A75" w:rsidP="005E4799">
            <w:pPr>
              <w:jc w:val="right"/>
            </w:pPr>
            <w:r w:rsidRPr="00753FA6">
              <w:rPr>
                <w:b/>
              </w:rPr>
              <w:t>&lt;0.001</w:t>
            </w:r>
          </w:p>
        </w:tc>
        <w:tc>
          <w:tcPr>
            <w:tcW w:w="1112" w:type="dxa"/>
            <w:tcBorders>
              <w:top w:val="single" w:sz="4" w:space="0" w:color="auto"/>
            </w:tcBorders>
          </w:tcPr>
          <w:p w14:paraId="21FFF1A3" w14:textId="77777777" w:rsidR="000B4A75" w:rsidRPr="00753FA6" w:rsidRDefault="000B4A75" w:rsidP="005E4799">
            <w:pPr>
              <w:jc w:val="center"/>
            </w:pPr>
            <w:r w:rsidRPr="00753FA6">
              <w:t>+</w:t>
            </w:r>
          </w:p>
        </w:tc>
      </w:tr>
      <w:tr w:rsidR="000B4A75" w:rsidRPr="00753FA6" w14:paraId="70830879" w14:textId="77777777" w:rsidTr="005E4799">
        <w:tc>
          <w:tcPr>
            <w:tcW w:w="2325" w:type="dxa"/>
          </w:tcPr>
          <w:p w14:paraId="743343B5" w14:textId="77777777" w:rsidR="000B4A75" w:rsidRPr="00753FA6" w:rsidRDefault="000B4A75" w:rsidP="005E4799"/>
        </w:tc>
        <w:tc>
          <w:tcPr>
            <w:tcW w:w="2355" w:type="dxa"/>
          </w:tcPr>
          <w:p w14:paraId="6DB95F93" w14:textId="77777777" w:rsidR="000B4A75" w:rsidRPr="00753FA6" w:rsidRDefault="000B4A75" w:rsidP="005E4799">
            <w:pPr>
              <w:rPr>
                <w:rFonts w:ascii="Times New Roman" w:hAnsi="Times New Roman" w:cs="Times New Roman"/>
              </w:rPr>
            </w:pPr>
            <w:r>
              <w:rPr>
                <w:rFonts w:ascii="Times New Roman" w:hAnsi="Times New Roman" w:cs="Times New Roman"/>
              </w:rPr>
              <w:t>Broadl</w:t>
            </w:r>
            <w:r w:rsidRPr="00753FA6">
              <w:rPr>
                <w:rFonts w:ascii="Times New Roman" w:hAnsi="Times New Roman" w:cs="Times New Roman"/>
              </w:rPr>
              <w:t>_cover</w:t>
            </w:r>
          </w:p>
        </w:tc>
        <w:tc>
          <w:tcPr>
            <w:tcW w:w="1546" w:type="dxa"/>
          </w:tcPr>
          <w:p w14:paraId="7B948F19" w14:textId="77777777" w:rsidR="000B4A75" w:rsidRPr="00753FA6" w:rsidRDefault="000B4A75" w:rsidP="005E4799">
            <w:pPr>
              <w:jc w:val="right"/>
            </w:pPr>
            <w:r w:rsidRPr="00753FA6">
              <w:t>0.032 (0.012)</w:t>
            </w:r>
          </w:p>
        </w:tc>
        <w:tc>
          <w:tcPr>
            <w:tcW w:w="1106" w:type="dxa"/>
          </w:tcPr>
          <w:p w14:paraId="0D42A64D" w14:textId="77777777" w:rsidR="000B4A75" w:rsidRPr="00753FA6" w:rsidRDefault="000B4A75" w:rsidP="005E4799">
            <w:pPr>
              <w:jc w:val="right"/>
            </w:pPr>
            <w:r w:rsidRPr="00753FA6">
              <w:t>2.614</w:t>
            </w:r>
          </w:p>
        </w:tc>
        <w:tc>
          <w:tcPr>
            <w:tcW w:w="991" w:type="dxa"/>
          </w:tcPr>
          <w:p w14:paraId="50F280F5" w14:textId="77777777" w:rsidR="000B4A75" w:rsidRPr="00753FA6" w:rsidRDefault="000B4A75" w:rsidP="005E4799">
            <w:pPr>
              <w:jc w:val="right"/>
            </w:pPr>
            <w:r w:rsidRPr="00753FA6">
              <w:rPr>
                <w:b/>
              </w:rPr>
              <w:t>0.010</w:t>
            </w:r>
          </w:p>
        </w:tc>
        <w:tc>
          <w:tcPr>
            <w:tcW w:w="1112" w:type="dxa"/>
          </w:tcPr>
          <w:p w14:paraId="024A1E8F" w14:textId="77777777" w:rsidR="000B4A75" w:rsidRPr="00753FA6" w:rsidRDefault="000B4A75" w:rsidP="005E4799">
            <w:pPr>
              <w:jc w:val="center"/>
            </w:pPr>
            <w:r w:rsidRPr="00753FA6">
              <w:t>+</w:t>
            </w:r>
          </w:p>
        </w:tc>
      </w:tr>
      <w:tr w:rsidR="000B4A75" w:rsidRPr="00753FA6" w14:paraId="6BFF37D2" w14:textId="77777777" w:rsidTr="005E4799">
        <w:tc>
          <w:tcPr>
            <w:tcW w:w="2325" w:type="dxa"/>
          </w:tcPr>
          <w:p w14:paraId="6DE8F075" w14:textId="77777777" w:rsidR="000B4A75" w:rsidRPr="00753FA6" w:rsidRDefault="000B4A75" w:rsidP="005E4799"/>
        </w:tc>
        <w:tc>
          <w:tcPr>
            <w:tcW w:w="2355" w:type="dxa"/>
          </w:tcPr>
          <w:p w14:paraId="1C5DBC01" w14:textId="77777777" w:rsidR="000B4A75" w:rsidRPr="00753FA6" w:rsidRDefault="000B4A75" w:rsidP="005E4799">
            <w:pPr>
              <w:rPr>
                <w:rFonts w:ascii="Times New Roman" w:hAnsi="Times New Roman" w:cs="Times New Roman"/>
              </w:rPr>
            </w:pPr>
            <w:r w:rsidRPr="00753FA6">
              <w:rPr>
                <w:rFonts w:ascii="Times New Roman" w:hAnsi="Times New Roman" w:cs="Times New Roman"/>
              </w:rPr>
              <w:t>Age_SD</w:t>
            </w:r>
          </w:p>
        </w:tc>
        <w:tc>
          <w:tcPr>
            <w:tcW w:w="1546" w:type="dxa"/>
          </w:tcPr>
          <w:p w14:paraId="530243CF" w14:textId="77777777" w:rsidR="000B4A75" w:rsidRPr="00753FA6" w:rsidRDefault="000B4A75" w:rsidP="005E4799">
            <w:pPr>
              <w:jc w:val="right"/>
            </w:pPr>
            <w:r w:rsidRPr="00753FA6">
              <w:t>0.015 (0.011)</w:t>
            </w:r>
          </w:p>
        </w:tc>
        <w:tc>
          <w:tcPr>
            <w:tcW w:w="1106" w:type="dxa"/>
          </w:tcPr>
          <w:p w14:paraId="18F0470D" w14:textId="77777777" w:rsidR="000B4A75" w:rsidRPr="00753FA6" w:rsidRDefault="000B4A75" w:rsidP="005E4799">
            <w:pPr>
              <w:jc w:val="right"/>
            </w:pPr>
            <w:r w:rsidRPr="00753FA6">
              <w:t>1.400</w:t>
            </w:r>
          </w:p>
        </w:tc>
        <w:tc>
          <w:tcPr>
            <w:tcW w:w="991" w:type="dxa"/>
          </w:tcPr>
          <w:p w14:paraId="54E271F2" w14:textId="77777777" w:rsidR="000B4A75" w:rsidRPr="00753FA6" w:rsidRDefault="000B4A75" w:rsidP="005E4799">
            <w:pPr>
              <w:jc w:val="right"/>
            </w:pPr>
            <w:r w:rsidRPr="00753FA6">
              <w:t>0.163</w:t>
            </w:r>
          </w:p>
        </w:tc>
        <w:tc>
          <w:tcPr>
            <w:tcW w:w="1112" w:type="dxa"/>
          </w:tcPr>
          <w:p w14:paraId="0E3A41E9" w14:textId="77777777" w:rsidR="000B4A75" w:rsidRPr="00753FA6" w:rsidRDefault="000B4A75" w:rsidP="005E4799">
            <w:pPr>
              <w:jc w:val="center"/>
            </w:pPr>
            <w:r w:rsidRPr="00753FA6">
              <w:t>+</w:t>
            </w:r>
          </w:p>
        </w:tc>
      </w:tr>
      <w:tr w:rsidR="000B4A75" w:rsidRPr="00753FA6" w14:paraId="17FFCF0A" w14:textId="77777777" w:rsidTr="005E4799">
        <w:tc>
          <w:tcPr>
            <w:tcW w:w="2325" w:type="dxa"/>
          </w:tcPr>
          <w:p w14:paraId="390D6BA0" w14:textId="77777777" w:rsidR="000B4A75" w:rsidRPr="00753FA6" w:rsidRDefault="000B4A75" w:rsidP="005E4799"/>
        </w:tc>
        <w:tc>
          <w:tcPr>
            <w:tcW w:w="2355" w:type="dxa"/>
          </w:tcPr>
          <w:p w14:paraId="52E6A82C" w14:textId="77777777" w:rsidR="000B4A75" w:rsidRPr="00753FA6" w:rsidRDefault="000B4A75" w:rsidP="005E4799">
            <w:pPr>
              <w:rPr>
                <w:rFonts w:ascii="Times New Roman" w:hAnsi="Times New Roman" w:cs="Times New Roman"/>
              </w:rPr>
            </w:pPr>
            <w:r w:rsidRPr="00753FA6">
              <w:rPr>
                <w:rFonts w:ascii="Times New Roman" w:hAnsi="Times New Roman" w:cs="Times New Roman"/>
              </w:rPr>
              <w:t>ClearCutDist</w:t>
            </w:r>
          </w:p>
        </w:tc>
        <w:tc>
          <w:tcPr>
            <w:tcW w:w="1546" w:type="dxa"/>
          </w:tcPr>
          <w:p w14:paraId="75CE9206" w14:textId="77777777" w:rsidR="000B4A75" w:rsidRPr="00753FA6" w:rsidRDefault="000B4A75" w:rsidP="005E4799">
            <w:pPr>
              <w:jc w:val="right"/>
            </w:pPr>
            <w:r w:rsidRPr="00753FA6">
              <w:t>-0.008 (0.002)</w:t>
            </w:r>
          </w:p>
        </w:tc>
        <w:tc>
          <w:tcPr>
            <w:tcW w:w="1106" w:type="dxa"/>
          </w:tcPr>
          <w:p w14:paraId="10C4DB8E" w14:textId="77777777" w:rsidR="000B4A75" w:rsidRPr="00753FA6" w:rsidRDefault="000B4A75" w:rsidP="005E4799">
            <w:pPr>
              <w:jc w:val="right"/>
            </w:pPr>
            <w:r w:rsidRPr="00753FA6">
              <w:t>-3.223</w:t>
            </w:r>
          </w:p>
        </w:tc>
        <w:tc>
          <w:tcPr>
            <w:tcW w:w="991" w:type="dxa"/>
          </w:tcPr>
          <w:p w14:paraId="6B27954C" w14:textId="77777777" w:rsidR="000B4A75" w:rsidRPr="00753FA6" w:rsidRDefault="000B4A75" w:rsidP="005E4799">
            <w:pPr>
              <w:jc w:val="right"/>
            </w:pPr>
            <w:r w:rsidRPr="00753FA6">
              <w:rPr>
                <w:b/>
              </w:rPr>
              <w:t>0.002</w:t>
            </w:r>
          </w:p>
        </w:tc>
        <w:tc>
          <w:tcPr>
            <w:tcW w:w="1112" w:type="dxa"/>
          </w:tcPr>
          <w:p w14:paraId="68978615" w14:textId="77777777" w:rsidR="000B4A75" w:rsidRPr="00753FA6" w:rsidRDefault="000B4A75" w:rsidP="005E4799">
            <w:pPr>
              <w:jc w:val="center"/>
            </w:pPr>
            <w:r w:rsidRPr="00753FA6">
              <w:t>-</w:t>
            </w:r>
          </w:p>
        </w:tc>
      </w:tr>
      <w:tr w:rsidR="000B4A75" w:rsidRPr="00753FA6" w14:paraId="762677D6" w14:textId="77777777" w:rsidTr="005E4799">
        <w:tc>
          <w:tcPr>
            <w:tcW w:w="2325" w:type="dxa"/>
          </w:tcPr>
          <w:p w14:paraId="4BB66C54" w14:textId="77777777" w:rsidR="000B4A75" w:rsidRPr="00753FA6" w:rsidRDefault="000B4A75" w:rsidP="005E4799"/>
        </w:tc>
        <w:tc>
          <w:tcPr>
            <w:tcW w:w="2355" w:type="dxa"/>
          </w:tcPr>
          <w:p w14:paraId="3066A71C" w14:textId="77777777" w:rsidR="000B4A75" w:rsidRPr="00753FA6" w:rsidRDefault="000B4A75" w:rsidP="005E4799">
            <w:pPr>
              <w:rPr>
                <w:rFonts w:ascii="Times New Roman" w:hAnsi="Times New Roman" w:cs="Times New Roman"/>
              </w:rPr>
            </w:pPr>
          </w:p>
        </w:tc>
        <w:tc>
          <w:tcPr>
            <w:tcW w:w="1546" w:type="dxa"/>
          </w:tcPr>
          <w:p w14:paraId="6D25B9C8" w14:textId="77777777" w:rsidR="000B4A75" w:rsidRPr="00753FA6" w:rsidRDefault="000B4A75" w:rsidP="005E4799">
            <w:pPr>
              <w:jc w:val="right"/>
            </w:pPr>
          </w:p>
        </w:tc>
        <w:tc>
          <w:tcPr>
            <w:tcW w:w="1106" w:type="dxa"/>
          </w:tcPr>
          <w:p w14:paraId="5B551AFA" w14:textId="77777777" w:rsidR="000B4A75" w:rsidRPr="00753FA6" w:rsidRDefault="000B4A75" w:rsidP="005E4799">
            <w:pPr>
              <w:jc w:val="right"/>
            </w:pPr>
          </w:p>
        </w:tc>
        <w:tc>
          <w:tcPr>
            <w:tcW w:w="991" w:type="dxa"/>
          </w:tcPr>
          <w:p w14:paraId="6AF8C342" w14:textId="77777777" w:rsidR="000B4A75" w:rsidRPr="00753FA6" w:rsidRDefault="000B4A75" w:rsidP="005E4799">
            <w:pPr>
              <w:jc w:val="right"/>
            </w:pPr>
          </w:p>
        </w:tc>
        <w:tc>
          <w:tcPr>
            <w:tcW w:w="1112" w:type="dxa"/>
          </w:tcPr>
          <w:p w14:paraId="64679E08" w14:textId="77777777" w:rsidR="000B4A75" w:rsidRPr="00753FA6" w:rsidRDefault="000B4A75" w:rsidP="005E4799">
            <w:pPr>
              <w:jc w:val="center"/>
            </w:pPr>
          </w:p>
        </w:tc>
      </w:tr>
      <w:tr w:rsidR="000B4A75" w:rsidRPr="00753FA6" w14:paraId="5FF6FCA8" w14:textId="77777777" w:rsidTr="005E4799">
        <w:tc>
          <w:tcPr>
            <w:tcW w:w="2325" w:type="dxa"/>
          </w:tcPr>
          <w:p w14:paraId="3CD05244" w14:textId="77777777" w:rsidR="000B4A75" w:rsidRPr="00753FA6" w:rsidRDefault="000B4A75" w:rsidP="005E4799">
            <w:r w:rsidRPr="00753FA6">
              <w:t>Generalist</w:t>
            </w:r>
          </w:p>
        </w:tc>
        <w:tc>
          <w:tcPr>
            <w:tcW w:w="2355" w:type="dxa"/>
          </w:tcPr>
          <w:p w14:paraId="1EF0C88E" w14:textId="77777777" w:rsidR="000B4A75" w:rsidRPr="00753FA6" w:rsidRDefault="000B4A75" w:rsidP="005E4799">
            <w:r w:rsidRPr="00753FA6">
              <w:rPr>
                <w:rFonts w:ascii="Times New Roman" w:hAnsi="Times New Roman" w:cs="Times New Roman"/>
              </w:rPr>
              <w:t>Num</w:t>
            </w:r>
            <w:r>
              <w:rPr>
                <w:rFonts w:ascii="Times New Roman" w:hAnsi="Times New Roman" w:cs="Times New Roman"/>
              </w:rPr>
              <w:t>Broadl</w:t>
            </w:r>
            <w:r w:rsidRPr="00753FA6">
              <w:rPr>
                <w:rFonts w:ascii="Times New Roman" w:hAnsi="Times New Roman" w:cs="Times New Roman"/>
              </w:rPr>
              <w:t>LT70DBH</w:t>
            </w:r>
          </w:p>
        </w:tc>
        <w:tc>
          <w:tcPr>
            <w:tcW w:w="1546" w:type="dxa"/>
          </w:tcPr>
          <w:p w14:paraId="164ABEDD" w14:textId="77777777" w:rsidR="000B4A75" w:rsidRPr="00753FA6" w:rsidRDefault="000B4A75" w:rsidP="005E4799">
            <w:pPr>
              <w:jc w:val="right"/>
            </w:pPr>
            <w:r w:rsidRPr="00753FA6">
              <w:t>0.110 (0.040)</w:t>
            </w:r>
          </w:p>
        </w:tc>
        <w:tc>
          <w:tcPr>
            <w:tcW w:w="1106" w:type="dxa"/>
          </w:tcPr>
          <w:p w14:paraId="4C88DE81" w14:textId="77777777" w:rsidR="000B4A75" w:rsidRPr="00753FA6" w:rsidRDefault="000B4A75" w:rsidP="005E4799">
            <w:pPr>
              <w:jc w:val="right"/>
            </w:pPr>
            <w:r w:rsidRPr="00753FA6">
              <w:t>2.746</w:t>
            </w:r>
          </w:p>
        </w:tc>
        <w:tc>
          <w:tcPr>
            <w:tcW w:w="991" w:type="dxa"/>
          </w:tcPr>
          <w:p w14:paraId="39CCD9E0" w14:textId="77777777" w:rsidR="000B4A75" w:rsidRPr="00753FA6" w:rsidRDefault="000B4A75" w:rsidP="005E4799">
            <w:pPr>
              <w:jc w:val="right"/>
            </w:pPr>
            <w:r w:rsidRPr="00753FA6">
              <w:rPr>
                <w:b/>
              </w:rPr>
              <w:t>0.007</w:t>
            </w:r>
          </w:p>
        </w:tc>
        <w:tc>
          <w:tcPr>
            <w:tcW w:w="1112" w:type="dxa"/>
          </w:tcPr>
          <w:p w14:paraId="02CF2625" w14:textId="77777777" w:rsidR="000B4A75" w:rsidRPr="00753FA6" w:rsidRDefault="000B4A75" w:rsidP="005E4799">
            <w:pPr>
              <w:jc w:val="center"/>
            </w:pPr>
            <w:r w:rsidRPr="00753FA6">
              <w:t>+</w:t>
            </w:r>
          </w:p>
        </w:tc>
      </w:tr>
      <w:tr w:rsidR="000B4A75" w:rsidRPr="00753FA6" w14:paraId="410969A6" w14:textId="77777777" w:rsidTr="005E4799">
        <w:tc>
          <w:tcPr>
            <w:tcW w:w="2325" w:type="dxa"/>
          </w:tcPr>
          <w:p w14:paraId="2147A11C" w14:textId="77777777" w:rsidR="000B4A75" w:rsidRPr="00753FA6" w:rsidRDefault="000B4A75" w:rsidP="005E4799"/>
        </w:tc>
        <w:tc>
          <w:tcPr>
            <w:tcW w:w="2355" w:type="dxa"/>
          </w:tcPr>
          <w:p w14:paraId="53FC851D" w14:textId="77777777" w:rsidR="000B4A75" w:rsidRPr="00753FA6" w:rsidRDefault="000B4A75" w:rsidP="005E4799">
            <w:r w:rsidRPr="00753FA6">
              <w:rPr>
                <w:rFonts w:ascii="Times New Roman" w:hAnsi="Times New Roman" w:cs="Times New Roman"/>
              </w:rPr>
              <w:t>H_Trees</w:t>
            </w:r>
          </w:p>
        </w:tc>
        <w:tc>
          <w:tcPr>
            <w:tcW w:w="1546" w:type="dxa"/>
          </w:tcPr>
          <w:p w14:paraId="198B907D" w14:textId="77777777" w:rsidR="000B4A75" w:rsidRPr="00753FA6" w:rsidRDefault="000B4A75" w:rsidP="005E4799">
            <w:pPr>
              <w:jc w:val="right"/>
            </w:pPr>
            <w:r w:rsidRPr="00753FA6">
              <w:t>1.288 (0.565)</w:t>
            </w:r>
          </w:p>
        </w:tc>
        <w:tc>
          <w:tcPr>
            <w:tcW w:w="1106" w:type="dxa"/>
          </w:tcPr>
          <w:p w14:paraId="1A32D4EB" w14:textId="77777777" w:rsidR="000B4A75" w:rsidRPr="00753FA6" w:rsidRDefault="000B4A75" w:rsidP="005E4799">
            <w:pPr>
              <w:jc w:val="right"/>
            </w:pPr>
            <w:r w:rsidRPr="00753FA6">
              <w:t>2.281</w:t>
            </w:r>
          </w:p>
        </w:tc>
        <w:tc>
          <w:tcPr>
            <w:tcW w:w="991" w:type="dxa"/>
          </w:tcPr>
          <w:p w14:paraId="2B1EF61E" w14:textId="77777777" w:rsidR="000B4A75" w:rsidRPr="00753FA6" w:rsidRDefault="000B4A75" w:rsidP="005E4799">
            <w:pPr>
              <w:jc w:val="right"/>
            </w:pPr>
            <w:r w:rsidRPr="00753FA6">
              <w:rPr>
                <w:b/>
              </w:rPr>
              <w:t>0.024</w:t>
            </w:r>
          </w:p>
        </w:tc>
        <w:tc>
          <w:tcPr>
            <w:tcW w:w="1112" w:type="dxa"/>
          </w:tcPr>
          <w:p w14:paraId="5DD49FF5" w14:textId="77777777" w:rsidR="000B4A75" w:rsidRPr="00753FA6" w:rsidRDefault="000B4A75" w:rsidP="005E4799">
            <w:pPr>
              <w:jc w:val="center"/>
            </w:pPr>
            <w:r w:rsidRPr="00753FA6">
              <w:t>+</w:t>
            </w:r>
          </w:p>
        </w:tc>
      </w:tr>
      <w:tr w:rsidR="000B4A75" w:rsidRPr="00753FA6" w14:paraId="676546BF" w14:textId="77777777" w:rsidTr="005E4799">
        <w:tc>
          <w:tcPr>
            <w:tcW w:w="2325" w:type="dxa"/>
          </w:tcPr>
          <w:p w14:paraId="2126D182" w14:textId="77777777" w:rsidR="000B4A75" w:rsidRPr="00753FA6" w:rsidRDefault="000B4A75" w:rsidP="005E4799"/>
        </w:tc>
        <w:tc>
          <w:tcPr>
            <w:tcW w:w="2355" w:type="dxa"/>
          </w:tcPr>
          <w:p w14:paraId="694037A6" w14:textId="77777777" w:rsidR="000B4A75" w:rsidRPr="00753FA6" w:rsidRDefault="000B4A75" w:rsidP="005E4799">
            <w:r>
              <w:rPr>
                <w:rFonts w:ascii="Times New Roman" w:hAnsi="Times New Roman" w:cs="Times New Roman"/>
              </w:rPr>
              <w:t>Broadl</w:t>
            </w:r>
            <w:r w:rsidRPr="00753FA6">
              <w:rPr>
                <w:rFonts w:ascii="Times New Roman" w:hAnsi="Times New Roman" w:cs="Times New Roman"/>
              </w:rPr>
              <w:t>_cover</w:t>
            </w:r>
          </w:p>
        </w:tc>
        <w:tc>
          <w:tcPr>
            <w:tcW w:w="1546" w:type="dxa"/>
          </w:tcPr>
          <w:p w14:paraId="5FA3C9D3" w14:textId="77777777" w:rsidR="000B4A75" w:rsidRPr="00753FA6" w:rsidRDefault="000B4A75" w:rsidP="005E4799">
            <w:pPr>
              <w:jc w:val="right"/>
            </w:pPr>
            <w:r w:rsidRPr="00753FA6">
              <w:t>0.033 (0.016)</w:t>
            </w:r>
          </w:p>
        </w:tc>
        <w:tc>
          <w:tcPr>
            <w:tcW w:w="1106" w:type="dxa"/>
          </w:tcPr>
          <w:p w14:paraId="29827A6C" w14:textId="77777777" w:rsidR="000B4A75" w:rsidRPr="00753FA6" w:rsidRDefault="000B4A75" w:rsidP="005E4799">
            <w:pPr>
              <w:jc w:val="right"/>
            </w:pPr>
            <w:r w:rsidRPr="00753FA6">
              <w:t>2.150</w:t>
            </w:r>
          </w:p>
        </w:tc>
        <w:tc>
          <w:tcPr>
            <w:tcW w:w="991" w:type="dxa"/>
          </w:tcPr>
          <w:p w14:paraId="0D9F41C0" w14:textId="77777777" w:rsidR="000B4A75" w:rsidRPr="00753FA6" w:rsidRDefault="000B4A75" w:rsidP="005E4799">
            <w:pPr>
              <w:jc w:val="right"/>
            </w:pPr>
            <w:r w:rsidRPr="00753FA6">
              <w:rPr>
                <w:b/>
              </w:rPr>
              <w:t>0.033</w:t>
            </w:r>
          </w:p>
        </w:tc>
        <w:tc>
          <w:tcPr>
            <w:tcW w:w="1112" w:type="dxa"/>
          </w:tcPr>
          <w:p w14:paraId="31AA254A" w14:textId="77777777" w:rsidR="000B4A75" w:rsidRPr="00753FA6" w:rsidRDefault="000B4A75" w:rsidP="005E4799">
            <w:pPr>
              <w:jc w:val="center"/>
            </w:pPr>
            <w:r w:rsidRPr="00753FA6">
              <w:t>+</w:t>
            </w:r>
          </w:p>
        </w:tc>
      </w:tr>
      <w:tr w:rsidR="000B4A75" w:rsidRPr="00753FA6" w14:paraId="0DE3DC02" w14:textId="77777777" w:rsidTr="005E4799">
        <w:tc>
          <w:tcPr>
            <w:tcW w:w="2325" w:type="dxa"/>
          </w:tcPr>
          <w:p w14:paraId="3357F670" w14:textId="77777777" w:rsidR="000B4A75" w:rsidRPr="00753FA6" w:rsidRDefault="000B4A75" w:rsidP="005E4799"/>
        </w:tc>
        <w:tc>
          <w:tcPr>
            <w:tcW w:w="2355" w:type="dxa"/>
          </w:tcPr>
          <w:p w14:paraId="5095F37D" w14:textId="77777777" w:rsidR="000B4A75" w:rsidRPr="00753FA6" w:rsidRDefault="000B4A75" w:rsidP="005E4799">
            <w:r w:rsidRPr="00753FA6">
              <w:rPr>
                <w:rFonts w:ascii="Times New Roman" w:hAnsi="Times New Roman" w:cs="Times New Roman"/>
              </w:rPr>
              <w:t>ClearCutDist</w:t>
            </w:r>
          </w:p>
        </w:tc>
        <w:tc>
          <w:tcPr>
            <w:tcW w:w="1546" w:type="dxa"/>
          </w:tcPr>
          <w:p w14:paraId="23AAE338" w14:textId="77777777" w:rsidR="000B4A75" w:rsidRPr="00753FA6" w:rsidRDefault="000B4A75" w:rsidP="005E4799">
            <w:pPr>
              <w:jc w:val="right"/>
            </w:pPr>
            <w:r w:rsidRPr="00753FA6">
              <w:t>-0.007 (0.003)</w:t>
            </w:r>
          </w:p>
        </w:tc>
        <w:tc>
          <w:tcPr>
            <w:tcW w:w="1106" w:type="dxa"/>
          </w:tcPr>
          <w:p w14:paraId="6DDBA8E4" w14:textId="77777777" w:rsidR="000B4A75" w:rsidRPr="00753FA6" w:rsidRDefault="000B4A75" w:rsidP="005E4799">
            <w:pPr>
              <w:jc w:val="right"/>
            </w:pPr>
            <w:r w:rsidRPr="00753FA6">
              <w:t>-2.538</w:t>
            </w:r>
          </w:p>
        </w:tc>
        <w:tc>
          <w:tcPr>
            <w:tcW w:w="991" w:type="dxa"/>
          </w:tcPr>
          <w:p w14:paraId="1EEB32F5" w14:textId="77777777" w:rsidR="000B4A75" w:rsidRPr="00753FA6" w:rsidRDefault="000B4A75" w:rsidP="005E4799">
            <w:pPr>
              <w:jc w:val="right"/>
            </w:pPr>
            <w:r w:rsidRPr="00753FA6">
              <w:rPr>
                <w:b/>
              </w:rPr>
              <w:t>0.012</w:t>
            </w:r>
          </w:p>
        </w:tc>
        <w:tc>
          <w:tcPr>
            <w:tcW w:w="1112" w:type="dxa"/>
          </w:tcPr>
          <w:p w14:paraId="400EABDC" w14:textId="77777777" w:rsidR="000B4A75" w:rsidRPr="00753FA6" w:rsidRDefault="000B4A75" w:rsidP="005E4799">
            <w:pPr>
              <w:jc w:val="center"/>
            </w:pPr>
            <w:r w:rsidRPr="00753FA6">
              <w:t>-</w:t>
            </w:r>
          </w:p>
        </w:tc>
      </w:tr>
      <w:tr w:rsidR="000B4A75" w:rsidRPr="00753FA6" w14:paraId="3978FEB4" w14:textId="77777777" w:rsidTr="005E4799">
        <w:tc>
          <w:tcPr>
            <w:tcW w:w="2325" w:type="dxa"/>
          </w:tcPr>
          <w:p w14:paraId="797BFE55" w14:textId="77777777" w:rsidR="000B4A75" w:rsidRPr="00753FA6" w:rsidRDefault="000B4A75" w:rsidP="005E4799"/>
        </w:tc>
        <w:tc>
          <w:tcPr>
            <w:tcW w:w="2355" w:type="dxa"/>
          </w:tcPr>
          <w:p w14:paraId="24D8F945" w14:textId="77777777" w:rsidR="000B4A75" w:rsidRPr="00753FA6" w:rsidRDefault="000B4A75" w:rsidP="005E4799">
            <w:pPr>
              <w:rPr>
                <w:rFonts w:ascii="Times New Roman" w:hAnsi="Times New Roman" w:cs="Times New Roman"/>
              </w:rPr>
            </w:pPr>
          </w:p>
        </w:tc>
        <w:tc>
          <w:tcPr>
            <w:tcW w:w="1546" w:type="dxa"/>
          </w:tcPr>
          <w:p w14:paraId="32DF7F3E" w14:textId="77777777" w:rsidR="000B4A75" w:rsidRPr="00753FA6" w:rsidRDefault="000B4A75" w:rsidP="005E4799">
            <w:pPr>
              <w:jc w:val="right"/>
            </w:pPr>
          </w:p>
        </w:tc>
        <w:tc>
          <w:tcPr>
            <w:tcW w:w="1106" w:type="dxa"/>
          </w:tcPr>
          <w:p w14:paraId="432149AF" w14:textId="77777777" w:rsidR="000B4A75" w:rsidRPr="00753FA6" w:rsidRDefault="000B4A75" w:rsidP="005E4799">
            <w:pPr>
              <w:jc w:val="right"/>
            </w:pPr>
          </w:p>
        </w:tc>
        <w:tc>
          <w:tcPr>
            <w:tcW w:w="991" w:type="dxa"/>
          </w:tcPr>
          <w:p w14:paraId="6F14A872" w14:textId="77777777" w:rsidR="000B4A75" w:rsidRPr="00753FA6" w:rsidRDefault="000B4A75" w:rsidP="005E4799">
            <w:pPr>
              <w:jc w:val="right"/>
              <w:rPr>
                <w:b/>
              </w:rPr>
            </w:pPr>
          </w:p>
        </w:tc>
        <w:tc>
          <w:tcPr>
            <w:tcW w:w="1112" w:type="dxa"/>
          </w:tcPr>
          <w:p w14:paraId="068F1082" w14:textId="77777777" w:rsidR="000B4A75" w:rsidRPr="00753FA6" w:rsidRDefault="000B4A75" w:rsidP="005E4799">
            <w:pPr>
              <w:jc w:val="center"/>
            </w:pPr>
          </w:p>
        </w:tc>
      </w:tr>
      <w:tr w:rsidR="000B4A75" w:rsidRPr="00753FA6" w14:paraId="1C17758B" w14:textId="77777777" w:rsidTr="005E4799">
        <w:tc>
          <w:tcPr>
            <w:tcW w:w="2325" w:type="dxa"/>
          </w:tcPr>
          <w:p w14:paraId="71D0110F" w14:textId="77777777" w:rsidR="000B4A75" w:rsidRPr="00753FA6" w:rsidRDefault="000B4A75" w:rsidP="005E4799">
            <w:r w:rsidRPr="00753FA6">
              <w:t>Specialist</w:t>
            </w:r>
          </w:p>
        </w:tc>
        <w:tc>
          <w:tcPr>
            <w:tcW w:w="2355" w:type="dxa"/>
          </w:tcPr>
          <w:p w14:paraId="562B6C33" w14:textId="77777777" w:rsidR="000B4A75" w:rsidRPr="00753FA6" w:rsidRDefault="000B4A75" w:rsidP="005E4799">
            <w:pPr>
              <w:rPr>
                <w:rFonts w:ascii="Times New Roman" w:hAnsi="Times New Roman" w:cs="Times New Roman"/>
              </w:rPr>
            </w:pPr>
            <w:r w:rsidRPr="00753FA6">
              <w:rPr>
                <w:rFonts w:ascii="Times New Roman" w:hAnsi="Times New Roman" w:cs="Times New Roman"/>
              </w:rPr>
              <w:t>NumLT70DBH</w:t>
            </w:r>
          </w:p>
        </w:tc>
        <w:tc>
          <w:tcPr>
            <w:tcW w:w="1546" w:type="dxa"/>
          </w:tcPr>
          <w:p w14:paraId="5AE2D530" w14:textId="77777777" w:rsidR="000B4A75" w:rsidRPr="00753FA6" w:rsidRDefault="000B4A75" w:rsidP="005E4799">
            <w:pPr>
              <w:jc w:val="right"/>
            </w:pPr>
            <w:r w:rsidRPr="00753FA6">
              <w:t>0.017 (0.006)</w:t>
            </w:r>
          </w:p>
        </w:tc>
        <w:tc>
          <w:tcPr>
            <w:tcW w:w="1106" w:type="dxa"/>
          </w:tcPr>
          <w:p w14:paraId="4B198B85" w14:textId="77777777" w:rsidR="000B4A75" w:rsidRPr="00753FA6" w:rsidRDefault="000B4A75" w:rsidP="005E4799">
            <w:pPr>
              <w:jc w:val="right"/>
            </w:pPr>
            <w:r w:rsidRPr="00753FA6">
              <w:t>2.700</w:t>
            </w:r>
          </w:p>
        </w:tc>
        <w:tc>
          <w:tcPr>
            <w:tcW w:w="991" w:type="dxa"/>
          </w:tcPr>
          <w:p w14:paraId="2E0A5B8A" w14:textId="77777777" w:rsidR="000B4A75" w:rsidRPr="00753FA6" w:rsidRDefault="000B4A75" w:rsidP="005E4799">
            <w:pPr>
              <w:jc w:val="right"/>
              <w:rPr>
                <w:b/>
              </w:rPr>
            </w:pPr>
            <w:r w:rsidRPr="00753FA6">
              <w:rPr>
                <w:b/>
              </w:rPr>
              <w:t>0.008</w:t>
            </w:r>
          </w:p>
        </w:tc>
        <w:tc>
          <w:tcPr>
            <w:tcW w:w="1112" w:type="dxa"/>
          </w:tcPr>
          <w:p w14:paraId="5E667806" w14:textId="77777777" w:rsidR="000B4A75" w:rsidRPr="00753FA6" w:rsidRDefault="000B4A75" w:rsidP="005E4799">
            <w:pPr>
              <w:jc w:val="center"/>
            </w:pPr>
            <w:r w:rsidRPr="00753FA6">
              <w:t>+</w:t>
            </w:r>
          </w:p>
        </w:tc>
      </w:tr>
      <w:tr w:rsidR="000B4A75" w:rsidRPr="00753FA6" w14:paraId="1FEA7E69" w14:textId="77777777" w:rsidTr="005E4799">
        <w:tc>
          <w:tcPr>
            <w:tcW w:w="2325" w:type="dxa"/>
            <w:tcBorders>
              <w:bottom w:val="single" w:sz="4" w:space="0" w:color="auto"/>
            </w:tcBorders>
          </w:tcPr>
          <w:p w14:paraId="4B051689" w14:textId="77777777" w:rsidR="000B4A75" w:rsidRPr="00753FA6" w:rsidRDefault="000B4A75" w:rsidP="005E4799"/>
        </w:tc>
        <w:tc>
          <w:tcPr>
            <w:tcW w:w="2355" w:type="dxa"/>
            <w:tcBorders>
              <w:bottom w:val="single" w:sz="4" w:space="0" w:color="auto"/>
            </w:tcBorders>
          </w:tcPr>
          <w:p w14:paraId="1D3E52B9" w14:textId="77777777" w:rsidR="000B4A75" w:rsidRPr="00753FA6" w:rsidRDefault="000B4A75" w:rsidP="005E4799">
            <w:pPr>
              <w:rPr>
                <w:rFonts w:ascii="Times New Roman" w:hAnsi="Times New Roman" w:cs="Times New Roman"/>
              </w:rPr>
            </w:pPr>
            <w:r w:rsidRPr="00753FA6">
              <w:rPr>
                <w:rFonts w:ascii="Times New Roman" w:hAnsi="Times New Roman" w:cs="Times New Roman"/>
              </w:rPr>
              <w:t>H_Trees</w:t>
            </w:r>
          </w:p>
        </w:tc>
        <w:tc>
          <w:tcPr>
            <w:tcW w:w="1546" w:type="dxa"/>
            <w:tcBorders>
              <w:bottom w:val="single" w:sz="4" w:space="0" w:color="auto"/>
            </w:tcBorders>
          </w:tcPr>
          <w:p w14:paraId="7AF84B96" w14:textId="77777777" w:rsidR="000B4A75" w:rsidRPr="00753FA6" w:rsidRDefault="000B4A75" w:rsidP="005E4799">
            <w:pPr>
              <w:jc w:val="right"/>
            </w:pPr>
            <w:r w:rsidRPr="00753FA6">
              <w:t>-0.301 (0.097)</w:t>
            </w:r>
          </w:p>
        </w:tc>
        <w:tc>
          <w:tcPr>
            <w:tcW w:w="1106" w:type="dxa"/>
            <w:tcBorders>
              <w:bottom w:val="single" w:sz="4" w:space="0" w:color="auto"/>
            </w:tcBorders>
          </w:tcPr>
          <w:p w14:paraId="2278A52B" w14:textId="77777777" w:rsidR="000B4A75" w:rsidRPr="00753FA6" w:rsidRDefault="000B4A75" w:rsidP="005E4799">
            <w:pPr>
              <w:jc w:val="right"/>
            </w:pPr>
            <w:r w:rsidRPr="00753FA6">
              <w:t>-3.104</w:t>
            </w:r>
          </w:p>
        </w:tc>
        <w:tc>
          <w:tcPr>
            <w:tcW w:w="991" w:type="dxa"/>
            <w:tcBorders>
              <w:bottom w:val="single" w:sz="4" w:space="0" w:color="auto"/>
            </w:tcBorders>
          </w:tcPr>
          <w:p w14:paraId="096516DA" w14:textId="77777777" w:rsidR="000B4A75" w:rsidRPr="00753FA6" w:rsidRDefault="000B4A75" w:rsidP="005E4799">
            <w:pPr>
              <w:jc w:val="right"/>
              <w:rPr>
                <w:b/>
              </w:rPr>
            </w:pPr>
            <w:r w:rsidRPr="00753FA6">
              <w:rPr>
                <w:b/>
              </w:rPr>
              <w:t>0.002</w:t>
            </w:r>
          </w:p>
        </w:tc>
        <w:tc>
          <w:tcPr>
            <w:tcW w:w="1112" w:type="dxa"/>
            <w:tcBorders>
              <w:bottom w:val="single" w:sz="4" w:space="0" w:color="auto"/>
            </w:tcBorders>
          </w:tcPr>
          <w:p w14:paraId="062A4D77" w14:textId="77777777" w:rsidR="000B4A75" w:rsidRPr="00753FA6" w:rsidRDefault="000B4A75" w:rsidP="005E4799">
            <w:pPr>
              <w:jc w:val="center"/>
            </w:pPr>
            <w:r w:rsidRPr="00753FA6">
              <w:t>-</w:t>
            </w:r>
          </w:p>
        </w:tc>
      </w:tr>
    </w:tbl>
    <w:p w14:paraId="0200541F" w14:textId="77777777" w:rsidR="009C62D2" w:rsidRPr="00881BBF" w:rsidRDefault="009C62D2"/>
    <w:sectPr w:rsidR="009C62D2" w:rsidRPr="00881BB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ojtěch  Barták" w:date="2021-05-28T16:54:00Z" w:initials="VB">
    <w:p w14:paraId="2B005300" w14:textId="40C42A59" w:rsidR="006F19D4" w:rsidRDefault="006F19D4">
      <w:pPr>
        <w:pStyle w:val="Textkomente"/>
      </w:pPr>
      <w:r>
        <w:rPr>
          <w:rStyle w:val="Odkaznakoment"/>
        </w:rPr>
        <w:annotationRef/>
      </w:r>
      <w:r>
        <w:t>Zkusím udělat GLMM, ale osobně si myslím, že pokud Shapiro neodhalil porušení normality, a pokud jsou počty druhů rozumně velká čísla, lze použít i LMM, asi by se to dalo vyargumentovat. Kouknu na to…</w:t>
      </w:r>
    </w:p>
  </w:comment>
  <w:comment w:id="1" w:author="Vojtěch  Barták" w:date="2021-05-28T16:48:00Z" w:initials="VB">
    <w:p w14:paraId="3C897011" w14:textId="0F3F0912" w:rsidR="006F19D4" w:rsidRDefault="006F19D4">
      <w:pPr>
        <w:pStyle w:val="Textkomente"/>
      </w:pPr>
      <w:r>
        <w:rPr>
          <w:rStyle w:val="Odkaznakoment"/>
        </w:rPr>
        <w:annotationRef/>
      </w:r>
      <w:r>
        <w:t>Nene, tady se mluví o ploše těch lokalit. Ty kontrolní lokality byly mnohem menší, o to mu jde…</w:t>
      </w:r>
    </w:p>
  </w:comment>
  <w:comment w:id="2" w:author="Vojtěch  Barták" w:date="2021-05-28T16:50:00Z" w:initials="VB">
    <w:p w14:paraId="266BCFCE" w14:textId="0D50BDF5" w:rsidR="006F19D4" w:rsidRDefault="006F19D4">
      <w:pPr>
        <w:pStyle w:val="Textkomente"/>
      </w:pPr>
      <w:r>
        <w:rPr>
          <w:rStyle w:val="Odkaznakoment"/>
        </w:rPr>
        <w:annotationRef/>
      </w:r>
      <w:r>
        <w:t>Rozdílný byl sampling effort těch stromů… co myslí tím offset mi není úplně jasný, ale asi něco jako že se údaje z menší plochy přenásoběj na údaj odpovídající stejné ploše, jakou mají ta místa ve smrkových lesech… Vzhledem k tomu, že nahoře uvádíš, že prediktory jsou “počet listnatých/jehličnatých stromů”, tak ten je samořejmě úměrný ploše…</w:t>
      </w:r>
    </w:p>
  </w:comment>
  <w:comment w:id="3" w:author="Vojtěch  Barták" w:date="2021-05-28T16:55:00Z" w:initials="VB">
    <w:p w14:paraId="4847955D" w14:textId="2D5DD638" w:rsidR="006F19D4" w:rsidRDefault="006F19D4">
      <w:pPr>
        <w:pStyle w:val="Textkomente"/>
      </w:pPr>
      <w:r>
        <w:rPr>
          <w:rStyle w:val="Odkaznakoment"/>
        </w:rPr>
        <w:annotationRef/>
      </w:r>
      <w:r>
        <w:t>Lze to získat, kouknu na to..</w:t>
      </w:r>
    </w:p>
  </w:comment>
  <w:comment w:id="4" w:author="Vojtěch  Barták" w:date="2021-05-28T16:53:00Z" w:initials="VB">
    <w:p w14:paraId="7E98DAAD" w14:textId="5B5AFA63" w:rsidR="006F19D4" w:rsidRDefault="006F19D4">
      <w:pPr>
        <w:pStyle w:val="Textkomente"/>
      </w:pPr>
      <w:r>
        <w:rPr>
          <w:rStyle w:val="Odkaznakoment"/>
        </w:rPr>
        <w:annotationRef/>
      </w:r>
      <w:r>
        <w:t>Tohle se dělává pro lineární modely, podívám se, jestli to jde i pro (G)LMM</w:t>
      </w:r>
      <w:r w:rsidR="001F17AA">
        <w:t>. Jinak je to dost sporná technika, závisí dost na rozdělení těch prediktorů. Zkusím se mrknout na jiné způsoby, jak hodnotit variable importance v GLMM.</w:t>
      </w:r>
    </w:p>
  </w:comment>
  <w:comment w:id="5" w:author="Vojtěch  Barták" w:date="2021-05-28T16:58:00Z" w:initials="VB">
    <w:p w14:paraId="3811C504" w14:textId="39854715" w:rsidR="006F19D4" w:rsidRDefault="006F19D4">
      <w:pPr>
        <w:pStyle w:val="Textkomente"/>
      </w:pPr>
      <w:r>
        <w:rPr>
          <w:rStyle w:val="Odkaznakoment"/>
        </w:rPr>
        <w:annotationRef/>
      </w:r>
      <w:r>
        <w:t>Tomuhle zatím nerozumím, vyjasní se mi, až se v datech pohrabu..</w:t>
      </w:r>
    </w:p>
  </w:comment>
  <w:comment w:id="6" w:author="Vojtěch  Barták" w:date="2021-05-28T16:59:00Z" w:initials="VB">
    <w:p w14:paraId="31351A4A" w14:textId="799A4CA4" w:rsidR="00C1371A" w:rsidRDefault="00C1371A">
      <w:pPr>
        <w:pStyle w:val="Textkomente"/>
      </w:pPr>
      <w:r>
        <w:rPr>
          <w:rStyle w:val="Odkaznakoment"/>
        </w:rPr>
        <w:annotationRef/>
      </w:r>
      <w:r>
        <w:t>Já si tyhle grafy dělám sám v ggplotu, effects nepoužívám. Dodám, patřičně omezené… Jinak řekl bych, že effects to průměrujou, je to nejlogičtější možnost...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005300" w15:done="0"/>
  <w15:commentEx w15:paraId="3C897011" w15:done="0"/>
  <w15:commentEx w15:paraId="266BCFCE" w15:done="0"/>
  <w15:commentEx w15:paraId="4847955D" w15:done="0"/>
  <w15:commentEx w15:paraId="7E98DAAD" w15:done="0"/>
  <w15:commentEx w15:paraId="3811C504" w15:done="0"/>
  <w15:commentEx w15:paraId="31351A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B9ED4" w16cex:dateUtc="2021-05-28T14:54:00Z"/>
  <w16cex:commentExtensible w16cex:durableId="245B9D76" w16cex:dateUtc="2021-05-28T14:48:00Z"/>
  <w16cex:commentExtensible w16cex:durableId="245B9DCE" w16cex:dateUtc="2021-05-28T14:50:00Z"/>
  <w16cex:commentExtensible w16cex:durableId="245B9F19" w16cex:dateUtc="2021-05-28T14:55:00Z"/>
  <w16cex:commentExtensible w16cex:durableId="245B9E9B" w16cex:dateUtc="2021-05-28T14:53:00Z"/>
  <w16cex:commentExtensible w16cex:durableId="245B9F98" w16cex:dateUtc="2021-05-28T14:58:00Z"/>
  <w16cex:commentExtensible w16cex:durableId="245B9FDA" w16cex:dateUtc="2021-05-28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005300" w16cid:durableId="245B9ED4"/>
  <w16cid:commentId w16cid:paraId="3C897011" w16cid:durableId="245B9D76"/>
  <w16cid:commentId w16cid:paraId="266BCFCE" w16cid:durableId="245B9DCE"/>
  <w16cid:commentId w16cid:paraId="4847955D" w16cid:durableId="245B9F19"/>
  <w16cid:commentId w16cid:paraId="7E98DAAD" w16cid:durableId="245B9E9B"/>
  <w16cid:commentId w16cid:paraId="3811C504" w16cid:durableId="245B9F98"/>
  <w16cid:commentId w16cid:paraId="31351A4A" w16cid:durableId="245B9F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ojtěch  Barták">
    <w15:presenceInfo w15:providerId="None" w15:userId="Vojtěch  Bartá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7630"/>
    <w:rsid w:val="000116C9"/>
    <w:rsid w:val="00072053"/>
    <w:rsid w:val="000B4A75"/>
    <w:rsid w:val="001815B3"/>
    <w:rsid w:val="001941D2"/>
    <w:rsid w:val="001F17AA"/>
    <w:rsid w:val="002A5629"/>
    <w:rsid w:val="00362E3A"/>
    <w:rsid w:val="003639F1"/>
    <w:rsid w:val="004D0462"/>
    <w:rsid w:val="0052207E"/>
    <w:rsid w:val="005C566B"/>
    <w:rsid w:val="005E1453"/>
    <w:rsid w:val="00604840"/>
    <w:rsid w:val="006B606F"/>
    <w:rsid w:val="006F19D4"/>
    <w:rsid w:val="00717630"/>
    <w:rsid w:val="00881BBF"/>
    <w:rsid w:val="008A5C23"/>
    <w:rsid w:val="009C62D2"/>
    <w:rsid w:val="009F692F"/>
    <w:rsid w:val="00C1371A"/>
    <w:rsid w:val="00DE3FE2"/>
    <w:rsid w:val="00DF1ABA"/>
    <w:rsid w:val="00F50613"/>
    <w:rsid w:val="00FD139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D58A"/>
  <w15:docId w15:val="{DC6205B6-BDE7-4702-83C4-BE6127EB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en-G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0116C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116C9"/>
    <w:rPr>
      <w:rFonts w:ascii="Tahoma" w:hAnsi="Tahoma" w:cs="Tahoma"/>
      <w:sz w:val="16"/>
      <w:szCs w:val="16"/>
      <w:lang w:val="en-GB"/>
    </w:rPr>
  </w:style>
  <w:style w:type="paragraph" w:styleId="Titulek">
    <w:name w:val="caption"/>
    <w:basedOn w:val="Normln"/>
    <w:next w:val="Normln"/>
    <w:uiPriority w:val="35"/>
    <w:unhideWhenUsed/>
    <w:qFormat/>
    <w:rsid w:val="008A5C23"/>
    <w:pPr>
      <w:spacing w:line="240" w:lineRule="auto"/>
    </w:pPr>
    <w:rPr>
      <w:b/>
      <w:bCs/>
      <w:color w:val="4F81BD" w:themeColor="accent1"/>
      <w:sz w:val="18"/>
      <w:szCs w:val="18"/>
    </w:rPr>
  </w:style>
  <w:style w:type="table" w:styleId="Mkatabulky">
    <w:name w:val="Table Grid"/>
    <w:basedOn w:val="Normlntabulka"/>
    <w:uiPriority w:val="59"/>
    <w:rsid w:val="000B4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basedOn w:val="Standardnpsmoodstavce"/>
    <w:uiPriority w:val="99"/>
    <w:semiHidden/>
    <w:unhideWhenUsed/>
    <w:rsid w:val="006F19D4"/>
    <w:rPr>
      <w:sz w:val="16"/>
      <w:szCs w:val="16"/>
    </w:rPr>
  </w:style>
  <w:style w:type="paragraph" w:styleId="Textkomente">
    <w:name w:val="annotation text"/>
    <w:basedOn w:val="Normln"/>
    <w:link w:val="TextkomenteChar"/>
    <w:uiPriority w:val="99"/>
    <w:semiHidden/>
    <w:unhideWhenUsed/>
    <w:rsid w:val="006F19D4"/>
    <w:pPr>
      <w:spacing w:line="240" w:lineRule="auto"/>
    </w:pPr>
    <w:rPr>
      <w:sz w:val="20"/>
      <w:szCs w:val="20"/>
    </w:rPr>
  </w:style>
  <w:style w:type="character" w:customStyle="1" w:styleId="TextkomenteChar">
    <w:name w:val="Text komentáře Char"/>
    <w:basedOn w:val="Standardnpsmoodstavce"/>
    <w:link w:val="Textkomente"/>
    <w:uiPriority w:val="99"/>
    <w:semiHidden/>
    <w:rsid w:val="006F19D4"/>
    <w:rPr>
      <w:sz w:val="20"/>
      <w:szCs w:val="20"/>
      <w:lang w:val="en-GB"/>
    </w:rPr>
  </w:style>
  <w:style w:type="paragraph" w:styleId="Pedmtkomente">
    <w:name w:val="annotation subject"/>
    <w:basedOn w:val="Textkomente"/>
    <w:next w:val="Textkomente"/>
    <w:link w:val="PedmtkomenteChar"/>
    <w:uiPriority w:val="99"/>
    <w:semiHidden/>
    <w:unhideWhenUsed/>
    <w:rsid w:val="006F19D4"/>
    <w:rPr>
      <w:b/>
      <w:bCs/>
    </w:rPr>
  </w:style>
  <w:style w:type="character" w:customStyle="1" w:styleId="PedmtkomenteChar">
    <w:name w:val="Předmět komentáře Char"/>
    <w:basedOn w:val="TextkomenteChar"/>
    <w:link w:val="Pedmtkomente"/>
    <w:uiPriority w:val="99"/>
    <w:semiHidden/>
    <w:rsid w:val="006F19D4"/>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4</Pages>
  <Words>1005</Words>
  <Characters>5932</Characters>
  <Application>Microsoft Office Word</Application>
  <DocSecurity>0</DocSecurity>
  <Lines>49</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DominikKebrle</dc:creator>
  <cp:keywords/>
  <dc:description/>
  <cp:lastModifiedBy>Vojtěch  Barták</cp:lastModifiedBy>
  <cp:revision>21</cp:revision>
  <dcterms:created xsi:type="dcterms:W3CDTF">2021-05-15T07:11:00Z</dcterms:created>
  <dcterms:modified xsi:type="dcterms:W3CDTF">2021-05-28T15:15:00Z</dcterms:modified>
</cp:coreProperties>
</file>