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D3E50" w14:textId="77777777" w:rsidR="000F6B68" w:rsidRDefault="000F6B68" w:rsidP="000F6B68">
      <w:pPr>
        <w:pStyle w:val="Heading1"/>
        <w:pBdr>
          <w:bottom w:val="none" w:sz="0" w:space="0" w:color="auto"/>
        </w:pBdr>
        <w:spacing w:before="480" w:after="0" w:line="276" w:lineRule="auto"/>
      </w:pPr>
      <w:r>
        <w:t>Bezpečnost, pojmy a platná legislativa</w:t>
      </w:r>
    </w:p>
    <w:p w14:paraId="1FEC6FB6" w14:textId="77777777" w:rsidR="000F6B68" w:rsidRDefault="000F6B68" w:rsidP="000F6B68">
      <w:pPr>
        <w:pStyle w:val="Heading2"/>
        <w:spacing w:before="200" w:line="276" w:lineRule="auto"/>
      </w:pPr>
      <w:r>
        <w:t>Základní pojmy</w:t>
      </w:r>
    </w:p>
    <w:p w14:paraId="4C865B47" w14:textId="77777777" w:rsidR="000F6B68" w:rsidRDefault="000F6B68" w:rsidP="000F6B68">
      <w:r>
        <w:t xml:space="preserve">Za </w:t>
      </w:r>
      <w:r>
        <w:rPr>
          <w:b/>
        </w:rPr>
        <w:t>práci pod napětí</w:t>
      </w:r>
      <w:r>
        <w:t xml:space="preserve"> se považuje práce na zařízení, kdy pracovník některou části těla, nářadím nebo předměty zasahuje do ochranného prostoru nebo je v kontaktu s živou částí.</w:t>
      </w:r>
    </w:p>
    <w:p w14:paraId="59689B8B" w14:textId="77777777" w:rsidR="000F6B68" w:rsidRPr="00387668" w:rsidRDefault="000F6B68" w:rsidP="000F6B68">
      <w:r>
        <w:t xml:space="preserve">Za </w:t>
      </w:r>
      <w:r>
        <w:rPr>
          <w:b/>
        </w:rPr>
        <w:t>prevenci rizik</w:t>
      </w:r>
      <w:r>
        <w:t xml:space="preserve"> se rozumí všechna opatření vyplývající z právních a ostatních předpisů k zajištění bezpečnosti a ochrany zdraví při práci a z opatření zaměstnavatele, které mají za cíl předcházet rizikům, odstraňovat nebo minimalizovat působení neodstranitelných rizik.</w:t>
      </w:r>
    </w:p>
    <w:p w14:paraId="1D23FACA" w14:textId="77777777" w:rsidR="000F6B68" w:rsidRDefault="000F6B68" w:rsidP="000F6B68">
      <w:pPr>
        <w:pStyle w:val="Heading2"/>
        <w:spacing w:before="200" w:line="276" w:lineRule="auto"/>
      </w:pPr>
      <w:r>
        <w:t>Osoba poučená (§4)</w:t>
      </w:r>
    </w:p>
    <w:p w14:paraId="0858E251" w14:textId="77777777" w:rsidR="000F6B68" w:rsidRPr="002426EA" w:rsidRDefault="000F6B68" w:rsidP="000F6B68">
      <w:pPr>
        <w:pStyle w:val="ListParagraph"/>
        <w:numPr>
          <w:ilvl w:val="0"/>
          <w:numId w:val="13"/>
        </w:numPr>
      </w:pPr>
      <w:r>
        <w:t xml:space="preserve">Osoba poučená </w:t>
      </w:r>
      <w:r>
        <w:rPr>
          <w:b/>
        </w:rPr>
        <w:t>nesmí</w:t>
      </w:r>
      <w:r>
        <w:t xml:space="preserve"> pracovat na částech nízkého napětí pod napětí (vyjma měření měřicími přístroji a jednoduchých předem schválených postupů)</w:t>
      </w:r>
    </w:p>
    <w:p w14:paraId="54EEE31D" w14:textId="77777777" w:rsidR="000F6B68" w:rsidRDefault="000F6B68" w:rsidP="000F6B68">
      <w:pPr>
        <w:pStyle w:val="Heading2"/>
        <w:spacing w:before="200" w:line="276" w:lineRule="auto"/>
      </w:pPr>
      <w:r>
        <w:t>Osoba znalá (§5)</w:t>
      </w:r>
    </w:p>
    <w:p w14:paraId="6B8BB762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>Osoba znalá může pracovat na zařízení nízkého napětí pod napětím podle pracovních postupů, ale v prostorách mokrých, venkovních a vlhkých pouze pod dozorem</w:t>
      </w:r>
    </w:p>
    <w:p w14:paraId="6A07215C" w14:textId="77777777" w:rsidR="000F6B68" w:rsidRDefault="000F6B68" w:rsidP="000F6B68">
      <w:pPr>
        <w:pStyle w:val="Heading2"/>
        <w:spacing w:before="200" w:line="276" w:lineRule="auto"/>
      </w:pPr>
      <w:r>
        <w:t>Bezpečnost práce</w:t>
      </w:r>
    </w:p>
    <w:p w14:paraId="2E97C2E1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>Povinnost sepsat záznam o úrazu má zaměstnavatel.</w:t>
      </w:r>
    </w:p>
    <w:p w14:paraId="0F1C0044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>Zaměstnavatel sepisuje záznam o úrazu nejpozději do 5 pracovních dnů po oznámení pracovního úrazu.</w:t>
      </w:r>
    </w:p>
    <w:p w14:paraId="4042F1F7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>Při práci pod dohledem je nutné na dodržování bezpečnostních předpisů dohlédnout před započetím práce a v průběhu prací podle potřeby občas.</w:t>
      </w:r>
    </w:p>
    <w:p w14:paraId="63497296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>Za prostory nebezpečné lze podle ČSN 33 2000 – 3 považovat prostory, kde vniká působením vnějších vlivů přechodné nebo stále nebezpečí elektrického úrazu.</w:t>
      </w:r>
    </w:p>
    <w:p w14:paraId="13BDC6E0" w14:textId="77777777" w:rsidR="000F6B68" w:rsidRDefault="000F6B68" w:rsidP="000F6B68">
      <w:pPr>
        <w:pStyle w:val="Heading2"/>
        <w:spacing w:before="200" w:line="276" w:lineRule="auto"/>
      </w:pPr>
      <w:r>
        <w:t>Elektrické zařízení</w:t>
      </w:r>
    </w:p>
    <w:p w14:paraId="728345CE" w14:textId="77777777" w:rsidR="000F6B68" w:rsidRDefault="000F6B68" w:rsidP="000F6B68">
      <w:r>
        <w:t>Každé elektrické zařízení musí mít určenou osobu odpovědnou za elektrické zařízení. Pro každou práci na elektrickém zařízení musí být určen vedoucí práce.</w:t>
      </w:r>
    </w:p>
    <w:p w14:paraId="3119E626" w14:textId="77777777" w:rsidR="000F6B68" w:rsidRPr="00387668" w:rsidRDefault="000F6B68" w:rsidP="000F6B68">
      <w:r>
        <w:t>Při dělení elektrických zařízení podle napěťových hladin je hranice mezi střídavým napětím nízkým (kategorie II) a vysokým (kategorie A) hranice určena: 600 V fázové a 1 kV sdružené.</w:t>
      </w:r>
    </w:p>
    <w:p w14:paraId="499F1273" w14:textId="77777777" w:rsidR="000F6B68" w:rsidRDefault="000F6B68" w:rsidP="000F6B68">
      <w:pPr>
        <w:pStyle w:val="Heading1"/>
        <w:pBdr>
          <w:bottom w:val="none" w:sz="0" w:space="0" w:color="auto"/>
        </w:pBdr>
        <w:spacing w:before="480" w:after="0" w:line="276" w:lineRule="auto"/>
      </w:pPr>
      <w:r>
        <w:t>Barevné značení – vodiče, sdělovače a ovladače</w:t>
      </w:r>
    </w:p>
    <w:p w14:paraId="7693AD07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Barvy vodičů v elektrické instalaci v sítích nízkého napětí</w:t>
      </w:r>
    </w:p>
    <w:p w14:paraId="1A61CAEC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Staré instalace – PE zelený</w:t>
      </w:r>
    </w:p>
    <w:p w14:paraId="34B2906F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Řídící okruhy pracovních strojů pro stejnosměrné napájení – tmavě modrá</w:t>
      </w:r>
    </w:p>
    <w:p w14:paraId="415BBDDA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Řídící okruhy pracovních strojů pro střídavé napájení - červená</w:t>
      </w:r>
    </w:p>
    <w:p w14:paraId="778F31A1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Barvy izolovaných vodičů</w:t>
      </w:r>
    </w:p>
    <w:p w14:paraId="4B6FDABC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lastRenderedPageBreak/>
        <w:t xml:space="preserve">V síti NN typu TN-S – </w:t>
      </w:r>
      <w:r w:rsidRPr="00B92D15">
        <w:rPr>
          <w:i/>
        </w:rPr>
        <w:t>fáze</w:t>
      </w:r>
      <w:r>
        <w:t xml:space="preserve"> černý, hnědý nebo šedivý; </w:t>
      </w:r>
      <w:r w:rsidRPr="00B92D15">
        <w:rPr>
          <w:i/>
        </w:rPr>
        <w:t>ochranný vodič PE</w:t>
      </w:r>
      <w:r>
        <w:t xml:space="preserve"> zelenožlutý, </w:t>
      </w:r>
      <w:r w:rsidRPr="00B92D15">
        <w:rPr>
          <w:i/>
        </w:rPr>
        <w:t xml:space="preserve">střední nulový vodič </w:t>
      </w:r>
      <w:r>
        <w:t>N světle modrý</w:t>
      </w:r>
    </w:p>
    <w:p w14:paraId="1D2731D8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 xml:space="preserve">V síti typu TN-C – </w:t>
      </w:r>
      <w:r w:rsidRPr="00B92D15">
        <w:rPr>
          <w:i/>
        </w:rPr>
        <w:t>fáze</w:t>
      </w:r>
      <w:r>
        <w:t xml:space="preserve"> černý nebo hnědý, </w:t>
      </w:r>
      <w:r w:rsidRPr="00B92D15">
        <w:rPr>
          <w:i/>
        </w:rPr>
        <w:t>ochranný a pracovní vodič</w:t>
      </w:r>
      <w:r>
        <w:t xml:space="preserve"> </w:t>
      </w:r>
      <w:r w:rsidRPr="00B92D15">
        <w:rPr>
          <w:i/>
        </w:rPr>
        <w:t>PEN</w:t>
      </w:r>
      <w:r>
        <w:t xml:space="preserve"> zelenožlutý s modrými návleky nebo světlemodrý se zelenožlutými návleky</w:t>
      </w:r>
    </w:p>
    <w:p w14:paraId="03AFF341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Oranžově se značí vodiče, které nejsou vypínány hlavním vypínačem, tj. jsou živé i po vypnutí hlavního jističe</w:t>
      </w:r>
    </w:p>
    <w:p w14:paraId="1013B88B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Zelenožluté vodiče se nesmí přeznačovat za účelem jiné funkce! Černý izolovaný vodič slouží pouze jako fázový vodič!</w:t>
      </w:r>
    </w:p>
    <w:p w14:paraId="5F9B5B40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Barvy natřených holých vodičů</w:t>
      </w:r>
    </w:p>
    <w:p w14:paraId="66088D46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 xml:space="preserve">V sítích NN typu TN-S – </w:t>
      </w:r>
      <w:r>
        <w:rPr>
          <w:i/>
        </w:rPr>
        <w:t>fáze</w:t>
      </w:r>
      <w:r>
        <w:t xml:space="preserve"> oranžová s černými pruhy, </w:t>
      </w:r>
      <w:r>
        <w:rPr>
          <w:i/>
        </w:rPr>
        <w:t>ochranný vodič PE</w:t>
      </w:r>
      <w:r>
        <w:t xml:space="preserve"> zelenožlutý</w:t>
      </w:r>
    </w:p>
    <w:p w14:paraId="7120AD43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 xml:space="preserve">V sítích TN-C – </w:t>
      </w:r>
      <w:r>
        <w:rPr>
          <w:i/>
        </w:rPr>
        <w:t>fáze</w:t>
      </w:r>
      <w:r>
        <w:t xml:space="preserve"> oranžová s černými pruhy, </w:t>
      </w:r>
      <w:r>
        <w:rPr>
          <w:i/>
        </w:rPr>
        <w:t>ochranný a pracovní vodič PEN</w:t>
      </w:r>
      <w:r>
        <w:t xml:space="preserve"> zelenožlutý</w:t>
      </w:r>
    </w:p>
    <w:p w14:paraId="0DA3E6B1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 xml:space="preserve">Stejnosměrné soustavy – </w:t>
      </w:r>
      <w:r w:rsidRPr="00DD3740">
        <w:rPr>
          <w:i/>
        </w:rPr>
        <w:t>kladný pól</w:t>
      </w:r>
      <w:r>
        <w:t xml:space="preserve"> tmavě červeně, </w:t>
      </w:r>
      <w:r w:rsidRPr="00DD3740">
        <w:rPr>
          <w:i/>
        </w:rPr>
        <w:t>záporný pól</w:t>
      </w:r>
      <w:r>
        <w:t xml:space="preserve"> tmavě modře, </w:t>
      </w:r>
      <w:r w:rsidRPr="00DD3740">
        <w:rPr>
          <w:i/>
        </w:rPr>
        <w:t>vodič PEN</w:t>
      </w:r>
      <w:r>
        <w:t xml:space="preserve"> zelenožlutě</w:t>
      </w:r>
    </w:p>
    <w:p w14:paraId="63D5D7CF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Ovladače</w:t>
      </w:r>
    </w:p>
    <w:p w14:paraId="1DC5134B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Vypínací ovladač – přednostně černý, možný i šedý, bílý a červený</w:t>
      </w:r>
    </w:p>
    <w:p w14:paraId="2C81D7B9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Zapínací ovladač – přednostně bílý, možný i černý a zelený</w:t>
      </w:r>
    </w:p>
    <w:p w14:paraId="0C3DA5E2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Nouzové vypnutí – červená na žlutém pozadí</w:t>
      </w:r>
    </w:p>
    <w:p w14:paraId="34118221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Seřízení, nastavení, zvláštní význam – modré tlačítko</w:t>
      </w:r>
    </w:p>
    <w:p w14:paraId="1EB9FA37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Mimořádný stav (ruční najetí přerušeného automatického cyklu) – žluté tlačítko</w:t>
      </w:r>
    </w:p>
    <w:p w14:paraId="5FC0DBBB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Signálky</w:t>
      </w:r>
    </w:p>
    <w:p w14:paraId="04BA8747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Mimořádný stav (přetížení, výpadek) – žlutá</w:t>
      </w:r>
    </w:p>
    <w:p w14:paraId="02E46951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Normální stav – zelená</w:t>
      </w:r>
    </w:p>
    <w:p w14:paraId="0FA8F696" w14:textId="77777777" w:rsidR="000F6B68" w:rsidRDefault="000F6B68" w:rsidP="000F6B68">
      <w:pPr>
        <w:pStyle w:val="ListParagraph"/>
        <w:numPr>
          <w:ilvl w:val="1"/>
          <w:numId w:val="12"/>
        </w:numPr>
      </w:pPr>
      <w:r>
        <w:t>Nebezpečí, nouzové zastavení (porucha důležitého zařízení) – červená</w:t>
      </w:r>
    </w:p>
    <w:p w14:paraId="600887C6" w14:textId="77777777" w:rsidR="000F6B68" w:rsidRPr="002426EA" w:rsidRDefault="000F6B68" w:rsidP="000F6B68">
      <w:pPr>
        <w:pStyle w:val="ListParagraph"/>
        <w:numPr>
          <w:ilvl w:val="1"/>
          <w:numId w:val="12"/>
        </w:numPr>
      </w:pPr>
      <w:r>
        <w:t>Zvláštní význam (podmínky vyžadující zásah) - modrá</w:t>
      </w:r>
    </w:p>
    <w:p w14:paraId="424D9903" w14:textId="77777777" w:rsidR="000F6B68" w:rsidRDefault="000F6B68" w:rsidP="000F6B68">
      <w:pPr>
        <w:pStyle w:val="Heading1"/>
        <w:pBdr>
          <w:bottom w:val="none" w:sz="0" w:space="0" w:color="auto"/>
        </w:pBdr>
        <w:spacing w:before="480" w:after="0" w:line="276" w:lineRule="auto"/>
      </w:pPr>
      <w:r>
        <w:t>Základní principy ochrany před úrazem elektrickým proudem</w:t>
      </w:r>
    </w:p>
    <w:p w14:paraId="35F3D903" w14:textId="77777777" w:rsidR="000F6B68" w:rsidRDefault="000F6B68" w:rsidP="000F6B68">
      <w:pPr>
        <w:pStyle w:val="Heading2"/>
        <w:spacing w:before="200" w:line="276" w:lineRule="auto"/>
      </w:pPr>
      <w:r>
        <w:t>Třídy ochran elektrických zařízení</w:t>
      </w:r>
    </w:p>
    <w:p w14:paraId="66D92885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I. třída</w:t>
      </w:r>
      <w:r>
        <w:t xml:space="preserve"> (pouze základní izolace), spotřebiče je nutno zapojit tří vodičově</w:t>
      </w:r>
    </w:p>
    <w:p w14:paraId="33F46DC1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rPr>
          <w:b/>
        </w:rPr>
        <w:t>II. třída</w:t>
      </w:r>
      <w:r>
        <w:t xml:space="preserve"> (základní a ochranná izolace), spotřebič, který má značku </w:t>
      </w:r>
      <w:r>
        <w:rPr>
          <w:noProof/>
          <w:lang w:val="en-US"/>
        </w:rPr>
        <w:drawing>
          <wp:inline distT="0" distB="0" distL="0" distR="0" wp14:anchorId="724A6588" wp14:editId="2B261229">
            <wp:extent cx="337279" cy="342900"/>
            <wp:effectExtent l="0" t="0" r="571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může být zapojen dvoužilově</w:t>
      </w:r>
    </w:p>
    <w:p w14:paraId="43234D1F" w14:textId="77777777" w:rsidR="000F6B68" w:rsidRDefault="000F6B68" w:rsidP="000F6B68">
      <w:pPr>
        <w:pStyle w:val="Heading2"/>
        <w:spacing w:before="200" w:line="276" w:lineRule="auto"/>
      </w:pPr>
      <w:r>
        <w:t>Označení vodičů</w:t>
      </w:r>
    </w:p>
    <w:p w14:paraId="3C526718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 xml:space="preserve">značka </w:t>
      </w:r>
      <w:r>
        <w:rPr>
          <w:noProof/>
          <w:lang w:val="en-US"/>
        </w:rPr>
        <w:drawing>
          <wp:inline distT="0" distB="0" distL="0" distR="0" wp14:anchorId="6E937D31" wp14:editId="2B36B9E3">
            <wp:extent cx="276225" cy="258404"/>
            <wp:effectExtent l="0" t="0" r="0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označuje ochranný vodič, který musí být k zařízení připojen</w:t>
      </w:r>
    </w:p>
    <w:p w14:paraId="4049CC79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 xml:space="preserve">značka </w:t>
      </w:r>
      <w:r>
        <w:rPr>
          <w:noProof/>
          <w:lang w:val="en-US"/>
        </w:rPr>
        <w:drawing>
          <wp:inline distT="0" distB="0" distL="0" distR="0" wp14:anchorId="6D860152" wp14:editId="48ED880C">
            <wp:extent cx="364617" cy="3143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označuje vodič PEN</w:t>
      </w:r>
    </w:p>
    <w:p w14:paraId="6A36261B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 xml:space="preserve">značka </w:t>
      </w:r>
      <w:r>
        <w:rPr>
          <w:noProof/>
          <w:lang w:val="en-US"/>
        </w:rPr>
        <w:drawing>
          <wp:inline distT="0" distB="0" distL="0" distR="0" wp14:anchorId="5B890581" wp14:editId="32A51B34">
            <wp:extent cx="387350" cy="3048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označuje ochranný vodič PE</w:t>
      </w:r>
    </w:p>
    <w:p w14:paraId="3A60C615" w14:textId="77777777" w:rsidR="000F6B68" w:rsidRDefault="000F6B68" w:rsidP="000F6B68">
      <w:pPr>
        <w:pStyle w:val="ListParagraph"/>
        <w:numPr>
          <w:ilvl w:val="0"/>
          <w:numId w:val="12"/>
        </w:numPr>
      </w:pPr>
      <w:r>
        <w:t xml:space="preserve">značka </w:t>
      </w:r>
      <w:r>
        <w:rPr>
          <w:noProof/>
          <w:lang w:val="en-US"/>
        </w:rPr>
        <w:drawing>
          <wp:inline distT="0" distB="0" distL="0" distR="0" wp14:anchorId="03115E9B" wp14:editId="4C670313">
            <wp:extent cx="360218" cy="304800"/>
            <wp:effectExtent l="0" t="0" r="1905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1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označuje nulový nebo střední vodič</w:t>
      </w:r>
    </w:p>
    <w:p w14:paraId="2D9BD92A" w14:textId="77777777" w:rsidR="000F6B68" w:rsidRPr="002426EA" w:rsidRDefault="000F6B68" w:rsidP="000F6B68">
      <w:pPr>
        <w:pStyle w:val="ListParagraph"/>
        <w:numPr>
          <w:ilvl w:val="0"/>
          <w:numId w:val="12"/>
        </w:numPr>
      </w:pPr>
      <w:r>
        <w:lastRenderedPageBreak/>
        <w:t xml:space="preserve">je-li na viditelném místě kovového povrchu nebo vnitřku krytu značka </w:t>
      </w:r>
      <w:r>
        <w:rPr>
          <w:noProof/>
          <w:lang w:val="en-US"/>
        </w:rPr>
        <w:drawing>
          <wp:inline distT="0" distB="0" distL="0" distR="0" wp14:anchorId="26EDD489" wp14:editId="0CFF5414">
            <wp:extent cx="373610" cy="333375"/>
            <wp:effectExtent l="0" t="0" r="762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pak není nutné připojit ochranný vodič</w:t>
      </w:r>
    </w:p>
    <w:p w14:paraId="4EE6E950" w14:textId="77777777" w:rsidR="000F6B68" w:rsidRDefault="000F6B68" w:rsidP="000F6B68">
      <w:pPr>
        <w:pStyle w:val="Heading2"/>
        <w:spacing w:before="200" w:line="276" w:lineRule="auto"/>
      </w:pPr>
      <w:r>
        <w:t>Druhy sítí</w:t>
      </w:r>
    </w:p>
    <w:p w14:paraId="0B917FBA" w14:textId="77777777" w:rsidR="000F6B68" w:rsidRDefault="000F6B68" w:rsidP="000F6B68">
      <w:pPr>
        <w:pStyle w:val="ListParagraph"/>
        <w:numPr>
          <w:ilvl w:val="0"/>
          <w:numId w:val="11"/>
        </w:numPr>
      </w:pPr>
      <w:r>
        <w:t xml:space="preserve">První písmenko – </w:t>
      </w:r>
      <w:r>
        <w:rPr>
          <w:b/>
        </w:rPr>
        <w:t>T</w:t>
      </w:r>
      <w:r>
        <w:t xml:space="preserve"> (bezprostřední spojení jednoho bodu sítě se zemí) a </w:t>
      </w:r>
      <w:r>
        <w:rPr>
          <w:b/>
        </w:rPr>
        <w:t>I</w:t>
      </w:r>
      <w:r>
        <w:t xml:space="preserve"> (oddělení všech živých částí od země nebo spojení přes velkou impedanci)</w:t>
      </w:r>
    </w:p>
    <w:p w14:paraId="67DDB7FE" w14:textId="77777777" w:rsidR="000F6B68" w:rsidRDefault="000F6B68" w:rsidP="000F6B68">
      <w:pPr>
        <w:pStyle w:val="ListParagraph"/>
        <w:numPr>
          <w:ilvl w:val="0"/>
          <w:numId w:val="11"/>
        </w:numPr>
      </w:pPr>
      <w:r>
        <w:t xml:space="preserve">Druhé písmenko – </w:t>
      </w:r>
      <w:r>
        <w:rPr>
          <w:b/>
        </w:rPr>
        <w:t>T</w:t>
      </w:r>
      <w:r>
        <w:t xml:space="preserve"> (nepřímé spojení neživých částí se zemí) a </w:t>
      </w:r>
      <w:r>
        <w:rPr>
          <w:b/>
        </w:rPr>
        <w:t>N</w:t>
      </w:r>
      <w:r>
        <w:t xml:space="preserve"> (přímé spojení neživých částí s uzemněným uzlem sítě)</w:t>
      </w:r>
    </w:p>
    <w:p w14:paraId="3FE878AB" w14:textId="77777777" w:rsidR="000F6B68" w:rsidRDefault="000F6B68" w:rsidP="000F6B68">
      <w:pPr>
        <w:pStyle w:val="ListParagraph"/>
        <w:numPr>
          <w:ilvl w:val="0"/>
          <w:numId w:val="11"/>
        </w:numPr>
      </w:pPr>
      <w:r>
        <w:t xml:space="preserve">Další písmenka – </w:t>
      </w:r>
      <w:r>
        <w:rPr>
          <w:b/>
        </w:rPr>
        <w:t>S</w:t>
      </w:r>
      <w:r>
        <w:t xml:space="preserve"> (funkce ochranného vodiče je zajišťována vodičem odděleným od středního vodiče) nebo </w:t>
      </w:r>
      <w:r>
        <w:rPr>
          <w:b/>
        </w:rPr>
        <w:t>C</w:t>
      </w:r>
      <w:r>
        <w:t xml:space="preserve"> (funkce středního a ochranného vodiče je spojena v PEN vodič)</w:t>
      </w:r>
    </w:p>
    <w:p w14:paraId="546A1974" w14:textId="77777777" w:rsidR="000F6B68" w:rsidRDefault="000F6B68" w:rsidP="000F6B68">
      <w:r>
        <w:t xml:space="preserve">Mez bezpečného napětí v prostorách normálních a nebezpečných je </w:t>
      </w:r>
    </w:p>
    <w:p w14:paraId="055F4F1C" w14:textId="77777777" w:rsidR="000F6B68" w:rsidRDefault="000F6B68" w:rsidP="000F6B68">
      <w:pPr>
        <w:pStyle w:val="ListParagraph"/>
        <w:numPr>
          <w:ilvl w:val="0"/>
          <w:numId w:val="16"/>
        </w:numPr>
      </w:pPr>
      <w:r>
        <w:t>pro neživé části (kryty) a izolované části 50 V stejnosměrného a 120 V střídavého napětí</w:t>
      </w:r>
    </w:p>
    <w:p w14:paraId="346AA217" w14:textId="77777777" w:rsidR="000F6B68" w:rsidRDefault="000F6B68" w:rsidP="000F6B68">
      <w:pPr>
        <w:pStyle w:val="ListParagraph"/>
        <w:numPr>
          <w:ilvl w:val="0"/>
          <w:numId w:val="16"/>
        </w:numPr>
      </w:pPr>
      <w:r>
        <w:t>pro přístupné živé části (holé vodiče) 60 V stejnosměrného a 25 V střídavého napětí</w:t>
      </w:r>
    </w:p>
    <w:p w14:paraId="79D919AE" w14:textId="77777777" w:rsidR="000F6B68" w:rsidRDefault="000F6B68" w:rsidP="000F6B68">
      <w:pPr>
        <w:pStyle w:val="Heading3"/>
        <w:spacing w:line="276" w:lineRule="auto"/>
      </w:pPr>
      <w:r>
        <w:t>Sítě TN</w:t>
      </w:r>
    </w:p>
    <w:p w14:paraId="18BB1370" w14:textId="77777777" w:rsidR="000F6B68" w:rsidRPr="00D634C8" w:rsidRDefault="000F6B68" w:rsidP="000F6B68">
      <w:r>
        <w:t>Jako síť TN se obecně označuje síť, která má přímo uzemněný jeden bod sítě – nulový nebo krajní vodič, neživé části jsou k tomuto bodu spojeny prostřednictvím ochranných vodičů.</w:t>
      </w:r>
    </w:p>
    <w:p w14:paraId="5BE56077" w14:textId="77777777" w:rsidR="000F6B68" w:rsidRDefault="000F6B68" w:rsidP="000F6B68">
      <w:r>
        <w:t>Automatické oddělení zdroje v sítích TN lze realizovat pojistkami, jističi a proudovým chráničem. Porucha v síti TN má za následek nadproud ve fázovém vodiči ekvivalentní zkratu.</w:t>
      </w:r>
    </w:p>
    <w:p w14:paraId="09B29897" w14:textId="77777777" w:rsidR="000F6B68" w:rsidRDefault="000F6B68" w:rsidP="000F6B68">
      <w:r>
        <w:t>Při použití ochrany samočinným odpojením zdroje pro spotřebiče třídy ochrany I. je v síti TN se jmenovitým fázovým napětím 230 V pro koncové obvody do 32 A předepsán čas 0,4 s.</w:t>
      </w:r>
    </w:p>
    <w:p w14:paraId="239486CA" w14:textId="77777777" w:rsidR="000F6B68" w:rsidRDefault="000F6B68" w:rsidP="000F6B68">
      <w:pPr>
        <w:pStyle w:val="Heading4"/>
        <w:spacing w:line="276" w:lineRule="auto"/>
      </w:pPr>
      <w:r>
        <w:t>TN-C</w:t>
      </w:r>
    </w:p>
    <w:p w14:paraId="1403B420" w14:textId="77777777" w:rsidR="000F6B68" w:rsidRDefault="000F6B68" w:rsidP="000F6B68">
      <w:r>
        <w:t>V síti TN-C je jeden bod sítě bezprostředně spojen se zemí. V celé síti je funkce ochranného a středního vodiče spojena ve vodič PEN. Dochází k přímému spojení neživých částí s uzemněným uzlem sítě.</w:t>
      </w:r>
    </w:p>
    <w:p w14:paraId="6D21E0B3" w14:textId="77777777" w:rsidR="000F6B68" w:rsidRDefault="000F6B68" w:rsidP="000F6B68">
      <w:r>
        <w:rPr>
          <w:noProof/>
        </w:rPr>
        <w:drawing>
          <wp:inline distT="0" distB="0" distL="0" distR="0" wp14:anchorId="3A49419B" wp14:editId="2766B5F2">
            <wp:extent cx="2968344" cy="1200150"/>
            <wp:effectExtent l="133350" t="114300" r="156210" b="1714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660" cy="1200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3241" w14:textId="77777777" w:rsidR="000F6B68" w:rsidRDefault="000F6B68" w:rsidP="000F6B68">
      <w:pPr>
        <w:pStyle w:val="Heading4"/>
        <w:spacing w:line="276" w:lineRule="auto"/>
      </w:pPr>
      <w:r>
        <w:t>TN-S</w:t>
      </w:r>
    </w:p>
    <w:p w14:paraId="33B2D1F0" w14:textId="77777777" w:rsidR="000F6B68" w:rsidRDefault="000F6B68" w:rsidP="000F6B68">
      <w:r>
        <w:t>V síti TN-S je jeden bod sítě bezprostředně spojen se zemí. V celé síti je funkce ochranného a středního oddělena na dva vodiče. Dochází k přímému spojení neživých částí s uzemněným uzlem sítě.</w:t>
      </w:r>
    </w:p>
    <w:p w14:paraId="6E2CB45C" w14:textId="77777777" w:rsidR="000F6B68" w:rsidRDefault="000F6B68" w:rsidP="000F6B68">
      <w:pPr>
        <w:rPr>
          <w:noProof/>
          <w:lang w:eastAsia="cs-CZ"/>
        </w:rPr>
      </w:pPr>
      <w:r>
        <w:rPr>
          <w:noProof/>
        </w:rPr>
        <w:lastRenderedPageBreak/>
        <w:drawing>
          <wp:inline distT="0" distB="0" distL="0" distR="0" wp14:anchorId="2A5EC834" wp14:editId="11332AB7">
            <wp:extent cx="3009900" cy="1352550"/>
            <wp:effectExtent l="133350" t="114300" r="152400" b="1714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C1E0D">
        <w:rPr>
          <w:noProof/>
          <w:lang w:eastAsia="cs-CZ"/>
        </w:rPr>
        <w:t xml:space="preserve"> </w:t>
      </w:r>
      <w:r>
        <w:rPr>
          <w:noProof/>
        </w:rPr>
        <w:drawing>
          <wp:inline distT="0" distB="0" distL="0" distR="0" wp14:anchorId="72FA6E51" wp14:editId="0C671057">
            <wp:extent cx="2926715" cy="1990725"/>
            <wp:effectExtent l="133350" t="114300" r="140335" b="1619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1271" cy="19938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1014E6" w14:textId="77777777" w:rsidR="000F6B68" w:rsidRDefault="000F6B68" w:rsidP="000F6B68">
      <w:r>
        <w:rPr>
          <w:noProof/>
        </w:rPr>
        <w:drawing>
          <wp:inline distT="0" distB="0" distL="0" distR="0" wp14:anchorId="68EA9745" wp14:editId="0ABA1EB7">
            <wp:extent cx="3448050" cy="1845436"/>
            <wp:effectExtent l="133350" t="114300" r="152400" b="17399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111" cy="1846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FE8F8D" w14:textId="77777777" w:rsidR="000F6B68" w:rsidRPr="002C1E0D" w:rsidRDefault="000F6B68" w:rsidP="000F6B68">
      <w:r>
        <w:t>Ochranná vypínací smyčka je tvořena vynutím transformátoru – fázovým vodičem k místu poruchy a ochranným vodičem sítě PE.</w:t>
      </w:r>
    </w:p>
    <w:p w14:paraId="3BD5DF74" w14:textId="77777777" w:rsidR="000F6B68" w:rsidRDefault="000F6B68" w:rsidP="000F6B68">
      <w:pPr>
        <w:pStyle w:val="Heading4"/>
        <w:spacing w:line="276" w:lineRule="auto"/>
      </w:pPr>
      <w:r>
        <w:t>TN-C-S</w:t>
      </w:r>
    </w:p>
    <w:p w14:paraId="16EA26B5" w14:textId="77777777" w:rsidR="000F6B68" w:rsidRDefault="000F6B68" w:rsidP="000F6B68">
      <w:r>
        <w:t>V síti TN-C-S je jeden bod sítě bezprostředně spojen se zemí. Funkce ochranného a středního vodiče je v části sítě spojena ve vodič PEN, který je posléze oddělen. Dochází k přímému spojení neživých částí s uzemněným uzlem sítě.</w:t>
      </w:r>
    </w:p>
    <w:p w14:paraId="2FDB9EC2" w14:textId="77777777" w:rsidR="000F6B68" w:rsidRPr="003122C3" w:rsidRDefault="000F6B68" w:rsidP="000F6B68">
      <w:r>
        <w:rPr>
          <w:noProof/>
        </w:rPr>
        <w:drawing>
          <wp:inline distT="0" distB="0" distL="0" distR="0" wp14:anchorId="2139147F" wp14:editId="25D40097">
            <wp:extent cx="3333325" cy="1114425"/>
            <wp:effectExtent l="114300" t="114300" r="153035" b="1619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25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75A06" wp14:editId="6DB588B8">
            <wp:extent cx="2316525" cy="1276350"/>
            <wp:effectExtent l="133350" t="114300" r="140970" b="1714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8315" cy="1277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664A60" w14:textId="77777777" w:rsidR="000F6B68" w:rsidRDefault="000F6B68" w:rsidP="000F6B68">
      <w:pPr>
        <w:pStyle w:val="Heading3"/>
        <w:spacing w:line="276" w:lineRule="auto"/>
      </w:pPr>
      <w:r>
        <w:t>Síť TT</w:t>
      </w:r>
    </w:p>
    <w:p w14:paraId="4A400CCE" w14:textId="77777777" w:rsidR="000F6B68" w:rsidRPr="00656DC7" w:rsidRDefault="000F6B68" w:rsidP="000F6B68">
      <w:r>
        <w:t>Síť, kdy je jeden bod přímo uzemněný.</w:t>
      </w:r>
    </w:p>
    <w:p w14:paraId="16382310" w14:textId="77777777" w:rsidR="000F6B68" w:rsidRDefault="000F6B68" w:rsidP="000F6B68">
      <w:r>
        <w:rPr>
          <w:noProof/>
        </w:rPr>
        <w:lastRenderedPageBreak/>
        <w:drawing>
          <wp:inline distT="0" distB="0" distL="0" distR="0" wp14:anchorId="684AF44D" wp14:editId="1E8B18BF">
            <wp:extent cx="2238375" cy="1645708"/>
            <wp:effectExtent l="133350" t="95250" r="142875" b="16446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57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A5E9B1" w14:textId="77777777" w:rsidR="000F6B68" w:rsidRDefault="000F6B68" w:rsidP="000F6B68">
      <w:r>
        <w:t>Automatické odpojení od zdroje v síti TT v případě poruchy se dnes obvykle realizuje proudovým chráničem, důvodem je malý poruchový proud.</w:t>
      </w:r>
    </w:p>
    <w:p w14:paraId="3202ECB7" w14:textId="77777777" w:rsidR="000F6B68" w:rsidRDefault="000F6B68" w:rsidP="000F6B68">
      <w:r>
        <w:t>Porucha v síti TT má za následek zpravidla nadproud ve fázovém vodiči podobající se přetížení.</w:t>
      </w:r>
    </w:p>
    <w:p w14:paraId="353FF1EA" w14:textId="77777777" w:rsidR="000F6B68" w:rsidRDefault="000F6B68" w:rsidP="000F6B68">
      <w:pPr>
        <w:pStyle w:val="Heading3"/>
        <w:spacing w:line="276" w:lineRule="auto"/>
      </w:pPr>
      <w:r>
        <w:t>Síť IT</w:t>
      </w:r>
    </w:p>
    <w:p w14:paraId="713068C9" w14:textId="77777777" w:rsidR="000F6B68" w:rsidRDefault="000F6B68" w:rsidP="000F6B68">
      <w:r>
        <w:t>Síť, kdy jsou všechny živé části izolované od země, nebo jeden bod je spojený se zemí přes velkou impedancí.</w:t>
      </w:r>
    </w:p>
    <w:p w14:paraId="6930CB7F" w14:textId="77777777" w:rsidR="000F6B68" w:rsidRDefault="000F6B68" w:rsidP="000F6B68">
      <w:r>
        <w:t>První porucha se v síti IT bez hlídače izolačního stavu obtížně zjišťuje, jeho použití z důvodu zajištění kontinuity je nutné. Automatické odpojení od zdroje v síti IT v případě první poruchy se obvykle nevyžaduje.</w:t>
      </w:r>
    </w:p>
    <w:p w14:paraId="0FFBB74F" w14:textId="77777777" w:rsidR="000F6B68" w:rsidRDefault="000F6B68" w:rsidP="000F6B68">
      <w:r>
        <w:rPr>
          <w:noProof/>
        </w:rPr>
        <w:drawing>
          <wp:inline distT="0" distB="0" distL="0" distR="0" wp14:anchorId="59412B01" wp14:editId="341BBA7A">
            <wp:extent cx="2019300" cy="1517863"/>
            <wp:effectExtent l="133350" t="95250" r="152400" b="15875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55389"/>
                    <a:stretch/>
                  </pic:blipFill>
                  <pic:spPr bwMode="auto">
                    <a:xfrm>
                      <a:off x="0" y="0"/>
                      <a:ext cx="2019300" cy="15178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DB07D" wp14:editId="3BF880E7">
            <wp:extent cx="2647950" cy="1603083"/>
            <wp:effectExtent l="133350" t="95250" r="133350" b="16891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44611"/>
                    <a:stretch/>
                  </pic:blipFill>
                  <pic:spPr bwMode="auto">
                    <a:xfrm>
                      <a:off x="0" y="0"/>
                      <a:ext cx="2647950" cy="1603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401F4" w14:textId="77777777" w:rsidR="000F6B68" w:rsidRDefault="000F6B68" w:rsidP="000F6B68">
      <w:r>
        <w:rPr>
          <w:noProof/>
        </w:rPr>
        <w:drawing>
          <wp:inline distT="0" distB="0" distL="0" distR="0" wp14:anchorId="4776016C" wp14:editId="15216E78">
            <wp:extent cx="2895463" cy="2219325"/>
            <wp:effectExtent l="133350" t="114300" r="153035" b="16192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463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BBC696" w14:textId="77777777" w:rsidR="000F6B68" w:rsidRDefault="000F6B68" w:rsidP="000F6B68">
      <w:pPr>
        <w:pStyle w:val="Heading2"/>
        <w:spacing w:before="200" w:line="276" w:lineRule="auto"/>
      </w:pPr>
      <w:r>
        <w:lastRenderedPageBreak/>
        <w:t>Ochrana bezpečným malým napětím</w:t>
      </w:r>
    </w:p>
    <w:p w14:paraId="78BE0CE7" w14:textId="77777777" w:rsidR="000F6B68" w:rsidRDefault="000F6B68" w:rsidP="000F6B68">
      <w:r>
        <w:t>Napětí obvodů SELV nebo PELV v prostorách normálním nesmí přesáhnout hodnotu 50 v střídavě a 120 V stejnosměrně.</w:t>
      </w:r>
    </w:p>
    <w:p w14:paraId="2E0204C4" w14:textId="77777777" w:rsidR="000F6B68" w:rsidRDefault="000F6B68" w:rsidP="000F6B68">
      <w:pPr>
        <w:pStyle w:val="ListParagraph"/>
        <w:numPr>
          <w:ilvl w:val="0"/>
          <w:numId w:val="17"/>
        </w:numPr>
      </w:pPr>
      <w:r>
        <w:t>Označení SELV se používá pro obvody s bezpečným malým napětím (pro daný prostor), jejichž živé části nejsou spojeny v žádném případě se zemí.</w:t>
      </w:r>
    </w:p>
    <w:p w14:paraId="1E7D8D93" w14:textId="77777777" w:rsidR="000F6B68" w:rsidRPr="00B92D15" w:rsidRDefault="000F6B68" w:rsidP="000F6B68">
      <w:pPr>
        <w:pStyle w:val="ListParagraph"/>
        <w:numPr>
          <w:ilvl w:val="0"/>
          <w:numId w:val="17"/>
        </w:numPr>
      </w:pPr>
      <w:r>
        <w:t>Označení PELV se používá pro obvody s bezpečným malým napětím (pro daný prostor), jejichž živé části jsou spojeny se zemí v určitém bodě.</w:t>
      </w:r>
    </w:p>
    <w:p w14:paraId="51AD06FC" w14:textId="77777777" w:rsidR="000F6B68" w:rsidRDefault="000F6B68" w:rsidP="000F6B68">
      <w:pPr>
        <w:pStyle w:val="Heading2"/>
        <w:spacing w:before="200" w:line="276" w:lineRule="auto"/>
      </w:pPr>
      <w:r>
        <w:t>Ochrana proudovým chráničem</w:t>
      </w:r>
    </w:p>
    <w:p w14:paraId="75F1CF6E" w14:textId="77777777" w:rsidR="000F6B68" w:rsidRDefault="000F6B68" w:rsidP="000F6B68">
      <w:r>
        <w:t xml:space="preserve">Proudový chránič z podstaty nejistí před zkratem a přetížením. Platí, že PEN </w:t>
      </w:r>
      <w:r>
        <w:rPr>
          <w:b/>
        </w:rPr>
        <w:t>nesmí</w:t>
      </w:r>
      <w:r>
        <w:t xml:space="preserve"> procházet magnetickým obvodem proudového chrániče.</w:t>
      </w:r>
    </w:p>
    <w:p w14:paraId="58AF9FA7" w14:textId="77777777" w:rsidR="000F6B68" w:rsidRDefault="000F6B68" w:rsidP="000F6B68">
      <w:r>
        <w:t>Proudový chránič s rozdílovým proudem 30 mA chrání uživatele před přímým dotykem živých částí a před nepřímým dotykem, tj. dotykem neživých částí.</w:t>
      </w:r>
    </w:p>
    <w:p w14:paraId="648CAAB3" w14:textId="77777777" w:rsidR="000F6B68" w:rsidRPr="004362AE" w:rsidRDefault="000F6B68" w:rsidP="000F6B68">
      <w:r>
        <w:t>Použití ochranného opatření s rozdílovým proudem 30 mA jako jediného opatření před úrazem elektrickým proudem není možné, je nutné uplatnit ochranné opatření „automatické odpojení od zdroje“ nebo „dvojitá nebo zesílená izolace“ nebo „elektrické oddělení“.</w:t>
      </w:r>
    </w:p>
    <w:p w14:paraId="037D777D" w14:textId="77777777" w:rsidR="000F6B68" w:rsidRDefault="000F6B68" w:rsidP="000F6B68">
      <w:pPr>
        <w:pStyle w:val="Heading2"/>
        <w:spacing w:before="200" w:line="276" w:lineRule="auto"/>
      </w:pPr>
      <w:r>
        <w:t>Ochrana elektrickým oddělením</w:t>
      </w:r>
    </w:p>
    <w:p w14:paraId="7F5D9D72" w14:textId="77777777" w:rsidR="000F6B68" w:rsidRDefault="000F6B68" w:rsidP="000F6B68">
      <w:r>
        <w:t xml:space="preserve">Při použití ochrany elektrickým oddělením </w:t>
      </w:r>
      <w:r>
        <w:rPr>
          <w:b/>
        </w:rPr>
        <w:t>nesmí</w:t>
      </w:r>
      <w:r>
        <w:t xml:space="preserve"> napětí elektricky odděleného obvodu přesáhnout 500 V.</w:t>
      </w:r>
    </w:p>
    <w:p w14:paraId="456E109B" w14:textId="77777777" w:rsidR="000F6B68" w:rsidRDefault="000F6B68" w:rsidP="000F6B68">
      <w:pPr>
        <w:pStyle w:val="Heading2"/>
        <w:spacing w:before="200" w:line="276" w:lineRule="auto"/>
      </w:pPr>
      <w:r>
        <w:t>Zapojení prodlužovacích přívodů</w:t>
      </w:r>
    </w:p>
    <w:p w14:paraId="2A7FDD41" w14:textId="77777777" w:rsidR="000F6B68" w:rsidRDefault="000F6B68" w:rsidP="000F6B68">
      <w:pPr>
        <w:rPr>
          <w:noProof/>
          <w:lang w:eastAsia="cs-CZ"/>
        </w:rPr>
      </w:pPr>
      <w:r>
        <w:rPr>
          <w:noProof/>
        </w:rPr>
        <w:drawing>
          <wp:inline distT="0" distB="0" distL="0" distR="0" wp14:anchorId="3E97AA17" wp14:editId="5B650C8B">
            <wp:extent cx="3219450" cy="1381125"/>
            <wp:effectExtent l="133350" t="114300" r="152400" b="1619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1DE8">
        <w:rPr>
          <w:noProof/>
          <w:lang w:eastAsia="cs-CZ"/>
        </w:rPr>
        <w:t xml:space="preserve"> </w:t>
      </w:r>
    </w:p>
    <w:p w14:paraId="0657E361" w14:textId="77777777" w:rsidR="000F6B68" w:rsidRDefault="000F6B68" w:rsidP="000F6B68">
      <w:pPr>
        <w:pStyle w:val="Heading3"/>
        <w:spacing w:line="276" w:lineRule="auto"/>
        <w:rPr>
          <w:noProof/>
          <w:lang w:eastAsia="cs-CZ"/>
        </w:rPr>
      </w:pPr>
      <w:r>
        <w:rPr>
          <w:noProof/>
          <w:lang w:eastAsia="cs-CZ"/>
        </w:rPr>
        <w:lastRenderedPageBreak/>
        <w:t>Zapojení v síti TN-S</w:t>
      </w:r>
    </w:p>
    <w:p w14:paraId="74BAAEC4" w14:textId="77777777" w:rsidR="000F6B68" w:rsidRDefault="000F6B68" w:rsidP="000F6B68">
      <w:pPr>
        <w:rPr>
          <w:lang w:eastAsia="cs-CZ"/>
        </w:rPr>
      </w:pPr>
      <w:r>
        <w:rPr>
          <w:noProof/>
        </w:rPr>
        <w:drawing>
          <wp:inline distT="0" distB="0" distL="0" distR="0" wp14:anchorId="4E9F28AE" wp14:editId="4AE88289">
            <wp:extent cx="2057400" cy="3333750"/>
            <wp:effectExtent l="133350" t="95250" r="152400" b="17145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CF8DB0" w14:textId="77777777" w:rsidR="000F6B68" w:rsidRDefault="000F6B68" w:rsidP="000F6B68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4AE1D" wp14:editId="63F88166">
                <wp:simplePos x="0" y="0"/>
                <wp:positionH relativeFrom="column">
                  <wp:posOffset>1162049</wp:posOffset>
                </wp:positionH>
                <wp:positionV relativeFrom="paragraph">
                  <wp:posOffset>316229</wp:posOffset>
                </wp:positionV>
                <wp:extent cx="1190625" cy="4981575"/>
                <wp:effectExtent l="76200" t="38100" r="66675" b="85725"/>
                <wp:wrapNone/>
                <wp:docPr id="32" name="Přímá spojni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98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C20EF" id="Přímá spojnice 3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4.9pt" to="185.25pt,4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115A" wp14:editId="586B87BB">
                <wp:simplePos x="0" y="0"/>
                <wp:positionH relativeFrom="column">
                  <wp:posOffset>1162049</wp:posOffset>
                </wp:positionH>
                <wp:positionV relativeFrom="paragraph">
                  <wp:posOffset>316230</wp:posOffset>
                </wp:positionV>
                <wp:extent cx="1190625" cy="4848225"/>
                <wp:effectExtent l="76200" t="38100" r="66675" b="85725"/>
                <wp:wrapNone/>
                <wp:docPr id="31" name="Přímá spojni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84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E1BD" id="Přímá spojnice 3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4.9pt" to="185.2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lang w:eastAsia="cs-CZ"/>
        </w:rPr>
        <w:t>Zapojení po roce 1999:</w:t>
      </w:r>
    </w:p>
    <w:p w14:paraId="0D7B75C7" w14:textId="77777777" w:rsidR="000F6B68" w:rsidRPr="00B41978" w:rsidRDefault="000F6B68" w:rsidP="000F6B68">
      <w:pPr>
        <w:rPr>
          <w:lang w:eastAsia="cs-CZ"/>
        </w:rPr>
      </w:pPr>
      <w:r>
        <w:rPr>
          <w:noProof/>
        </w:rPr>
        <w:lastRenderedPageBreak/>
        <w:drawing>
          <wp:inline distT="0" distB="0" distL="0" distR="0" wp14:anchorId="3042E933" wp14:editId="11F92252">
            <wp:extent cx="828675" cy="1866900"/>
            <wp:effectExtent l="133350" t="114300" r="142875" b="17145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6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75961">
        <w:rPr>
          <w:noProof/>
          <w:lang w:eastAsia="cs-CZ"/>
        </w:rPr>
        <w:t xml:space="preserve"> </w:t>
      </w:r>
      <w:r>
        <w:rPr>
          <w:noProof/>
        </w:rPr>
        <w:drawing>
          <wp:inline distT="0" distB="0" distL="0" distR="0" wp14:anchorId="1DA660A2" wp14:editId="12D5ED36">
            <wp:extent cx="1000125" cy="4562475"/>
            <wp:effectExtent l="133350" t="114300" r="142875" b="1619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6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6208CA" w14:textId="77777777" w:rsidR="000F6B68" w:rsidRPr="00B41978" w:rsidRDefault="000F6B68" w:rsidP="000F6B68">
      <w:pPr>
        <w:rPr>
          <w:lang w:eastAsia="cs-CZ"/>
        </w:rPr>
      </w:pPr>
    </w:p>
    <w:p w14:paraId="4FF821BF" w14:textId="77777777" w:rsidR="000F6B68" w:rsidRDefault="000F6B68" w:rsidP="000F6B68">
      <w:pPr>
        <w:pStyle w:val="Heading3"/>
        <w:spacing w:line="276" w:lineRule="auto"/>
        <w:rPr>
          <w:noProof/>
          <w:lang w:eastAsia="cs-CZ"/>
        </w:rPr>
      </w:pPr>
      <w:r>
        <w:lastRenderedPageBreak/>
        <w:t>Zapojení spotřebiče I. třídy v síti TN-C</w:t>
      </w:r>
    </w:p>
    <w:p w14:paraId="7D337998" w14:textId="77777777" w:rsidR="000F6B68" w:rsidRDefault="000F6B68" w:rsidP="000F6B68">
      <w:pPr>
        <w:rPr>
          <w:noProof/>
          <w:lang w:eastAsia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9F999" wp14:editId="17E93947">
                <wp:simplePos x="0" y="0"/>
                <wp:positionH relativeFrom="column">
                  <wp:posOffset>3133725</wp:posOffset>
                </wp:positionH>
                <wp:positionV relativeFrom="paragraph">
                  <wp:posOffset>259079</wp:posOffset>
                </wp:positionV>
                <wp:extent cx="1657350" cy="5153025"/>
                <wp:effectExtent l="76200" t="38100" r="76200" b="85725"/>
                <wp:wrapNone/>
                <wp:docPr id="20" name="Přímá spojni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515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641BC" id="Přímá spojnice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0.4pt" to="377.25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71256" wp14:editId="66975A43">
                <wp:simplePos x="0" y="0"/>
                <wp:positionH relativeFrom="column">
                  <wp:posOffset>3133724</wp:posOffset>
                </wp:positionH>
                <wp:positionV relativeFrom="paragraph">
                  <wp:posOffset>259080</wp:posOffset>
                </wp:positionV>
                <wp:extent cx="1590675" cy="5029200"/>
                <wp:effectExtent l="57150" t="38100" r="66675" b="7620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AF2B1" id="Přímá spojnice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0.4pt" to="372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76EA131" wp14:editId="4A2AC15F">
            <wp:extent cx="1057275" cy="5029200"/>
            <wp:effectExtent l="133350" t="114300" r="142875" b="17145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02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82CCA">
        <w:rPr>
          <w:noProof/>
          <w:lang w:eastAsia="cs-CZ"/>
        </w:rPr>
        <w:t xml:space="preserve"> </w:t>
      </w:r>
      <w:r>
        <w:rPr>
          <w:noProof/>
        </w:rPr>
        <w:drawing>
          <wp:inline distT="0" distB="0" distL="0" distR="0" wp14:anchorId="65493AEB" wp14:editId="4566284E">
            <wp:extent cx="1466850" cy="4743450"/>
            <wp:effectExtent l="133350" t="114300" r="152400" b="17145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4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82CCA">
        <w:rPr>
          <w:noProof/>
          <w:lang w:eastAsia="cs-CZ"/>
        </w:rPr>
        <w:t xml:space="preserve"> </w:t>
      </w:r>
      <w:r>
        <w:rPr>
          <w:noProof/>
        </w:rPr>
        <w:drawing>
          <wp:inline distT="0" distB="0" distL="0" distR="0" wp14:anchorId="7B25177E" wp14:editId="590330D6">
            <wp:extent cx="1333500" cy="4733925"/>
            <wp:effectExtent l="133350" t="114300" r="152400" b="1619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3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CCBAEC" w14:textId="77777777" w:rsidR="000F6B68" w:rsidRDefault="000F6B68" w:rsidP="000F6B68">
      <w:r>
        <w:rPr>
          <w:noProof/>
        </w:rPr>
        <w:drawing>
          <wp:inline distT="0" distB="0" distL="0" distR="0" wp14:anchorId="6A756984" wp14:editId="355DDCBF">
            <wp:extent cx="4895850" cy="1371600"/>
            <wp:effectExtent l="133350" t="114300" r="152400" b="17145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2BCF91" w14:textId="77777777" w:rsidR="000F6B68" w:rsidRDefault="000F6B68" w:rsidP="000F6B68">
      <w:r>
        <w:br w:type="page"/>
      </w:r>
    </w:p>
    <w:p w14:paraId="3AC6D3BB" w14:textId="77777777" w:rsidR="000F6B68" w:rsidRDefault="000F6B68" w:rsidP="000F6B68">
      <w:r>
        <w:lastRenderedPageBreak/>
        <w:t>Zapojení ve starší instalaci:</w:t>
      </w:r>
    </w:p>
    <w:p w14:paraId="78B56F8B" w14:textId="77777777" w:rsidR="000F6B68" w:rsidRPr="009C1DE8" w:rsidRDefault="000F6B68" w:rsidP="000F6B68">
      <w:r>
        <w:rPr>
          <w:noProof/>
        </w:rPr>
        <w:drawing>
          <wp:inline distT="0" distB="0" distL="0" distR="0" wp14:anchorId="6CEA6586" wp14:editId="7745B339">
            <wp:extent cx="2143125" cy="345757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3B1" w14:textId="77777777" w:rsidR="000F6B68" w:rsidRDefault="000F6B68" w:rsidP="000F6B68">
      <w:pPr>
        <w:pStyle w:val="Heading3"/>
        <w:spacing w:line="276" w:lineRule="auto"/>
      </w:pPr>
      <w:r>
        <w:t>Správné zapojení</w:t>
      </w:r>
    </w:p>
    <w:p w14:paraId="0351523C" w14:textId="77777777" w:rsidR="000F6B68" w:rsidRPr="002426EA" w:rsidRDefault="000F6B68" w:rsidP="000F6B68">
      <w:r>
        <w:rPr>
          <w:noProof/>
        </w:rPr>
        <w:drawing>
          <wp:inline distT="0" distB="0" distL="0" distR="0" wp14:anchorId="47F98120" wp14:editId="49DB865C">
            <wp:extent cx="2162175" cy="1543050"/>
            <wp:effectExtent l="133350" t="95250" r="142875" b="1714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CC6E9C" w14:textId="77777777" w:rsidR="000F6B68" w:rsidRDefault="000F6B68" w:rsidP="000F6B68">
      <w:pPr>
        <w:pStyle w:val="Heading2"/>
        <w:spacing w:before="200" w:line="276" w:lineRule="auto"/>
      </w:pPr>
      <w:r>
        <w:t>Jističe</w:t>
      </w:r>
    </w:p>
    <w:p w14:paraId="7ABC33F5" w14:textId="77777777" w:rsidR="000F6B68" w:rsidRPr="00B41978" w:rsidRDefault="000F6B68" w:rsidP="000F6B68">
      <w:r>
        <w:t>Vedení se jistí proti přetížení a zkratu na začátku vedení nebo na začátek odbočky při snížení průřezu vedení.</w:t>
      </w:r>
    </w:p>
    <w:p w14:paraId="21223451" w14:textId="77777777" w:rsidR="000F6B68" w:rsidRDefault="000F6B68" w:rsidP="000F6B68">
      <w:r>
        <w:t>Platí, že jistič je možno vyměnit za jistič s vyšším vybavovacím proudem pouze za předpokladu, že dojde k posouzení funkčnosti ochrany před nebezpečným dotykem. Při rozšíření stávajícího okruhu nevyžadující změnu jištění se vypracování revizní zprávy obvykle nepožaduje, je však nutné provést záznam o kontrole s podpisem pověřeného pracovníka.</w:t>
      </w:r>
    </w:p>
    <w:p w14:paraId="383DDA13" w14:textId="77777777" w:rsidR="000F6B68" w:rsidRDefault="000F6B68" w:rsidP="000F6B68">
      <w:r>
        <w:t>Jmenovitou vypínací schopnosti vypínacího prvku (pojistka, jistič) rozumím maximální poruchový proud, který je schopen prvek bezpečně vypnout.</w:t>
      </w:r>
    </w:p>
    <w:p w14:paraId="37E3CBCB" w14:textId="77777777" w:rsidR="000F6B68" w:rsidRDefault="000F6B68" w:rsidP="000F6B68">
      <w:pPr>
        <w:pStyle w:val="Heading3"/>
        <w:spacing w:line="276" w:lineRule="auto"/>
      </w:pPr>
      <w:r>
        <w:t>Typy jističů</w:t>
      </w:r>
    </w:p>
    <w:p w14:paraId="390DE9C3" w14:textId="77777777" w:rsidR="000F6B68" w:rsidRDefault="000F6B68" w:rsidP="000F6B68">
      <w:pPr>
        <w:pStyle w:val="ListParagraph"/>
        <w:numPr>
          <w:ilvl w:val="0"/>
          <w:numId w:val="15"/>
        </w:numPr>
      </w:pPr>
      <w:r>
        <w:rPr>
          <w:b/>
        </w:rPr>
        <w:t>Typ B</w:t>
      </w:r>
      <w:r>
        <w:t xml:space="preserve"> – poměr zkratové spouště k jmenovitému proudu cca </w:t>
      </w:r>
      <w:r w:rsidRPr="00B41978">
        <w:rPr>
          <w:b/>
        </w:rPr>
        <w:t>3-5</w:t>
      </w:r>
    </w:p>
    <w:p w14:paraId="65CDAE76" w14:textId="77777777" w:rsidR="000F6B68" w:rsidRPr="00D634C8" w:rsidRDefault="000F6B68" w:rsidP="000F6B68">
      <w:pPr>
        <w:pStyle w:val="ListParagraph"/>
        <w:numPr>
          <w:ilvl w:val="0"/>
          <w:numId w:val="15"/>
        </w:numPr>
      </w:pPr>
      <w:r>
        <w:rPr>
          <w:b/>
        </w:rPr>
        <w:t>Typ C</w:t>
      </w:r>
      <w:r>
        <w:t xml:space="preserve"> – poměr zkratové spouště k jmenovitému proudu cca </w:t>
      </w:r>
      <w:r>
        <w:rPr>
          <w:b/>
        </w:rPr>
        <w:t>6-9</w:t>
      </w:r>
    </w:p>
    <w:p w14:paraId="1EAACFCB" w14:textId="77777777" w:rsidR="000F6B68" w:rsidRPr="00782CCA" w:rsidRDefault="000F6B68" w:rsidP="000F6B68">
      <w:pPr>
        <w:pStyle w:val="ListParagraph"/>
        <w:numPr>
          <w:ilvl w:val="0"/>
          <w:numId w:val="15"/>
        </w:numPr>
      </w:pPr>
      <w:r>
        <w:rPr>
          <w:b/>
        </w:rPr>
        <w:lastRenderedPageBreak/>
        <w:t>Typ D</w:t>
      </w:r>
    </w:p>
    <w:p w14:paraId="19F259F1" w14:textId="77777777" w:rsidR="000F6B68" w:rsidRDefault="000F6B68" w:rsidP="000F6B68">
      <w:pPr>
        <w:pStyle w:val="Heading3"/>
        <w:spacing w:line="276" w:lineRule="auto"/>
      </w:pPr>
      <w:r>
        <w:t>Značení pojistek</w:t>
      </w:r>
    </w:p>
    <w:p w14:paraId="01713910" w14:textId="77777777" w:rsidR="000F6B68" w:rsidRPr="00B41978" w:rsidRDefault="000F6B68" w:rsidP="000F6B68">
      <w:r>
        <w:t>Pojistkové spodky závitových spojek je nutno zapojit středním kontaktem na stranu zdroje.</w:t>
      </w:r>
    </w:p>
    <w:p w14:paraId="6FA6CB5D" w14:textId="77777777" w:rsidR="000F6B68" w:rsidRDefault="000F6B68" w:rsidP="000F6B68">
      <w:pPr>
        <w:pStyle w:val="ListParagraph"/>
        <w:numPr>
          <w:ilvl w:val="0"/>
          <w:numId w:val="14"/>
        </w:numPr>
      </w:pPr>
      <w:r>
        <w:rPr>
          <w:b/>
        </w:rPr>
        <w:t>gG</w:t>
      </w:r>
      <w:r>
        <w:t xml:space="preserve"> – určeno pro všeobecné použití – jištění vedení, kabelů, zařízení před přetížením a zkratem</w:t>
      </w:r>
    </w:p>
    <w:p w14:paraId="6CD4A399" w14:textId="77777777" w:rsidR="000F6B68" w:rsidRPr="00B92D15" w:rsidRDefault="000F6B68" w:rsidP="000F6B68">
      <w:pPr>
        <w:pStyle w:val="ListParagraph"/>
        <w:numPr>
          <w:ilvl w:val="0"/>
          <w:numId w:val="14"/>
        </w:numPr>
      </w:pPr>
      <w:r>
        <w:rPr>
          <w:b/>
        </w:rPr>
        <w:t>aM</w:t>
      </w:r>
      <w:r>
        <w:t xml:space="preserve"> – určeno pro jištění motorů a spotřebičů s velkým záběrovým proudem, jistí v omezeném rozsahu nadproudů, jen pro zkraty</w:t>
      </w:r>
    </w:p>
    <w:p w14:paraId="349510DB" w14:textId="77777777" w:rsidR="000F6B68" w:rsidRDefault="000F6B68" w:rsidP="000F6B68">
      <w:pPr>
        <w:pStyle w:val="Heading1"/>
        <w:pBdr>
          <w:bottom w:val="none" w:sz="0" w:space="0" w:color="auto"/>
        </w:pBdr>
        <w:spacing w:before="480" w:after="0" w:line="276" w:lineRule="auto"/>
      </w:pPr>
      <w:r>
        <w:t>První pomoc při úrazech elektrickým proudem, hašení elektrického zařízení</w:t>
      </w:r>
    </w:p>
    <w:p w14:paraId="55B4672A" w14:textId="77777777" w:rsidR="000F6B68" w:rsidRDefault="000F6B68" w:rsidP="000F6B68">
      <w:pPr>
        <w:pStyle w:val="Heading2"/>
        <w:spacing w:before="200" w:line="276" w:lineRule="auto"/>
      </w:pPr>
      <w:r>
        <w:t>Postup při vzniku úrazu elektrickým proudem</w:t>
      </w:r>
    </w:p>
    <w:p w14:paraId="04E6ACA6" w14:textId="77777777" w:rsidR="000F6B68" w:rsidRDefault="000F6B68" w:rsidP="000F6B68">
      <w:r>
        <w:t>Vyprostit postiženého z dosahu elektrického proudu, zajistit životní funkce – umělé dýchání, nepřímá srdečná masáž, přivolání lékařské pomoci, uvědomění vedoucího, zápis do knihy úrazů.</w:t>
      </w:r>
    </w:p>
    <w:p w14:paraId="207A0F7C" w14:textId="77777777" w:rsidR="000F6B68" w:rsidRDefault="000F6B68" w:rsidP="000F6B68">
      <w:r>
        <w:t>Je-li postižený po úraze elektrickým proudem při vědomí, pak jej stačí udržovat pod odhledem (ticho – teplo – tekutiny).</w:t>
      </w:r>
    </w:p>
    <w:p w14:paraId="05B0BDD9" w14:textId="77777777" w:rsidR="000F6B68" w:rsidRPr="00B92D15" w:rsidRDefault="000F6B68" w:rsidP="000F6B68">
      <w:r>
        <w:t>Pokud by postižení po úrazu elektrickým proudem v bezvědomí dýchal a objeví se u něj cyanóza (fialoví), pak je třeba k umělému dýchání přidat nepřímou srdeční masáž.</w:t>
      </w:r>
    </w:p>
    <w:p w14:paraId="686FF157" w14:textId="77777777" w:rsidR="000F6B68" w:rsidRDefault="000F6B68" w:rsidP="000F6B68">
      <w:pPr>
        <w:pStyle w:val="Heading2"/>
        <w:spacing w:before="200" w:line="276" w:lineRule="auto"/>
      </w:pPr>
      <w:r>
        <w:t>Hašení</w:t>
      </w:r>
    </w:p>
    <w:p w14:paraId="298A89B2" w14:textId="77777777" w:rsidR="000F6B68" w:rsidRDefault="000F6B68" w:rsidP="000F6B68">
      <w:r>
        <w:t>Elektrické zařízení pod napětím lze hasit sněhovým a práškovým hasicím přístrojem (ne vodním).</w:t>
      </w:r>
    </w:p>
    <w:p w14:paraId="42D14B81" w14:textId="77777777" w:rsidR="000F6B68" w:rsidRPr="002C1E0D" w:rsidRDefault="000F6B68" w:rsidP="000F6B68">
      <w:r>
        <w:t>Bezpečně vypnuté elektrické zařízení je možné hasit pěnovým, práškovým, sněhovým nebo vodním hasicím přístrojem.</w:t>
      </w:r>
    </w:p>
    <w:p w14:paraId="42E2C253" w14:textId="5887AC66" w:rsidR="00DA4FA1" w:rsidRPr="00967A25" w:rsidRDefault="00DA4FA1" w:rsidP="00967A25">
      <w:pPr>
        <w:rPr>
          <w:lang w:val="cs-CZ"/>
        </w:rPr>
      </w:pPr>
    </w:p>
    <w:sectPr w:rsidR="00DA4FA1" w:rsidRPr="00967A25" w:rsidSect="0021636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2C256" w14:textId="77777777" w:rsidR="005006FB" w:rsidRDefault="005006FB" w:rsidP="00255CFB">
      <w:pPr>
        <w:spacing w:after="0" w:line="240" w:lineRule="auto"/>
      </w:pPr>
      <w:r>
        <w:separator/>
      </w:r>
    </w:p>
  </w:endnote>
  <w:endnote w:type="continuationSeparator" w:id="0">
    <w:p w14:paraId="42E2C257" w14:textId="77777777" w:rsidR="005006FB" w:rsidRDefault="005006FB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17CC6" w14:textId="77777777" w:rsidR="000F6B68" w:rsidRDefault="000F6B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295B6C" w:rsidRPr="00967A25" w:rsidRDefault="00295B6C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 w:rsidR="00967A25"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0F6B68" w:rsidRPr="000F6B68">
      <w:rPr>
        <w:rFonts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  <w:r w:rsidR="00967A25"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0F6B68" w:rsidRPr="000F6B68">
      <w:rPr>
        <w:rFonts w:cs="Segoe WP"/>
        <w:b/>
        <w:noProof/>
        <w:lang w:val="cs-CZ"/>
      </w:rPr>
      <w:t>11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96E2" w14:textId="77777777" w:rsidR="000F6B68" w:rsidRDefault="000F6B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2C254" w14:textId="77777777" w:rsidR="005006FB" w:rsidRDefault="005006FB" w:rsidP="00255CFB">
      <w:pPr>
        <w:spacing w:after="0" w:line="240" w:lineRule="auto"/>
      </w:pPr>
      <w:r>
        <w:separator/>
      </w:r>
    </w:p>
  </w:footnote>
  <w:footnote w:type="continuationSeparator" w:id="0">
    <w:p w14:paraId="42E2C255" w14:textId="77777777" w:rsidR="005006FB" w:rsidRDefault="005006FB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877A1" w14:textId="77777777" w:rsidR="000F6B68" w:rsidRDefault="000F6B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23566457" w:rsidR="00295B6C" w:rsidRPr="002B609F" w:rsidRDefault="00295B6C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="002B609F" w:rsidRPr="002B609F">
      <w:rPr>
        <w:rFonts w:ascii="Segoe WP" w:hAnsi="Segoe WP" w:cs="Segoe WP"/>
      </w:rPr>
      <w:t xml:space="preserve"> </w:t>
    </w:r>
    <w:r w:rsidR="002B609F"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0F6B68">
      <w:rPr>
        <w:rFonts w:ascii="Segoe WP" w:hAnsi="Segoe WP" w:cs="Segoe WP"/>
        <w:lang w:val="cs-CZ"/>
      </w:rPr>
      <w:t>EE2004 Bezpečnost v elektrotechnice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01608" w14:textId="77777777" w:rsidR="000F6B68" w:rsidRDefault="000F6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842"/>
    <w:multiLevelType w:val="hybridMultilevel"/>
    <w:tmpl w:val="82BCD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76127"/>
    <w:multiLevelType w:val="hybridMultilevel"/>
    <w:tmpl w:val="DAA213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D0631"/>
    <w:multiLevelType w:val="hybridMultilevel"/>
    <w:tmpl w:val="892A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A5F2EDF"/>
    <w:multiLevelType w:val="hybridMultilevel"/>
    <w:tmpl w:val="60563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3708A"/>
    <w:multiLevelType w:val="hybridMultilevel"/>
    <w:tmpl w:val="3B6CE9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C09E8"/>
    <w:multiLevelType w:val="hybridMultilevel"/>
    <w:tmpl w:val="6C349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7DE4"/>
    <w:multiLevelType w:val="hybridMultilevel"/>
    <w:tmpl w:val="E084DD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0F6B68"/>
    <w:rsid w:val="001B17AD"/>
    <w:rsid w:val="0021636F"/>
    <w:rsid w:val="00255CFB"/>
    <w:rsid w:val="00295B6C"/>
    <w:rsid w:val="00297849"/>
    <w:rsid w:val="002B609F"/>
    <w:rsid w:val="002D432D"/>
    <w:rsid w:val="004D006D"/>
    <w:rsid w:val="005006FB"/>
    <w:rsid w:val="00510D26"/>
    <w:rsid w:val="00593C8A"/>
    <w:rsid w:val="007165AB"/>
    <w:rsid w:val="008B3158"/>
    <w:rsid w:val="00967A25"/>
    <w:rsid w:val="00A64B09"/>
    <w:rsid w:val="00AA1670"/>
    <w:rsid w:val="00AE750B"/>
    <w:rsid w:val="00C246F2"/>
    <w:rsid w:val="00DA4FA1"/>
    <w:rsid w:val="00E25BEB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uiPriority w:val="34"/>
    <w:qFormat/>
    <w:rsid w:val="000F6B68"/>
    <w:pPr>
      <w:spacing w:after="200" w:line="276" w:lineRule="auto"/>
      <w:ind w:left="720"/>
      <w:contextualSpacing/>
    </w:pPr>
    <w:rPr>
      <w:rFonts w:eastAsiaTheme="minorHAns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4D742ADD-A546-47A1-A6CF-59C78B59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5</cp:revision>
  <cp:lastPrinted>2011-11-10T09:11:00Z</cp:lastPrinted>
  <dcterms:created xsi:type="dcterms:W3CDTF">2013-01-10T23:27:00Z</dcterms:created>
  <dcterms:modified xsi:type="dcterms:W3CDTF">2013-01-10T23:51:00Z</dcterms:modified>
</cp:coreProperties>
</file>