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esponse-to-reviewer-comments"/>
    <w:p>
      <w:pPr>
        <w:pStyle w:val="Title"/>
        <w:jc w:val="left"/>
      </w:pPr>
      <w:r>
        <w:t xml:space="preserve">Response to Reviewer Comments</w:t>
      </w:r>
    </w:p>
    <w:p>
      <w:pPr>
        <w:pStyle w:val="FirstParagraph"/>
      </w:pPr>
      <w:r>
        <w:rPr>
          <w:b/>
          <w:bCs/>
        </w:rPr>
        <w:t xml:space="preserve">Manuscript #18579</w:t>
      </w:r>
      <w:r>
        <w:br/>
      </w:r>
      <w:r>
        <w:rPr>
          <w:b/>
          <w:bCs/>
        </w:rPr>
        <w:t xml:space="preserve">Revised title:</w:t>
      </w:r>
      <w:r>
        <w:rPr>
          <w:b/>
          <w:bCs/>
        </w:rPr>
        <w:t xml:space="preserve"> </w:t>
      </w:r>
      <w:r>
        <w:rPr>
          <w:b/>
          <w:bCs/>
        </w:rPr>
        <w:t xml:space="preserve">“Byzantine-Robust Federated Learning with Adaptive</w:t>
      </w:r>
      <w:r>
        <w:rPr>
          <w:b/>
          <w:bCs/>
        </w:rPr>
        <w:t xml:space="preserve"> </w:t>
      </w:r>
      <w:r>
        <w:rPr>
          <w:b/>
          <w:bCs/>
        </w:rPr>
        <w:t xml:space="preserve">Aggregation and Blockchain: Empirical Validation of ATMA and Resolution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Transparency Paradox”</w:t>
      </w:r>
    </w:p>
    <w:p>
      <w:pPr>
        <w:pStyle w:val="BodyText"/>
      </w:pPr>
      <w:r>
        <w:t xml:space="preserve">We thank the editor and reviewers for their constructive comments. The manuscript</w:t>
      </w:r>
      <w:r>
        <w:t xml:space="preserve"> </w:t>
      </w:r>
      <w:r>
        <w:t xml:space="preserve">has been rebuilt around one reproducible protocol. This revision distinguishes</w:t>
      </w:r>
      <w:r>
        <w:t xml:space="preserve"> </w:t>
      </w:r>
      <w:r>
        <w:t xml:space="preserve">the implemented MAD-ATMA rule from FedATM and later ATMA work, adds equal-client</w:t>
      </w:r>
      <w:r>
        <w:t xml:space="preserve"> </w:t>
      </w:r>
      <w:r>
        <w:t xml:space="preserve">and ledger-informed attacker experiments, reports measured write-once blockchain</w:t>
      </w:r>
      <w:r>
        <w:t xml:space="preserve"> </w:t>
      </w:r>
      <w:r>
        <w:t xml:space="preserve">evidence, includes the required declarations and readable figures, and uses</w:t>
      </w:r>
      <w:r>
        <w:t xml:space="preserve"> </w:t>
      </w:r>
      <w:r>
        <w:t xml:space="preserve">native ETASR Word styles. The original title is restored, while the manuscript</w:t>
      </w:r>
      <w:r>
        <w:t xml:space="preserve"> </w:t>
      </w:r>
      <w:r>
        <w:t xml:space="preserve">now makes clear that the empirical validation claim concerns the executed</w:t>
      </w:r>
      <w:r>
        <w:t xml:space="preserve"> </w:t>
      </w:r>
      <w:r>
        <w:t xml:space="preserve">MAD-ATMA variant and the bounded Transparency Paradox protocol rather than all</w:t>
      </w:r>
      <w:r>
        <w:t xml:space="preserve"> </w:t>
      </w:r>
      <w:r>
        <w:t xml:space="preserve">ATMA-family algorithms. The comments, answers, and revised manuscript are</w:t>
      </w:r>
      <w:r>
        <w:t xml:space="preserve"> </w:t>
      </w:r>
      <w:r>
        <w:t xml:space="preserve">supplied in one Word file as requested.</w:t>
      </w:r>
    </w:p>
    <w:bookmarkStart w:id="9" w:name="reviewer-a"/>
    <w:p>
      <w:pPr>
        <w:pStyle w:val="Heading2"/>
      </w:pPr>
      <w:r>
        <w:t xml:space="preserve">Reviewer A</w:t>
      </w:r>
    </w:p>
    <w:p>
      <w:pPr>
        <w:pStyle w:val="FirstParagraph"/>
      </w:pPr>
      <w:r>
        <w:rPr>
          <w:b/>
          <w:bCs/>
        </w:rPr>
        <w:t xml:space="preserve">Comment A1:</w:t>
      </w:r>
      <w:r>
        <w:t xml:space="preserve"> </w:t>
      </w:r>
      <w:r>
        <w:t xml:space="preserve">“Attack types are limited to label-flip and random noise;</w:t>
      </w:r>
      <w:r>
        <w:t xml:space="preserve"> </w:t>
      </w:r>
      <w:r>
        <w:t xml:space="preserve">sophisticated attacks (ALIE [18], backdoor [20]) require future study.”</w:t>
      </w:r>
      <w:r>
        <w:t xml:space="preserve"> </w:t>
      </w:r>
      <w:r>
        <w:t xml:space="preserve">Rephrase</w:t>
      </w:r>
      <w:r>
        <w:t xml:space="preserve"> </w:t>
      </w:r>
      <w:r>
        <w:t xml:space="preserve">this as the citations look strange now.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limitation is now stated with named authors and methods:</w:t>
      </w:r>
      <w:r>
        <w:t xml:space="preserve"> </w:t>
      </w:r>
      <w:r>
        <w:t xml:space="preserve">“This study evaluates one combined untargeted attack consisting of cyclic label</w:t>
      </w:r>
      <w:r>
        <w:t xml:space="preserve"> </w:t>
      </w:r>
      <w:r>
        <w:t xml:space="preserve">flipping and scaled model updates. More sophisticated attacks, including the A</w:t>
      </w:r>
      <w:r>
        <w:t xml:space="preserve"> </w:t>
      </w:r>
      <w:r>
        <w:t xml:space="preserve">Little Is Enough attack introduced by Baruch et al. [10] and targeted backdoor</w:t>
      </w:r>
      <w:r>
        <w:t xml:space="preserve"> </w:t>
      </w:r>
      <w:r>
        <w:t xml:space="preserve">attacks studied by Sun et al. [11], remain outside the present scope.”</w:t>
      </w:r>
      <w:r>
        <w:t xml:space="preserve"> </w:t>
      </w:r>
      <w:r>
        <w:t xml:space="preserve">The</w:t>
      </w:r>
      <w:r>
        <w:t xml:space="preserve"> </w:t>
      </w:r>
      <w:r>
        <w:t xml:space="preserve">references now unambiguously identify the cited attacks.</w:t>
      </w:r>
    </w:p>
    <w:p>
      <w:pPr>
        <w:pStyle w:val="BodyText"/>
      </w:pPr>
      <w:r>
        <w:rPr>
          <w:b/>
          <w:bCs/>
        </w:rPr>
        <w:t xml:space="preserve">Comment A2:</w:t>
      </w:r>
      <w:r>
        <w:t xml:space="preserve"> </w:t>
      </w:r>
      <w:r>
        <w:t xml:space="preserve">Figures 1–2 not readable.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Figures 1–3 were regenerated directly from the final</w:t>
      </w:r>
      <w:r>
        <w:t xml:space="preserve"> </w:t>
      </w:r>
      <w:r>
        <w:t xml:space="preserve">three-seed result file at their actual one-column publication width and 300 DPI.</w:t>
      </w:r>
      <w:r>
        <w:t xml:space="preserve"> </w:t>
      </w:r>
      <w:r>
        <w:t xml:space="preserve">Figure 1 reports mean convergence with one-standard-deviation bands. Figure 2</w:t>
      </w:r>
      <w:r>
        <w:t xml:space="preserve"> </w:t>
      </w:r>
      <w:r>
        <w:t xml:space="preserve">reports final mean accuracy with</w:t>
      </w:r>
      <w:r>
        <w:t xml:space="preserve"> </w:t>
      </w:r>
      <m:oMath>
        <m:r>
          <m:t>t</m:t>
        </m:r>
      </m:oMath>
      <w:r>
        <w:t xml:space="preserve">-distribution 95% confidence intervals,</w:t>
      </w:r>
      <w:r>
        <w:t xml:space="preserve"> </w:t>
      </w:r>
      <w:r>
        <w:t xml:space="preserve">and Figure 3 reports the measured transparency tradeoff. Fonts, labels, line</w:t>
      </w:r>
      <w:r>
        <w:t xml:space="preserve"> </w:t>
      </w:r>
      <w:r>
        <w:t xml:space="preserve">widths, markers, and legends were set for the final displayed size.</w:t>
      </w:r>
    </w:p>
    <w:p>
      <w:pPr>
        <w:pStyle w:val="BodyText"/>
      </w:pPr>
      <w:r>
        <w:rPr>
          <w:b/>
          <w:bCs/>
        </w:rPr>
        <w:t xml:space="preserve">Comment A3:</w:t>
      </w:r>
      <w:r>
        <w:t xml:space="preserve"> </w:t>
      </w:r>
      <w:r>
        <w:t xml:space="preserve">Conclusion (and article) too short I think.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manuscript now provides a complete threat model, exact</w:t>
      </w:r>
      <w:r>
        <w:t xml:space="preserve"> </w:t>
      </w:r>
      <w:r>
        <w:t xml:space="preserve">implementation parameters, formal aggregation equations, a step-by-step</w:t>
      </w:r>
      <w:r>
        <w:t xml:space="preserve"> </w:t>
      </w:r>
      <w:r>
        <w:t xml:space="preserve">procedure, computational considerations, statistical analysis, measured</w:t>
      </w:r>
      <w:r>
        <w:t xml:space="preserve"> </w:t>
      </w:r>
      <w:r>
        <w:t xml:space="preserve">blockchain evidence, a security-scope discussion, limitations, and an expanded</w:t>
      </w:r>
      <w:r>
        <w:t xml:space="preserve"> </w:t>
      </w:r>
      <w:r>
        <w:t xml:space="preserve">conclusion. The manuscript body has also been expanded toward the journal’s</w:t>
      </w:r>
      <w:r>
        <w:t xml:space="preserve"> </w:t>
      </w:r>
      <w:r>
        <w:t xml:space="preserve">standard article length.</w:t>
      </w:r>
    </w:p>
    <w:p>
      <w:pPr>
        <w:pStyle w:val="BodyText"/>
      </w:pPr>
      <w:r>
        <w:rPr>
          <w:b/>
          <w:bCs/>
        </w:rPr>
        <w:t xml:space="preserve">Comment A4:</w:t>
      </w:r>
      <w:r>
        <w:t xml:space="preserve"> </w:t>
      </w:r>
      <w:r>
        <w:t xml:space="preserve">Expand it to include comparative analysis, contribution</w:t>
      </w:r>
      <w:r>
        <w:t xml:space="preserve"> </w:t>
      </w:r>
      <w:r>
        <w:t xml:space="preserve">discussion.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Sections 3 and 4 now compare clean FedAvg, attacked FedAvg,</w:t>
      </w:r>
      <w:r>
        <w:t xml:space="preserve"> </w:t>
      </w:r>
      <w:r>
        <w:t xml:space="preserve">Krum, TrimmedMean, and the implemented adaptive rule under the same configuration.</w:t>
      </w:r>
      <w:r>
        <w:t xml:space="preserve"> </w:t>
      </w:r>
      <w:r>
        <w:t xml:space="preserve">The discussion distinguishes accuracy, robustness, adaptation, assumptions,</w:t>
      </w:r>
      <w:r>
        <w:t xml:space="preserve"> </w:t>
      </w:r>
      <w:r>
        <w:t xml:space="preserve">computational cost, and auditability. We report that no statistically significant</w:t>
      </w:r>
      <w:r>
        <w:t xml:space="preserve"> </w:t>
      </w:r>
      <w:r>
        <w:t xml:space="preserve">final-accuracy difference was detected between adaptive and static trimming in</w:t>
      </w:r>
      <w:r>
        <w:t xml:space="preserve"> </w:t>
      </w:r>
      <w:r>
        <w:t xml:space="preserve">this three-seed experiment. We now explicitly distinguish the implemented</w:t>
      </w:r>
      <w:r>
        <w:t xml:space="preserve"> </w:t>
      </w:r>
      <w:r>
        <w:t xml:space="preserve">distance–MAD rule from FedATM by Nishimoto et al. (2023), which ranks clients</w:t>
      </w:r>
      <w:r>
        <w:t xml:space="preserve"> </w:t>
      </w:r>
      <w:r>
        <w:t xml:space="preserve">using inter-model distances and a distance threshold, and from the variance-aware,</w:t>
      </w:r>
      <w:r>
        <w:t xml:space="preserve"> </w:t>
      </w:r>
      <w:r>
        <w:t xml:space="preserve">layer-wise ATMA framework published by Mukisa et al. in 2025.</w:t>
      </w:r>
      <w:r>
        <w:t xml:space="preserve"> </w:t>
      </w:r>
      <w:r>
        <w:t xml:space="preserve">The expanded comparison also evaluates blind and ledger-informed attackers under</w:t>
      </w:r>
      <w:r>
        <w:t xml:space="preserve"> </w:t>
      </w:r>
      <w:r>
        <w:t xml:space="preserve">identical MAD-ATMA settings and reports both attacker evasion and defender audit</w:t>
      </w:r>
      <w:r>
        <w:t xml:space="preserve"> </w:t>
      </w:r>
      <w:r>
        <w:t xml:space="preserve">evidence.</w:t>
      </w:r>
    </w:p>
    <w:bookmarkEnd w:id="9"/>
    <w:bookmarkStart w:id="10" w:name="reviewer-b"/>
    <w:p>
      <w:pPr>
        <w:pStyle w:val="Heading2"/>
      </w:pPr>
      <w:r>
        <w:t xml:space="preserve">Reviewer B</w:t>
      </w:r>
    </w:p>
    <w:p>
      <w:pPr>
        <w:pStyle w:val="FirstParagraph"/>
      </w:pPr>
      <w:r>
        <w:rPr>
          <w:b/>
          <w:bCs/>
        </w:rPr>
        <w:t xml:space="preserve">Comment B1:</w:t>
      </w:r>
      <w:r>
        <w:t xml:space="preserve"> </w:t>
      </w:r>
      <w:r>
        <w:t xml:space="preserve">It is not clear what EXACTLY the authors did and how</w:t>
      </w:r>
      <w:r>
        <w:t xml:space="preserve"> </w:t>
      </w:r>
      <w:r>
        <w:t xml:space="preserve">(step by step).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Sections 2.8–2.9 now list the executed procedure step by step.</w:t>
      </w:r>
      <w:r>
        <w:t xml:space="preserve"> </w:t>
      </w:r>
      <w:r>
        <w:t xml:space="preserve">The unified protocol uses the actual MNIST dataset, one fixed CNN architecture,</w:t>
      </w:r>
      <w:r>
        <w:t xml:space="preserve"> </w:t>
      </w:r>
      <w:r>
        <w:t xml:space="preserve">20 clients, full participation, four fixed Byzantine clients, Dirichlet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partitioning, 20 rounds, three SGD mini-batches per client per</w:t>
      </w:r>
      <w:r>
        <w:t xml:space="preserve"> </w:t>
      </w:r>
      <w:r>
        <w:t xml:space="preserve">round, learning rate 0.05, seeds 42/43/44, and the same combined label-flip and</w:t>
      </w:r>
      <w:r>
        <w:t xml:space="preserve"> </w:t>
      </w:r>
      <w:r>
        <w:t xml:space="preserve">scaled-update attack for all defended and undefended methods. A separately</w:t>
      </w:r>
      <w:r>
        <w:t xml:space="preserve"> </w:t>
      </w:r>
      <w:r>
        <w:t xml:space="preserve">identified equal-client mean sensitivity run uses the same configuration and</w:t>
      </w:r>
      <w:r>
        <w:t xml:space="preserve"> </w:t>
      </w:r>
      <w:r>
        <w:t xml:space="preserve">tests whether the conclusion depends on FedAvg’s canonical sample weighting.</w:t>
      </w:r>
      <w:r>
        <w:t xml:space="preserve"> </w:t>
      </w:r>
      <w:r>
        <w:t xml:space="preserve">The exact result artifacts are</w:t>
      </w:r>
      <w:r>
        <w:t xml:space="preserve"> </w:t>
      </w:r>
      <w:r>
        <w:rPr>
          <w:rStyle w:val="VerbatimChar"/>
        </w:rPr>
        <w:t xml:space="preserve">results/unified_mnist_actual.json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results/unified_mnist_equal_weight_sensitivity.json</w:t>
      </w:r>
      <w:r>
        <w:t xml:space="preserve">. The</w:t>
      </w:r>
      <w:r>
        <w:t xml:space="preserve"> </w:t>
      </w:r>
      <w:r>
        <w:t xml:space="preserve">Transparency Paradox experiment additionally executes blind and ledger-informed</w:t>
      </w:r>
      <w:r>
        <w:t xml:space="preserve"> </w:t>
      </w:r>
      <w:r>
        <w:t xml:space="preserve">attackers for the same three seeds and stores all model, detection, controller,</w:t>
      </w:r>
      <w:r>
        <w:t xml:space="preserve"> </w:t>
      </w:r>
      <w:r>
        <w:t xml:space="preserve">transaction, and read-back results in</w:t>
      </w:r>
      <w:r>
        <w:t xml:space="preserve"> </w:t>
      </w:r>
      <w:r>
        <w:rPr>
          <w:rStyle w:val="VerbatimChar"/>
        </w:rPr>
        <w:t xml:space="preserve">results/transparency_paradox_actual.json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Comment B2:</w:t>
      </w:r>
      <w:r>
        <w:t xml:space="preserve"> </w:t>
      </w:r>
      <w:r>
        <w:t xml:space="preserve">There is no point in throwing a lot of terms without being</w:t>
      </w:r>
      <w:r>
        <w:t xml:space="preserve"> </w:t>
      </w:r>
      <w:r>
        <w:t xml:space="preserve">specific on what you did exactly and how. Not generic information. SPECIFICALLY</w:t>
      </w:r>
      <w:r>
        <w:t xml:space="preserve"> </w:t>
      </w:r>
      <w:r>
        <w:t xml:space="preserve">in this work.</w:t>
      </w:r>
    </w:p>
    <w:p>
      <w:pPr>
        <w:pStyle w:val="BodyText"/>
        <w:sectPr w:rsidR="004C4824" w:rsidSect="004C4824">
          <w:headerReference w:type="default" r:id="rId8"/>
          <w:footerReference w:type="default" r:id="rId9"/>
          <w:type w:val="nextPage"/>
          <w:pgSz w:w="12240" w:h="15840" w:code="1"/>
          <w:pgMar w:top="1080" w:right="893" w:bottom="1440" w:left="893" w:header="720" w:footer="720" w:gutter="0"/>
          <w:cols w:space="360"/>
          <w:rtlGutter/>
          <w:docGrid w:linePitch="360"/>
        </w:sectPr>
      </w:pPr>
      <w:r>
        <w:rPr>
          <w:b/>
          <w:bCs/>
        </w:rPr>
        <w:t xml:space="preserve">Answer:</w:t>
      </w:r>
      <w:r>
        <w:t xml:space="preserve"> </w:t>
      </w:r>
      <w:r>
        <w:t xml:space="preserve">Generic and unsupported sections were removed. The revised</w:t>
      </w:r>
      <w:r>
        <w:t xml:space="preserve"> </w:t>
      </w:r>
      <w:r>
        <w:t xml:space="preserve">methodology defines every transformation, aggregator, statistical calculation,</w:t>
      </w:r>
      <w:r>
        <w:t xml:space="preserve"> </w:t>
      </w:r>
      <w:r>
        <w:t xml:space="preserve">and blockchain transaction used in this work. The Krum implementation excludes</w:t>
      </w:r>
      <w:r>
        <w:t xml:space="preserve"> </w:t>
      </w:r>
      <w:r>
        <w:t xml:space="preserve">self-distance and uses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other neighbors. The adaptive rule is stateful,</w:t>
      </w:r>
      <w:r>
        <w:t xml:space="preserve"> </w:t>
      </w:r>
      <w:r>
        <w:t xml:space="preserve">uses a 25% safety ceiling rather than the known 20% Byzantine fraction, and</w:t>
      </w:r>
      <w:r>
        <w:t xml:space="preserve"> </w:t>
      </w:r>
      <w:r>
        <w:t xml:space="preserve">updates its trim ratio from the observed robust outlier fraction. Blockchain</w:t>
      </w:r>
      <w:r>
        <w:t xml:space="preserve"> </w:t>
      </w:r>
      <w:r>
        <w:t xml:space="preserve">evidence comes from an actually deployed write-once Solidity contract on Ganache</w:t>
      </w:r>
      <w:r>
        <w:t xml:space="preserve"> </w:t>
      </w:r>
      <w:r>
        <w:t xml:space="preserve">and includes 420 successful transactions plus deployment. Client hashes, flags,</w:t>
      </w:r>
      <w:r>
        <w:t xml:space="preserve"> </w:t>
      </w:r>
      <w:r>
        <w:t xml:space="preserve">aggregate hashes, submitted counts, flagged counts, and trim counts are all</w:t>
      </w:r>
      <w:r>
        <w:t xml:space="preserve"> </w:t>
      </w:r>
      <w:r>
        <w:t xml:space="preserve">verified by read-back. The revised method also states the aggregation estimand:</w:t>
      </w:r>
      <w:r>
        <w:t xml:space="preserve"> </w:t>
      </w:r>
      <w:r>
        <w:t xml:space="preserve">canonical FedAvg weights clients by partition size, whereas Krum and the trimmed</w:t>
      </w:r>
      <w:r>
        <w:t xml:space="preserve"> </w:t>
      </w:r>
      <w:r>
        <w:t xml:space="preserve">rules are client-symmetric. The equal-client sensitivity baseline exposes the</w:t>
      </w:r>
      <w:r>
        <w:t xml:space="preserve"> </w:t>
      </w:r>
      <w:r>
        <w:t xml:space="preserve">effect of this choice. In the Transparency Paradox experiment, both conditions</w:t>
      </w:r>
      <w:r>
        <w:t xml:space="preserve"> </w:t>
      </w:r>
      <w:r>
        <w:t xml:space="preserve">use identical contracts and training; only the informed attacker reads the</w:t>
      </w:r>
      <w:r>
        <w:t xml:space="preserve"> </w:t>
      </w:r>
      <w:r>
        <w:t xml:space="preserve">previous round’s committed flags through contract view calls.</w:t>
      </w:r>
    </w:p>
    <w:p>
      <w:pPr>
        <w:pStyle w:val="ETASRpapertitle"/>
        <w:jc w:val="left"/>
        <w:pageBreakBefore/>
      </w:pPr>
      <w:r>
        <w:rPr>
          <w:b/>
          <w:bCs/>
        </w:rPr>
        <w:t xml:space="preserve">Byzantine-Robust Federated Learning with Adaptive Aggregation</w:t>
      </w:r>
      <w:r>
        <w:rPr>
          <w:b/>
          <w:bCs/>
        </w:rPr>
        <w:t xml:space="preserve"> </w:t>
      </w:r>
      <w:r>
        <w:rPr>
          <w:b/>
          <w:bCs/>
        </w:rPr>
        <w:t xml:space="preserve">and Blockchain: Empirical Validation of ATMA and Resolution of the Transparency</w:t>
      </w:r>
      <w:r>
        <w:rPr>
          <w:b/>
          <w:bCs/>
        </w:rPr>
        <w:t xml:space="preserve"> </w:t>
      </w:r>
      <w:r>
        <w:rPr>
          <w:b/>
          <w:bCs/>
        </w:rPr>
        <w:t xml:space="preserve">Paradox</w:t>
      </w:r>
    </w:p>
    <w:p>
      <w:pPr>
        <w:pStyle w:val="ETASRauthor"/>
        <w:jc w:val="left"/>
      </w:pPr>
      <w:r>
        <w:rPr>
          <w:b/>
          <w:bCs/>
        </w:rPr>
        <w:t xml:space="preserve">Rachmad Andri Atmoko</w:t>
      </w:r>
      <w:r>
        <w:rPr>
          <w:vertAlign w:val="superscript"/>
        </w:rPr>
        <w:t xml:space="preserve">1,2</w:t>
      </w:r>
    </w:p>
    <w:p>
      <w:pPr>
        <w:pStyle w:val="ETASRaffiliation"/>
        <w:jc w:val="left"/>
      </w:pPr>
      <w:r>
        <w:rPr>
          <w:vertAlign w:val="superscript"/>
        </w:rPr>
        <w:t xml:space="preserve">1</w:t>
      </w:r>
      <w:r>
        <w:t xml:space="preserve">Electrical Engineering Department, Faculty of Engineering,</w:t>
      </w:r>
      <w:r>
        <w:t xml:space="preserve"> </w:t>
      </w:r>
      <w:r>
        <w:t xml:space="preserve">Universitas Brawijaya, Malang, Indonesia |</w:t>
      </w:r>
      <w:r>
        <w:t xml:space="preserve"> </w:t>
      </w:r>
      <w:r>
        <w:rPr>
          <w:vertAlign w:val="superscript"/>
        </w:rPr>
        <w:t xml:space="preserve">2</w:t>
      </w:r>
      <w:r>
        <w:t xml:space="preserve">Faculty of Vocational Studies, Universitas Brawijaya,</w:t>
      </w:r>
      <w:r>
        <w:t xml:space="preserve"> </w:t>
      </w:r>
      <w:r>
        <w:t xml:space="preserve">Malang, Indonesia |</w:t>
      </w:r>
      <w:r>
        <w:t xml:space="preserve"> </w:t>
      </w:r>
      <w:r>
        <w:t xml:space="preserve">ra.atmoko@ub.ac.id (corresponding author)</w:t>
      </w:r>
    </w:p>
    <w:p>
      <w:pPr>
        <w:pStyle w:val="ETASRauthor"/>
        <w:jc w:val="left"/>
      </w:pPr>
      <w:r>
        <w:rPr>
          <w:b/>
          <w:bCs/>
        </w:rPr>
        <w:t xml:space="preserve">Sholeh Hadi Pramono</w:t>
      </w:r>
      <w:r>
        <w:rPr>
          <w:vertAlign w:val="superscript"/>
        </w:rPr>
        <w:t xml:space="preserve">1</w:t>
      </w:r>
    </w:p>
    <w:p>
      <w:pPr>
        <w:pStyle w:val="ETASRaffiliation"/>
        <w:jc w:val="left"/>
      </w:pPr>
      <w:r>
        <w:rPr>
          <w:vertAlign w:val="superscript"/>
        </w:rPr>
        <w:t xml:space="preserve">1</w:t>
      </w:r>
      <w:r>
        <w:t xml:space="preserve">Electrical Engineering Department, Faculty of Engineering,</w:t>
      </w:r>
      <w:r>
        <w:t xml:space="preserve"> </w:t>
      </w:r>
      <w:r>
        <w:t xml:space="preserve">Universitas Brawijaya,</w:t>
      </w:r>
      <w:r>
        <w:t xml:space="preserve"> </w:t>
      </w:r>
      <w:r>
        <w:t xml:space="preserve">Malang, Indonesia |</w:t>
      </w:r>
      <w:r>
        <w:t xml:space="preserve"> </w:t>
      </w:r>
      <w:r>
        <w:t xml:space="preserve">sholehpramono@ub.ac.id</w:t>
      </w:r>
    </w:p>
    <w:p>
      <w:pPr>
        <w:pStyle w:val="ETASRauthor"/>
        <w:jc w:val="left"/>
      </w:pPr>
      <w:r>
        <w:rPr>
          <w:b/>
          <w:bCs/>
        </w:rPr>
        <w:t xml:space="preserve">Muhammad Fauzan Edy Purnomo</w:t>
      </w:r>
      <w:r>
        <w:rPr>
          <w:vertAlign w:val="superscript"/>
        </w:rPr>
        <w:t xml:space="preserve">1</w:t>
      </w:r>
    </w:p>
    <w:p>
      <w:pPr>
        <w:pStyle w:val="ETASRaffiliation"/>
        <w:jc w:val="left"/>
      </w:pPr>
      <w:r>
        <w:rPr>
          <w:vertAlign w:val="superscript"/>
        </w:rPr>
        <w:t xml:space="preserve">1</w:t>
      </w:r>
      <w:r>
        <w:t xml:space="preserve">Electrical Engineering Department, Faculty of Engineering,</w:t>
      </w:r>
      <w:r>
        <w:t xml:space="preserve"> </w:t>
      </w:r>
      <w:r>
        <w:t xml:space="preserve">Universitas Brawijaya,</w:t>
      </w:r>
      <w:r>
        <w:t xml:space="preserve"> </w:t>
      </w:r>
      <w:r>
        <w:t xml:space="preserve">Malang, Indonesia |</w:t>
      </w:r>
      <w:r>
        <w:t xml:space="preserve"> </w:t>
      </w:r>
      <w:r>
        <w:t xml:space="preserve">mfauzanep@ub.ac.id</w:t>
      </w:r>
    </w:p>
    <w:p>
      <w:pPr>
        <w:pStyle w:val="ETASRauthor"/>
        <w:jc w:val="left"/>
      </w:pPr>
      <w:r>
        <w:rPr>
          <w:b/>
          <w:bCs/>
        </w:rPr>
        <w:t xml:space="preserve">Panca Mudjirahardjo</w:t>
      </w:r>
      <w:r>
        <w:rPr>
          <w:vertAlign w:val="superscript"/>
        </w:rPr>
        <w:t xml:space="preserve">1</w:t>
      </w:r>
    </w:p>
    <w:p>
      <w:pPr>
        <w:pStyle w:val="ETASRaffiliation"/>
        <w:jc w:val="left"/>
      </w:pPr>
      <w:r>
        <w:rPr>
          <w:vertAlign w:val="superscript"/>
        </w:rPr>
        <w:t xml:space="preserve">1</w:t>
      </w:r>
      <w:r>
        <w:t xml:space="preserve">Electrical Engineering Department, Faculty of Engineering,</w:t>
      </w:r>
      <w:r>
        <w:t xml:space="preserve"> </w:t>
      </w:r>
      <w:r>
        <w:t xml:space="preserve">Universitas Brawijaya,</w:t>
      </w:r>
      <w:r>
        <w:t xml:space="preserve"> </w:t>
      </w:r>
      <w:r>
        <w:t xml:space="preserve">Malang, Indonesia |</w:t>
      </w:r>
      <w:r>
        <w:t xml:space="preserve"> </w:t>
      </w:r>
      <w:r>
        <w:t xml:space="preserve">panca@ub.ac.id</w:t>
      </w:r>
    </w:p>
    <w:p>
      <w:pPr>
        <w:pStyle w:val="ETASRauthor"/>
        <w:jc w:val="left"/>
      </w:pPr>
      <w:r>
        <w:rPr>
          <w:b/>
          <w:bCs/>
        </w:rPr>
        <w:t xml:space="preserve">Mahdin Rohmatillah</w:t>
      </w:r>
      <w:r>
        <w:rPr>
          <w:vertAlign w:val="superscript"/>
        </w:rPr>
        <w:t xml:space="preserve">1</w:t>
      </w:r>
    </w:p>
    <w:p>
      <w:pPr>
        <w:pStyle w:val="ETASRaffiliation"/>
        <w:jc w:val="left"/>
      </w:pPr>
      <w:r>
        <w:rPr>
          <w:vertAlign w:val="superscript"/>
        </w:rPr>
        <w:t xml:space="preserve">1</w:t>
      </w:r>
      <w:r>
        <w:t xml:space="preserve">Electrical Engineering Department, Faculty of Engineering,</w:t>
      </w:r>
      <w:r>
        <w:t xml:space="preserve"> </w:t>
      </w:r>
      <w:r>
        <w:t xml:space="preserve">Universitas Brawijaya,</w:t>
      </w:r>
      <w:r>
        <w:t xml:space="preserve"> </w:t>
      </w:r>
      <w:r>
        <w:t xml:space="preserve">Malang, Indonesia |</w:t>
      </w:r>
      <w:r>
        <w:t xml:space="preserve"> </w:t>
      </w:r>
      <w:r>
        <w:t xml:space="preserve">mahdin94@ub.ac.id</w:t>
      </w:r>
    </w:p>
    <w:p>
      <w:pPr>
        <w:pStyle w:val="ETASRauthor"/>
        <w:jc w:val="left"/>
      </w:pPr>
      <w:r>
        <w:rPr>
          <w:b/>
          <w:bCs/>
        </w:rPr>
        <w:t xml:space="preserve">Cries Avian</w:t>
      </w:r>
      <w:r>
        <w:rPr>
          <w:vertAlign w:val="superscript"/>
        </w:rPr>
        <w:t xml:space="preserve">1</w:t>
      </w:r>
    </w:p>
    <w:p>
      <w:pPr>
        <w:pStyle w:val="ETASRaffiliation"/>
        <w:jc w:val="left"/>
      </w:pPr>
      <w:r>
        <w:rPr>
          <w:vertAlign w:val="superscript"/>
        </w:rPr>
        <w:t xml:space="preserve">1</w:t>
      </w:r>
      <w:r>
        <w:t xml:space="preserve">Electrical Engineering Department, Faculty of Engineering,</w:t>
      </w:r>
      <w:r>
        <w:t xml:space="preserve"> </w:t>
      </w:r>
      <w:r>
        <w:t xml:space="preserve">Universitas Brawijaya,</w:t>
      </w:r>
      <w:r>
        <w:t xml:space="preserve"> </w:t>
      </w:r>
      <w:r>
        <w:t xml:space="preserve">Malang, Indonesia |</w:t>
      </w:r>
      <w:r>
        <w:t xml:space="preserve"> </w:t>
      </w:r>
      <w:r>
        <w:t xml:space="preserve">cries.avian@ub.ac.id</w:t>
      </w:r>
    </w:p>
    <w:bookmarkEnd w:id="10"/>
    <w:bookmarkEnd w:id="11"/>
    <w:bookmarkStart w:id="12" w:name="abstract"/>
    <w:p>
      <w:pPr>
        <w:pStyle w:val="ETASRHeading5bold"/>
        <w:jc w:val="left"/>
      </w:pPr>
      <w:r>
        <w:t xml:space="preserve">Abstract</w:t>
      </w:r>
    </w:p>
    <w:p>
      <w:pPr>
        <w:pStyle w:val="ETASRabstract"/>
        <w:jc w:val="both"/>
      </w:pPr>
      <w:r>
        <w:t xml:space="preserve">Federated learning is vulnerable to Byzantine clients that transmit malicious</w:t>
      </w:r>
      <w:r>
        <w:t xml:space="preserve"> </w:t>
      </w:r>
      <w:r>
        <w:t xml:space="preserve">model updates. This study empirically evaluates a fully specified adaptive</w:t>
      </w:r>
      <w:r>
        <w:t xml:space="preserve"> </w:t>
      </w:r>
      <w:r>
        <w:t xml:space="preserve">trimmed-mean variant (MAD-ATMA) and tests the Transparency Paradox using an</w:t>
      </w:r>
      <w:r>
        <w:t xml:space="preserve"> </w:t>
      </w:r>
      <w:r>
        <w:t xml:space="preserve">Ethereum-compatible audit contract. All experiments use MNIST, 20 clients, four</w:t>
      </w:r>
      <w:r>
        <w:t xml:space="preserve"> </w:t>
      </w:r>
      <w:r>
        <w:t xml:space="preserve">fixed Byzantine clients, Dirichlet(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 non-IID partitions, full</w:t>
      </w:r>
      <w:r>
        <w:t xml:space="preserve"> </w:t>
      </w:r>
      <w:r>
        <w:t xml:space="preserve">participation, 20 rounds, and seeds 42–44. Final accuracy 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sample SD)</w:t>
      </w:r>
      <w:r>
        <w:t xml:space="preserve"> </w:t>
      </w:r>
      <w:r>
        <w:t xml:space="preserve">is</w:t>
      </w:r>
      <w:r>
        <w:t xml:space="preserve"> </w:t>
      </w:r>
      <m:oMath>
        <m:r>
          <m:t>82.49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1.29</m:t>
        </m:r>
        <m:r>
          <m:rPr>
            <m:sty m:val="p"/>
          </m:rPr>
          <m:t>%</m:t>
        </m:r>
      </m:oMath>
      <w:r>
        <w:t xml:space="preserve"> </w:t>
      </w:r>
      <w:r>
        <w:t xml:space="preserve">for clean FedAvg,</w:t>
      </w:r>
      <w:r>
        <w:t xml:space="preserve"> </w:t>
      </w:r>
      <m:oMath>
        <m:r>
          <m:t>22.36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2.81</m:t>
        </m:r>
        <m:r>
          <m:rPr>
            <m:sty m:val="p"/>
          </m:rPr>
          <m:t>%</m:t>
        </m:r>
      </m:oMath>
      <w:r>
        <w:t xml:space="preserve"> </w:t>
      </w:r>
      <w:r>
        <w:t xml:space="preserve">for attacked</w:t>
      </w:r>
      <w:r>
        <w:t xml:space="preserve"> </w:t>
      </w:r>
      <w:r>
        <w:t xml:space="preserve">sample-weighted FedAvg,</w:t>
      </w:r>
      <w:r>
        <w:t xml:space="preserve"> </w:t>
      </w:r>
      <m:oMath>
        <m:r>
          <m:t>60.01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7.37</m:t>
        </m:r>
        <m:r>
          <m:rPr>
            <m:sty m:val="p"/>
          </m:rPr>
          <m:t>%</m:t>
        </m:r>
      </m:oMath>
      <w:r>
        <w:t xml:space="preserve"> </w:t>
      </w:r>
      <w:r>
        <w:t xml:space="preserve">for Krum,</w:t>
      </w:r>
      <w:r>
        <w:t xml:space="preserve"> </w:t>
      </w:r>
      <m:oMath>
        <m:r>
          <m:t>78.23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1.51</m:t>
        </m:r>
        <m:r>
          <m:rPr>
            <m:sty m:val="p"/>
          </m:rPr>
          <m:t>%</m:t>
        </m:r>
      </m:oMath>
      <w:r>
        <w:t xml:space="preserve"> </w:t>
      </w:r>
      <w:r>
        <w:t xml:space="preserve">for TrimmedMean, and</w:t>
      </w:r>
      <w:r>
        <w:t xml:space="preserve"> </w:t>
      </w:r>
      <m:oMath>
        <m:r>
          <m:t>78.22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1.98</m:t>
        </m:r>
        <m:r>
          <m:rPr>
            <m:sty m:val="p"/>
          </m:rPr>
          <m:t>%</m:t>
        </m:r>
      </m:oMath>
      <w:r>
        <w:t xml:space="preserve"> </w:t>
      </w:r>
      <w:r>
        <w:t xml:space="preserve">for MAD-ATMA.</w:t>
      </w:r>
      <w:r>
        <w:t xml:space="preserve"> </w:t>
      </w:r>
      <w:r>
        <w:t xml:space="preserve">No significant final-accuracy difference is detected between MAD-ATMA and</w:t>
      </w:r>
      <w:r>
        <w:t xml:space="preserve"> </w:t>
      </w:r>
      <w:r>
        <w:t xml:space="preserve">TrimmedMean (</w:t>
      </w:r>
      <m:oMath>
        <m:r>
          <m:t>p</m:t>
        </m:r>
        <m:r>
          <m:rPr>
            <m:sty m:val="p"/>
          </m:rPr>
          <m:t>=</m:t>
        </m:r>
        <m:r>
          <m:t>0.967</m:t>
        </m:r>
      </m:oMath>
      <w:r>
        <w:t xml:space="preserve">). Under the fixed attack, MAD-ATMA obtains 96.77%</w:t>
      </w:r>
      <w:r>
        <w:t xml:space="preserve"> </w:t>
      </w:r>
      <w:r>
        <w:t xml:space="preserve">precision, 100% recall, and 98.36% F1 for Byzantine-client flagging. To test</w:t>
      </w:r>
      <w:r>
        <w:t xml:space="preserve"> </w:t>
      </w:r>
      <w:r>
        <w:t xml:space="preserve">transparency, blind and ledger-informed attackers use identical training,</w:t>
      </w:r>
      <w:r>
        <w:t xml:space="preserve"> </w:t>
      </w:r>
      <w:r>
        <w:t xml:space="preserve">contracts, and initial attack scale; only the informed attacker reads prior</w:t>
      </w:r>
      <w:r>
        <w:t xml:space="preserve"> </w:t>
      </w:r>
      <w:r>
        <w:t xml:space="preserve">on-chain flags. Ledger information reduces detection recall from 100% to</w:t>
      </w:r>
      <w:r>
        <w:t xml:space="preserve"> </w:t>
      </w:r>
      <w:r>
        <w:t xml:space="preserve">47.5% and reduces final accuracy from</w:t>
      </w:r>
      <w:r>
        <w:t xml:space="preserve"> </w:t>
      </w:r>
      <m:oMath>
        <m:r>
          <m:t>78.22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1.98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76.59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1.65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1.62</m:t>
        </m:r>
      </m:oMath>
      <w:r>
        <w:t xml:space="preserve"> </w:t>
      </w:r>
      <w:r>
        <w:t xml:space="preserve">points, paired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0.0145</m:t>
        </m:r>
      </m:oMath>
      <w:r>
        <w:t xml:space="preserve">). Across six deployed</w:t>
      </w:r>
      <w:r>
        <w:t xml:space="preserve"> </w:t>
      </w:r>
      <w:r>
        <w:t xml:space="preserve">contracts, 2,400 client commitments and 120 round summaries pass read-back</w:t>
      </w:r>
      <w:r>
        <w:t xml:space="preserve"> </w:t>
      </w:r>
      <w:r>
        <w:t xml:space="preserve">verification. Thus, transparency materially aids evasion but yields a limited</w:t>
      </w:r>
      <w:r>
        <w:t xml:space="preserve"> </w:t>
      </w:r>
      <w:r>
        <w:t xml:space="preserve">utility loss while preserving a complete read-back-verified record of committed</w:t>
      </w:r>
      <w:r>
        <w:t xml:space="preserve"> </w:t>
      </w:r>
      <w:r>
        <w:t xml:space="preserve">fields; this measured tradeoff operationally bounds the paradox for the stated</w:t>
      </w:r>
      <w:r>
        <w:t xml:space="preserve"> </w:t>
      </w:r>
      <w:r>
        <w:t xml:space="preserve">threat model.</w:t>
      </w:r>
    </w:p>
    <w:p>
      <w:pPr>
        <w:pStyle w:val="ETASRkeywords"/>
        <w:sectPr w:rsidR="004C4824" w:rsidSect="004C4824">
          <w:headerReference w:type="default" r:id="rId8"/>
          <w:footerReference w:type="default" r:id="rId9"/>
          <w:type w:val="continuous"/>
          <w:pgSz w:w="12240" w:h="15840" w:code="1"/>
          <w:pgMar w:top="1080" w:right="893" w:bottom="1440" w:left="893" w:header="720" w:footer="720" w:gutter="0"/>
          <w:cols w:space="360"/>
          <w:rtlGutter/>
          <w:docGrid w:linePitch="360"/>
        </w:sectPr>
        <w:jc w:val="both"/>
      </w:pPr>
      <w:r>
        <w:rPr>
          <w:b/>
          <w:bCs/>
        </w:rPr>
        <w:t xml:space="preserve">Keywords:</w:t>
      </w:r>
      <w:r>
        <w:t xml:space="preserve"> </w:t>
      </w:r>
      <w:r>
        <w:t xml:space="preserve">federated learning, Byzantine robustness, ATMA,</w:t>
      </w:r>
      <w:r>
        <w:t xml:space="preserve"> </w:t>
      </w:r>
      <w:r>
        <w:t xml:space="preserve">adaptive attacker, blockchain auditability, transparency paradox</w:t>
      </w:r>
    </w:p>
    <w:bookmarkEnd w:id="12"/>
    <w:bookmarkStart w:id="13" w:name="introduction"/>
    <w:p>
      <w:pPr>
        <w:pStyle w:val="ETASRHeading1"/>
      </w:pPr>
      <w:r>
        <w:t xml:space="preserve">Introduction</w:t>
      </w:r>
    </w:p>
    <w:p>
      <w:pPr>
        <w:pStyle w:val="ETASRbodytext"/>
        <w:jc w:val="both"/>
      </w:pPr>
      <w:r>
        <w:t xml:space="preserve">Federated learning (FL) trains a shared model from decentralized client data by</w:t>
      </w:r>
      <w:r>
        <w:t xml:space="preserve"> </w:t>
      </w:r>
      <w:r>
        <w:t xml:space="preserve">aggregating locally computed updates [1]. Data heterogeneity,</w:t>
      </w:r>
      <w:r>
        <w:t xml:space="preserve"> </w:t>
      </w:r>
      <w:r>
        <w:t xml:space="preserve">partial trust, and adversarial clients remain central open problems in</w:t>
      </w:r>
      <w:r>
        <w:t xml:space="preserve"> </w:t>
      </w:r>
      <w:r>
        <w:t xml:space="preserve">FL [2]. A Byzantine client may submit an arbitrary update, so</w:t>
      </w:r>
      <w:r>
        <w:t xml:space="preserve"> </w:t>
      </w:r>
      <w:r>
        <w:t xml:space="preserve">ordinary weighted averaging can be driven far from the update supported by</w:t>
      </w:r>
      <w:r>
        <w:t xml:space="preserve"> </w:t>
      </w:r>
      <w:r>
        <w:t xml:space="preserve">honest clients. This problem is particularly difficult under non-independent</w:t>
      </w:r>
      <w:r>
        <w:t xml:space="preserve"> </w:t>
      </w:r>
      <w:r>
        <w:t xml:space="preserve">and identically distributed (non-IID) data because honest client updates may</w:t>
      </w:r>
      <w:r>
        <w:t xml:space="preserve"> </w:t>
      </w:r>
      <w:r>
        <w:t xml:space="preserve">already differ substantially.</w:t>
      </w:r>
    </w:p>
    <w:p>
      <w:pPr>
        <w:pStyle w:val="ETASRbodytext"/>
        <w:jc w:val="both"/>
      </w:pPr>
      <w:r>
        <w:t xml:space="preserve">Recent journal surveys organize trustworthy FL around mutually dependent</w:t>
      </w:r>
      <w:r>
        <w:t xml:space="preserve"> </w:t>
      </w:r>
      <w:r>
        <w:t xml:space="preserve">requirements for privacy, security, robustness, transparency, and</w:t>
      </w:r>
      <w:r>
        <w:t xml:space="preserve"> </w:t>
      </w:r>
      <w:r>
        <w:t xml:space="preserve">accountability [3, 4, 5, 6]. They also stress</w:t>
      </w:r>
      <w:r>
        <w:t xml:space="preserve"> </w:t>
      </w:r>
      <w:r>
        <w:t xml:space="preserve">that defenses should be evaluated under explicit threat models and data</w:t>
      </w:r>
      <w:r>
        <w:t xml:space="preserve"> </w:t>
      </w:r>
      <w:r>
        <w:t xml:space="preserve">heterogeneity rather than treated as interchangeable security components. This</w:t>
      </w:r>
      <w:r>
        <w:t xml:space="preserve"> </w:t>
      </w:r>
      <w:r>
        <w:t xml:space="preserve">study follows that guidance by separating robust aggregation, anomaly</w:t>
      </w:r>
      <w:r>
        <w:t xml:space="preserve"> </w:t>
      </w:r>
      <w:r>
        <w:t xml:space="preserve">diagnostics, and blockchain audit evidence.</w:t>
      </w:r>
    </w:p>
    <w:p>
      <w:pPr>
        <w:pStyle w:val="ETASRbodytext"/>
        <w:jc w:val="both"/>
      </w:pPr>
      <w:r>
        <w:t xml:space="preserve">Krum selects one update that is geometrically close to other updates and was</w:t>
      </w:r>
      <w:r>
        <w:t xml:space="preserve"> </w:t>
      </w:r>
      <w:r>
        <w:t xml:space="preserve">introduced as a Byzantine-resilient alternative to linear</w:t>
      </w:r>
      <w:r>
        <w:t xml:space="preserve"> </w:t>
      </w:r>
      <w:r>
        <w:t xml:space="preserve">aggregation [7]. Coordinate-wise median and trimmed mean</w:t>
      </w:r>
      <w:r>
        <w:t xml:space="preserve"> </w:t>
      </w:r>
      <w:r>
        <w:t xml:space="preserve">estimators provide another family of robust methods with statistical</w:t>
      </w:r>
      <w:r>
        <w:t xml:space="preserve"> </w:t>
      </w:r>
      <w:r>
        <w:t xml:space="preserve">guarantees [8]. These defenses have different behavior under non-IID</w:t>
      </w:r>
      <w:r>
        <w:t xml:space="preserve"> </w:t>
      </w:r>
      <w:r>
        <w:t xml:space="preserve">data: Krum retains one client update, whereas trimmed estimators combine</w:t>
      </w:r>
      <w:r>
        <w:t xml:space="preserve"> </w:t>
      </w:r>
      <w:r>
        <w:t xml:space="preserve">coordinate-level information from several clients. Their assumptions also</w:t>
      </w:r>
      <w:r>
        <w:t xml:space="preserve"> </w:t>
      </w:r>
      <w:r>
        <w:t xml:space="preserve">differ. Krum and static TrimmedMean require a Byzantine bound</w:t>
      </w:r>
      <w:r>
        <w:t xml:space="preserve"> </w:t>
      </w:r>
      <m:oMath>
        <m:r>
          <m:t>f</m:t>
        </m:r>
      </m:oMath>
      <w:r>
        <w:t xml:space="preserve">. Krum uses</w:t>
      </w:r>
      <w:r>
        <w:t xml:space="preserve"> </w:t>
      </w:r>
      <w:r>
        <w:t xml:space="preserve">that bound to define its neighbor count; TrimmedMean uses it to determine how</w:t>
      </w:r>
      <w:r>
        <w:t xml:space="preserve"> </w:t>
      </w:r>
      <w:r>
        <w:t xml:space="preserve">many values are removed from each coordinate tail.</w:t>
      </w:r>
      <w:r>
        <w:t xml:space="preserve"> </w:t>
      </w:r>
      <w:r>
        <w:t xml:space="preserve">Secure aggregation creates an additional design dimension: SEAR demonstrates</w:t>
      </w:r>
      <w:r>
        <w:t xml:space="preserve"> </w:t>
      </w:r>
      <w:r>
        <w:t xml:space="preserve">that privacy-preserving aggregation and Byzantine resilience can be combined</w:t>
      </w:r>
      <w:r>
        <w:t xml:space="preserve"> </w:t>
      </w:r>
      <w:r>
        <w:t xml:space="preserve">through a trusted execution environment, but this changes the trust and system</w:t>
      </w:r>
      <w:r>
        <w:t xml:space="preserve"> </w:t>
      </w:r>
      <w:r>
        <w:t xml:space="preserve">assumptions [9]. The present experiment instead keeps model</w:t>
      </w:r>
      <w:r>
        <w:t xml:space="preserve"> </w:t>
      </w:r>
      <w:r>
        <w:t xml:space="preserve">aggregation in ordinary PyTorch and uses blockchain only for post-computation</w:t>
      </w:r>
      <w:r>
        <w:t xml:space="preserve"> </w:t>
      </w:r>
      <w:r>
        <w:t xml:space="preserve">commitments.</w:t>
      </w:r>
    </w:p>
    <w:p>
      <w:pPr>
        <w:pStyle w:val="ETASRbodytext"/>
        <w:jc w:val="both"/>
      </w:pPr>
      <w:r>
        <w:t xml:space="preserve">Attack strategies extend beyond conspicuous large outliers. Baruch et</w:t>
      </w:r>
      <w:r>
        <w:t xml:space="preserve"> </w:t>
      </w:r>
      <w:r>
        <w:t xml:space="preserve">al. [10] showed that small distribution-aware perturbations can</w:t>
      </w:r>
      <w:r>
        <w:t xml:space="preserve"> </w:t>
      </w:r>
      <w:r>
        <w:t xml:space="preserve">evade several robust rules. Sun et al. [11] studied targeted backdoor</w:t>
      </w:r>
      <w:r>
        <w:t xml:space="preserve"> </w:t>
      </w:r>
      <w:r>
        <w:t xml:space="preserve">attacks in FL. The present experiment intentionally uses one transparent,</w:t>
      </w:r>
      <w:r>
        <w:t xml:space="preserve"> </w:t>
      </w:r>
      <w:r>
        <w:t xml:space="preserve">untargeted attack so that every transformation can be reproduced. Consequently,</w:t>
      </w:r>
      <w:r>
        <w:t xml:space="preserve"> </w:t>
      </w:r>
      <w:r>
        <w:t xml:space="preserve">the results measure robustness to the stated label-poisoning and delta-scaling</w:t>
      </w:r>
      <w:r>
        <w:t xml:space="preserve"> </w:t>
      </w:r>
      <w:r>
        <w:t xml:space="preserve">attack, not to arbitrary Byzantine behavior.</w:t>
      </w:r>
    </w:p>
    <w:p>
      <w:pPr>
        <w:pStyle w:val="ETASRbodytext"/>
        <w:jc w:val="both"/>
      </w:pPr>
      <w:r>
        <w:t xml:space="preserve">Blockchain has also been proposed as an audit and coordination layer for</w:t>
      </w:r>
      <w:r>
        <w:t xml:space="preserve"> </w:t>
      </w:r>
      <w:r>
        <w:t xml:space="preserve">FL [12, 13]. It cannot by itself determine whether an update is</w:t>
      </w:r>
      <w:r>
        <w:t xml:space="preserve"> </w:t>
      </w:r>
      <w:r>
        <w:t xml:space="preserve">malicious, but it can preserve update commitments and aggregation decisions</w:t>
      </w:r>
      <w:r>
        <w:t xml:space="preserve"> </w:t>
      </w:r>
      <w:r>
        <w:t xml:space="preserve">after an off-chain detector has produced them. This distinction is important:</w:t>
      </w:r>
      <w:r>
        <w:t xml:space="preserve"> </w:t>
      </w:r>
      <w:r>
        <w:t xml:space="preserve">auditability should not be presented as an improvement in model accuracy.</w:t>
      </w:r>
      <w:r>
        <w:t xml:space="preserve"> </w:t>
      </w:r>
      <w:r>
        <w:t xml:space="preserve">Recent surveys of blockchain-empowered and decentralized FL likewise distinguish</w:t>
      </w:r>
      <w:r>
        <w:t xml:space="preserve"> </w:t>
      </w:r>
      <w:r>
        <w:t xml:space="preserve">provenance and verifiability from model robustness, while identifying consensus,</w:t>
      </w:r>
      <w:r>
        <w:t xml:space="preserve"> </w:t>
      </w:r>
      <w:r>
        <w:t xml:space="preserve">resource cost, and new attack surfaces as separate concerns</w:t>
      </w:r>
      <w:r>
        <w:t xml:space="preserve"> </w:t>
      </w:r>
      <w:r>
        <w:t xml:space="preserve"> [14, 15].</w:t>
      </w:r>
      <w:r>
        <w:t xml:space="preserve"> </w:t>
      </w:r>
      <w:r>
        <w:t xml:space="preserve">Public audit data can also expose detector decisions to an adversary. This</w:t>
      </w:r>
      <w:r>
        <w:t xml:space="preserve"> </w:t>
      </w:r>
      <w:r>
        <w:t xml:space="preserve">creates the Transparency Paradox studied here: the same visibility that supports</w:t>
      </w:r>
      <w:r>
        <w:t xml:space="preserve"> </w:t>
      </w:r>
      <w:r>
        <w:t xml:space="preserve">accountability may supply feedback for attack adaptation. We examine this</w:t>
      </w:r>
      <w:r>
        <w:t xml:space="preserve"> </w:t>
      </w:r>
      <w:r>
        <w:t xml:space="preserve">empirically by holding training and blockchain logging fixed while varying only</w:t>
      </w:r>
      <w:r>
        <w:t xml:space="preserve"> </w:t>
      </w:r>
      <w:r>
        <w:t xml:space="preserve">whether the attacker can read prior committed anomaly flags.</w:t>
      </w:r>
    </w:p>
    <w:p>
      <w:pPr>
        <w:pStyle w:val="ETASRbodytext"/>
        <w:jc w:val="both"/>
      </w:pPr>
      <w:r>
        <w:t xml:space="preserve">The broader trustworthy-FL literature classifies robust aggregation as one</w:t>
      </w:r>
      <w:r>
        <w:t xml:space="preserve"> </w:t>
      </w:r>
      <w:r>
        <w:t xml:space="preserve">component of a system that must also state its privacy, fairness, and</w:t>
      </w:r>
      <w:r>
        <w:t xml:space="preserve"> </w:t>
      </w:r>
      <w:r>
        <w:t xml:space="preserve">accountability assumptions [16].</w:t>
      </w:r>
      <w:r>
        <w:t xml:space="preserve"> </w:t>
      </w:r>
      <w:r>
        <w:t xml:space="preserve">Nishimoto et al. proposed FedATM, an adaptive trimmed-mean defense that ranks</w:t>
      </w:r>
      <w:r>
        <w:t xml:space="preserve"> </w:t>
      </w:r>
      <w:r>
        <w:t xml:space="preserve">clients according to distances between local models and uses a distance-based</w:t>
      </w:r>
      <w:r>
        <w:t xml:space="preserve"> </w:t>
      </w:r>
      <w:r>
        <w:t xml:space="preserve">threshold to determine which models are retained [17]. The name</w:t>
      </w:r>
      <w:r>
        <w:t xml:space="preserve"> </w:t>
      </w:r>
      <w:r>
        <w:t xml:space="preserve">adaptive trimmed mean aggregation (ATMA) was later used by Mukisa et</w:t>
      </w:r>
      <w:r>
        <w:t xml:space="preserve"> </w:t>
      </w:r>
      <w:r>
        <w:t xml:space="preserve">al. [18] for a variance-aware, layer-wise IDS framework with a</w:t>
      </w:r>
      <w:r>
        <w:t xml:space="preserve"> </w:t>
      </w:r>
      <w:r>
        <w:t xml:space="preserve">permissioned blockchain. The method evaluated here is not a reproduction of</w:t>
      </w:r>
      <w:r>
        <w:t xml:space="preserve"> </w:t>
      </w:r>
      <w:r>
        <w:t xml:space="preserve">either algorithm. To avoid conflation, this paper calls the implemented rule</w:t>
      </w:r>
      <w:r>
        <w:t xml:space="preserve"> </w:t>
      </w:r>
      <w:r>
        <w:t xml:space="preserve">MAD-ATMA. It constructs a coordinate-wise median reference, scores each client’s</w:t>
      </w:r>
      <w:r>
        <w:t xml:space="preserve"> </w:t>
      </w:r>
      <w:r>
        <w:t xml:space="preserve">full update distance using a median-absolute-deviation (MAD) statistic, converts</w:t>
      </w:r>
      <w:r>
        <w:t xml:space="preserve"> </w:t>
      </w:r>
      <w:r>
        <w:t xml:space="preserve">the observed flagged fraction into one smoothed per-tail ratio, and then performs</w:t>
      </w:r>
      <w:r>
        <w:t xml:space="preserve"> </w:t>
      </w:r>
      <w:r>
        <w:t xml:space="preserve">coordinate-wise trimming. Its contribution is this explicit detector-to-trim</w:t>
      </w:r>
      <w:r>
        <w:t xml:space="preserve"> </w:t>
      </w:r>
      <w:r>
        <w:t xml:space="preserve">mapping plus measured audit-contract integration, not the first use of adaptive</w:t>
      </w:r>
      <w:r>
        <w:t xml:space="preserve"> </w:t>
      </w:r>
      <w:r>
        <w:t xml:space="preserve">trimming in FL. Accordingly, every empirical claim below refers to the executed</w:t>
      </w:r>
      <w:r>
        <w:t xml:space="preserve"> </w:t>
      </w:r>
      <w:r>
        <w:t xml:space="preserve">MAD-ATMA rule and should not be read as a reproduction or validation of FedATM or</w:t>
      </w:r>
      <w:r>
        <w:t xml:space="preserve"> </w:t>
      </w:r>
      <w:r>
        <w:t xml:space="preserve">the later variance-aware, layer-wise ATMA framework.</w:t>
      </w:r>
    </w:p>
    <w:p>
      <w:pPr>
        <w:pStyle w:val="ETASRbodytext"/>
        <w:jc w:val="both"/>
      </w:pPr>
      <w:r>
        <w:t xml:space="preserve">The contributions of this work are:</w:t>
      </w:r>
    </w:p>
    <w:p>
      <w:pPr>
        <w:pStyle w:val="ETASRbulletlist"/>
        <w:numPr>
          <w:ilvl w:val="0"/>
          <w:numId w:val="1001"/>
        </w:numPr>
      </w:pPr>
      <w:r>
        <w:t xml:space="preserve">a single controlled comparison of clean FedAvg, attacked FedAvg,</w:t>
      </w:r>
      <w:r>
        <w:t xml:space="preserve"> </w:t>
      </w:r>
      <w:r>
        <w:t xml:space="preserve">Krum, TrimmedMean, and MAD-ATMA under identical data, model, attack, and</w:t>
      </w:r>
      <w:r>
        <w:t xml:space="preserve"> </w:t>
      </w:r>
      <w:r>
        <w:t xml:space="preserve">optimization settings;</w:t>
      </w:r>
    </w:p>
    <w:p>
      <w:pPr>
        <w:pStyle w:val="ETASRbulletlist"/>
        <w:numPr>
          <w:ilvl w:val="0"/>
          <w:numId w:val="1001"/>
        </w:numPr>
      </w:pPr>
      <w:r>
        <w:t xml:space="preserve">a corrected Krum implementation and an explicitly defined adaptive</w:t>
      </w:r>
      <w:r>
        <w:t xml:space="preserve"> </w:t>
      </w:r>
      <w:r>
        <w:t xml:space="preserve">distance–MAD trimming rule distinguished from FedATM and later ATMA work;</w:t>
      </w:r>
    </w:p>
    <w:p>
      <w:pPr>
        <w:pStyle w:val="ETASRbulletlist"/>
        <w:numPr>
          <w:ilvl w:val="0"/>
          <w:numId w:val="1001"/>
        </w:numPr>
      </w:pPr>
      <w:r>
        <w:t xml:space="preserve">a separate equal-client mean sensitivity baseline that quantifies the</w:t>
      </w:r>
      <w:r>
        <w:t xml:space="preserve"> </w:t>
      </w:r>
      <w:r>
        <w:t xml:space="preserve">effect of canonical FedAvg sample weighting under unbalanced partitions;</w:t>
      </w:r>
    </w:p>
    <w:p>
      <w:pPr>
        <w:pStyle w:val="ETASRbulletlist"/>
        <w:numPr>
          <w:ilvl w:val="0"/>
          <w:numId w:val="1001"/>
        </w:numPr>
      </w:pPr>
      <w:r>
        <w:t xml:space="preserve">a controlled three-seed Transparency Paradox experiment comparing</w:t>
      </w:r>
      <w:r>
        <w:t xml:space="preserve"> </w:t>
      </w:r>
      <w:r>
        <w:t xml:space="preserve">blind and ledger-informed attackers with identical contracts, attack</w:t>
      </w:r>
      <w:r>
        <w:t xml:space="preserve"> </w:t>
      </w:r>
      <w:r>
        <w:t xml:space="preserve">initialization, data, model, and optimization;</w:t>
      </w:r>
    </w:p>
    <w:p>
      <w:pPr>
        <w:pStyle w:val="ETASRbulletlist"/>
        <w:numPr>
          <w:ilvl w:val="0"/>
          <w:numId w:val="1001"/>
        </w:numPr>
      </w:pPr>
      <w:r>
        <w:t xml:space="preserve">three-seed results with sample standard deviations and</w:t>
      </w:r>
      <w:r>
        <w:t xml:space="preserve"> </w:t>
      </w:r>
      <m:oMath>
        <m:r>
          <m:t>t</m:t>
        </m:r>
      </m:oMath>
      <w:r>
        <w:t xml:space="preserve">-distribution confidence intervals, with cautious interpretation due to</w:t>
      </w:r>
      <w:r>
        <w:t xml:space="preserve"> </w:t>
      </w:r>
      <w:r>
        <w:t xml:space="preserve">the small number of seeds;</w:t>
      </w:r>
    </w:p>
    <w:p>
      <w:pPr>
        <w:pStyle w:val="ETASRbulletlist"/>
        <w:numPr>
          <w:ilvl w:val="0"/>
          <w:numId w:val="1001"/>
        </w:numPr>
      </w:pPr>
      <w:r>
        <w:t xml:space="preserve">measured evidence from seven write-once contract deployments across</w:t>
      </w:r>
      <w:r>
        <w:t xml:space="preserve"> </w:t>
      </w:r>
      <w:r>
        <w:t xml:space="preserve">the main audit and transparency experiments, including transaction receipts,</w:t>
      </w:r>
      <w:r>
        <w:t xml:space="preserve"> </w:t>
      </w:r>
      <w:r>
        <w:t xml:space="preserve">overwrite guards, view calls, and read-back of all client and round-summary</w:t>
      </w:r>
      <w:r>
        <w:t xml:space="preserve"> </w:t>
      </w:r>
      <w:r>
        <w:t xml:space="preserve">fields.</w:t>
      </w:r>
    </w:p>
    <w:bookmarkEnd w:id="13"/>
    <w:bookmarkStart w:id="25" w:name="methodology"/>
    <w:p>
      <w:pPr>
        <w:pStyle w:val="ETASRHeading1"/>
      </w:pPr>
      <w:r>
        <w:t xml:space="preserve">Methodology</w:t>
      </w:r>
    </w:p>
    <w:bookmarkStart w:id="15" w:name="experimental-protocol"/>
    <w:p>
      <w:pPr>
        <w:pStyle w:val="ETASRHeading2"/>
      </w:pPr>
      <w:r>
        <w:t xml:space="preserve">Experimental Protocol</w:t>
      </w:r>
    </w:p>
    <w:p>
      <w:pPr>
        <w:pStyle w:val="ETASRbodytext"/>
        <w:jc w:val="both"/>
      </w:pPr>
      <w:r>
        <w:t xml:space="preserve">Table </w:t>
      </w:r>
      <w:hyperlink w:anchor="tab:configura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the single source of truth for all accuracy</w:t>
      </w:r>
      <w:r>
        <w:t xml:space="preserve"> </w:t>
      </w:r>
      <w:r>
        <w:t xml:space="preserve">comparisons.</w:t>
      </w:r>
    </w:p>
    <w:bookmarkStart w:id="14" w:name="tab:configuration"/>
    <w:p>
      <w:pPr>
        <w:pStyle w:val="ETASRtablehead"/>
      </w:pPr>
      <w:r>
        <w:t xml:space="preserve">Unified Experimental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ified Experimental Configur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Parameter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Value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Dataset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MNIST, 60,000/10,000 [19]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Model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CNN, 105,866 parameters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Clients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20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Clients per round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20 (full participation)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Byzantine clients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IDs 0–3 (20%)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Data partition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Dirichlet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Communication rounds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20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Local work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3 mini-batch SGD steps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Batch size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64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Optimizer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SGD without momentum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Learning rate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0.05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Attack scale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5.0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MAD-ATMA ratio bounds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0.05–0.25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Seeds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42, 43, 44</w:t>
            </w:r>
          </w:p>
        </w:tc>
      </w:tr>
    </w:tbl>
    <w:bookmarkEnd w:id="14"/>
    <w:p>
      <w:pPr>
        <w:pStyle w:val="ETASRbodytext"/>
        <w:jc w:val="both"/>
      </w:pPr>
      <w:r>
        <w:t xml:space="preserve">The model contains two convolutional layers with 16 and 32 channels, two</w:t>
      </w:r>
      <w:r>
        <w:t xml:space="preserve"> </w:t>
      </w:r>
      <w:r>
        <w:t xml:space="preserve">max-pooling layers, a 64-unit fully connected layer, and a ten-class output</w:t>
      </w:r>
      <w:r>
        <w:t xml:space="preserve"> </w:t>
      </w:r>
      <w:r>
        <w:t xml:space="preserve">layer. Inputs are normalized with the MNIST mean 0.1307 and standard deviation</w:t>
      </w:r>
      <w:r>
        <w:t xml:space="preserve"> </w:t>
      </w:r>
      <w:r>
        <w:t xml:space="preserve">0.3081. For each seed, class-specific training indices are divided among 20</w:t>
      </w:r>
      <w:r>
        <w:t xml:space="preserve"> </w:t>
      </w:r>
      <w:r>
        <w:t xml:space="preserve">clients with a Dirichlet distribution. The same partition and deterministic</w:t>
      </w:r>
      <w:r>
        <w:t xml:space="preserve"> </w:t>
      </w:r>
      <w:r>
        <w:t xml:space="preserve">mini-batch order are reused across methods for that seed. Client datasets range</w:t>
      </w:r>
      <w:r>
        <w:t xml:space="preserve"> </w:t>
      </w:r>
      <w:r>
        <w:t xml:space="preserve">from 909 to 6,632 images, so every client executes exactly three mini-batches</w:t>
      </w:r>
      <w:r>
        <w:t xml:space="preserve"> </w:t>
      </w:r>
      <w:r>
        <w:t xml:space="preserve">per round. The four Byzantine clients account for 26.60%, 19.11%, and</w:t>
      </w:r>
      <w:r>
        <w:t xml:space="preserve"> </w:t>
      </w:r>
      <w:r>
        <w:t xml:space="preserve">24.35% of training samples in seeds 42, 43, and 44, respectively. These</w:t>
      </w:r>
      <w:r>
        <w:t xml:space="preserve"> </w:t>
      </w:r>
      <w:r>
        <w:t xml:space="preserve">fractions differ from the fixed 20% client fraction because the partition is</w:t>
      </w:r>
      <w:r>
        <w:t xml:space="preserve"> </w:t>
      </w:r>
      <w:r>
        <w:t xml:space="preserve">unbalanced.</w:t>
      </w:r>
    </w:p>
    <w:bookmarkEnd w:id="15"/>
    <w:bookmarkStart w:id="16" w:name="threat-model"/>
    <w:p>
      <w:pPr>
        <w:pStyle w:val="ETASRHeading2"/>
      </w:pPr>
      <w:r>
        <w:t xml:space="preserve">Threat Model</w:t>
      </w:r>
    </w:p>
    <w:p>
      <w:pPr>
        <w:pStyle w:val="ETASRbodytext"/>
        <w:jc w:val="both"/>
      </w:pPr>
      <w:r>
        <w:t xml:space="preserve">Clients 0–3 are Byzantine in every attacked run. During local training, a</w:t>
      </w:r>
      <w:r>
        <w:t xml:space="preserve"> </w:t>
      </w:r>
      <w:r>
        <w:t xml:space="preserve">Byzantine client replaces each label by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10</m:t>
          </m:r>
          <m:r>
            <m:rPr>
              <m:sty m:val="p"/>
            </m:rPr>
            <m:t>.</m:t>
          </m:r>
        </m:oMath>
      </m:oMathPara>
      <w:r>
        <w:tab/>
        <w:t>(1)</w:t>
      </w:r>
    </w:p>
    <w:p>
      <w:pPr>
        <w:pStyle w:val="ETASRbodytext"/>
        <w:jc w:val="both"/>
      </w:pPr>
      <w:r>
        <w:t xml:space="preserve">Let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be the local model delta produced from global model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</m:oMath>
      <w:r>
        <w:t xml:space="preserve">. A Byzantine client transmits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  <w:r>
        <w:tab/>
        <w:t>(2)</w:t>
      </w:r>
    </w:p>
    <w:p>
      <w:pPr>
        <w:pStyle w:val="ETASRbodytext"/>
        <w:jc w:val="both"/>
      </w:pPr>
      <w:r>
        <w:t xml:space="preserve">thereby amplifying the update learned from poisoned labels. Honest clients</w:t>
      </w:r>
      <w:r>
        <w:t xml:space="preserve"> </w:t>
      </w:r>
      <w:r>
        <w:t xml:space="preserve">transmit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. The attack is applied in every round. A clean FedAvg run</w:t>
      </w:r>
      <w:r>
        <w:t xml:space="preserve"> </w:t>
      </w:r>
      <w:r>
        <w:t xml:space="preserve">with identical optimization settings but no Byzantine behavior provides the</w:t>
      </w:r>
      <w:r>
        <w:t xml:space="preserve"> </w:t>
      </w:r>
      <w:r>
        <w:t xml:space="preserve">upper comparison baseline. The server, blockchain coordinator, and test set are</w:t>
      </w:r>
      <w:r>
        <w:t xml:space="preserve"> </w:t>
      </w:r>
      <w:r>
        <w:t xml:space="preserve">trusted. The experiment does not model a malicious server, coordinator</w:t>
      </w:r>
      <w:r>
        <w:t xml:space="preserve"> </w:t>
      </w:r>
      <w:r>
        <w:t xml:space="preserve">collusion, privacy leakage, network dropout, or client impersonation.</w:t>
      </w:r>
    </w:p>
    <w:bookmarkEnd w:id="16"/>
    <w:bookmarkStart w:id="17" w:name="fedavg-and-aggregation-weighting"/>
    <w:p>
      <w:pPr>
        <w:pStyle w:val="ETASRHeading2"/>
      </w:pPr>
      <w:r>
        <w:t xml:space="preserve">FedAvg and Aggregation Weighting</w:t>
      </w:r>
    </w:p>
    <w:p>
      <w:pPr>
        <w:pStyle w:val="ETASRbodytext"/>
        <w:jc w:val="both"/>
      </w:pPr>
      <w:r>
        <w:t xml:space="preserve">For client sample counts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 FedAvg computes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</m:e>
          </m:nary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.</m:t>
          </m:r>
        </m:oMath>
      </m:oMathPara>
      <w:r>
        <w:tab/>
        <w:t>(3)</w:t>
      </w:r>
    </w:p>
    <w:p>
      <w:pPr>
        <w:pStyle w:val="ETASRbodytext"/>
        <w:jc w:val="both"/>
      </w:pPr>
      <w:r>
        <w:t xml:space="preserve">The weight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targets the global empirical objective in</w:t>
      </w:r>
      <w:r>
        <w:t xml:space="preserve"> </w:t>
      </w:r>
      <w:r>
        <w:t xml:space="preserve">which every training example has equal influence. In this experiment, however,</w:t>
      </w:r>
      <w:r>
        <w:t xml:space="preserve"> </w:t>
      </w:r>
      <w:r>
        <w:t xml:space="preserve">every client executes the same three mini-batches per round. Consequently,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describes the size of the client’s full partition rather than the number</w:t>
      </w:r>
      <w:r>
        <w:t xml:space="preserve"> </w:t>
      </w:r>
      <w:r>
        <w:t xml:space="preserve">of examples processed in that round. Attacked FedAvg is therefore influenced by</w:t>
      </w:r>
      <w:r>
        <w:t xml:space="preserve"> </w:t>
      </w:r>
      <w:r>
        <w:t xml:space="preserve">the seed-specific sample share of the four Byzantine clients. This is the</w:t>
      </w:r>
      <w:r>
        <w:t xml:space="preserve"> </w:t>
      </w:r>
      <w:r>
        <w:t xml:space="preserve">canonical FedAvg estimand, but it is not identical to the client-symmetric</w:t>
      </w:r>
      <w:r>
        <w:t xml:space="preserve"> </w:t>
      </w:r>
      <w:r>
        <w:t xml:space="preserve">estimand used by the robust aggregators.</w:t>
      </w:r>
    </w:p>
    <w:p>
      <w:pPr>
        <w:pStyle w:val="ETASRbodytext"/>
        <w:jc w:val="both"/>
      </w:pPr>
      <w:r>
        <w:t xml:space="preserve">Krum, TrimmedMean, and MAD-ATMA use their standard client-symmetric vector rules;</w:t>
      </w:r>
      <w:r>
        <w:t xml:space="preserve"> </w:t>
      </w:r>
      <w:r>
        <w:t xml:space="preserve">weighting them by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would define different robust aggregators and is not done</w:t>
      </w:r>
      <w:r>
        <w:t xml:space="preserve"> </w:t>
      </w:r>
      <w:r>
        <w:t xml:space="preserve">here. This means that the primary comparison evaluates deployed aggregation</w:t>
      </w:r>
      <w:r>
        <w:t xml:space="preserve"> </w:t>
      </w:r>
      <w:r>
        <w:t xml:space="preserve">rules, not identical estimands. To make the effect visible, a sensitivity</w:t>
      </w:r>
      <w:r>
        <w:t xml:space="preserve"> </w:t>
      </w:r>
      <w:r>
        <w:t xml:space="preserve">baseline computes the attacked equal-client mean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</m:e>
          </m:nary>
        </m:oMath>
      </m:oMathPara>
      <w:r>
        <w:tab/>
        <w:t>(4)</w:t>
      </w:r>
    </w:p>
    <w:p>
      <w:pPr>
        <w:pStyle w:val="ETASRbodytext"/>
        <w:jc w:val="both"/>
      </w:pPr>
      <w:r>
        <w:t xml:space="preserve">under the same data, seeds, attack, local work, and rounds. It is reported</w:t>
      </w:r>
      <w:r>
        <w:t xml:space="preserve"> </w:t>
      </w:r>
      <w:r>
        <w:t xml:space="preserve">separately as</w:t>
      </w:r>
      <w:r>
        <w:t xml:space="preserve"> </w:t>
      </w:r>
      <w:r>
        <w:t xml:space="preserve">“equal-client mean,”</w:t>
      </w:r>
      <w:r>
        <w:t xml:space="preserve"> </w:t>
      </w:r>
      <w:r>
        <w:t xml:space="preserve">not as canonical FedAvg.</w:t>
      </w:r>
    </w:p>
    <w:bookmarkEnd w:id="17"/>
    <w:bookmarkStart w:id="18" w:name="krum"/>
    <w:p>
      <w:pPr>
        <w:pStyle w:val="ETASRHeading2"/>
      </w:pPr>
      <w:r>
        <w:t xml:space="preserve">Krum</w:t>
      </w:r>
    </w:p>
    <w:p>
      <w:pPr>
        <w:pStyle w:val="ETASRbodytext"/>
        <w:jc w:val="both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submitted updates and a Byzantine bound</w:t>
      </w:r>
      <w:r>
        <w:t xml:space="preserve"> </w:t>
      </w:r>
      <m:oMath>
        <m:r>
          <m:t>f</m:t>
        </m:r>
      </m:oMath>
      <w:r>
        <w:t xml:space="preserve">, the score of update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  <w:r>
        <w:tab/>
        <w:t>(5)</w:t>
      </w:r>
    </w:p>
    <w:p>
      <w:pPr>
        <w:pStyle w:val="ETASRbodytext"/>
        <w:jc w:val="bot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contains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nearest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updates.</w:t>
      </w:r>
      <w:r>
        <w:t xml:space="preserve"> </w:t>
      </w:r>
      <w:r>
        <w:t xml:space="preserve">Self-distance is set to infinity before neighbor selection. Krum returns the</w:t>
      </w:r>
      <w:r>
        <w:t xml:space="preserve"> </w:t>
      </w:r>
      <w:r>
        <w:t xml:space="preserve">single update with minimum score. 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, satisfying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  <m:r>
          <m:t>f</m:t>
        </m:r>
        <m:r>
          <m:rPr>
            <m:sty m:val="p"/>
          </m:rPr>
          <m:t>+</m:t>
        </m:r>
        <m:r>
          <m:t>3</m:t>
        </m:r>
      </m:oMath>
      <w:r>
        <w:t xml:space="preserve">. Flattening a</w:t>
      </w:r>
      <w:r>
        <w:t xml:space="preserve"> </w:t>
      </w:r>
      <m:oMath>
        <m:r>
          <m:t>d</m:t>
        </m:r>
      </m:oMath>
      <w:r>
        <w:t xml:space="preserve">-parameter update gives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distance computation and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distance storage.</w:t>
      </w:r>
    </w:p>
    <w:bookmarkEnd w:id="18"/>
    <w:bookmarkStart w:id="19" w:name="static-trimmedmean"/>
    <w:p>
      <w:pPr>
        <w:pStyle w:val="ETASRHeading2"/>
      </w:pPr>
      <w:r>
        <w:t xml:space="preserve">Static TrimmedMean</w:t>
      </w:r>
    </w:p>
    <w:p>
      <w:pPr>
        <w:pStyle w:val="ETASRbodytext"/>
        <w:jc w:val="both"/>
      </w:pPr>
      <w:r>
        <w:t xml:space="preserve">For coordinate</w:t>
      </w:r>
      <w:r>
        <w:t xml:space="preserve"> </w:t>
      </w:r>
      <m:oMath>
        <m:r>
          <m:t>q</m:t>
        </m:r>
      </m:oMath>
      <w:r>
        <w:t xml:space="preserve">, the 20 scalar values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q</m:t>
            </m:r>
          </m:sub>
          <m:sup>
            <m:r>
              <m:t>t</m:t>
            </m:r>
          </m:sup>
        </m:sSubSup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</m:sSubSup>
      </m:oMath>
      <w:r>
        <w:t xml:space="preserve"> </w:t>
      </w:r>
      <w:r>
        <w:t xml:space="preserve">are sorted. Static TrimmedMean removes four</w:t>
      </w:r>
      <w:r>
        <w:t xml:space="preserve"> </w:t>
      </w:r>
      <w:r>
        <w:t xml:space="preserve">values from each tail and averages the remaining 12: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f</m:t>
              </m:r>
            </m:sup>
            <m:e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  <m:sup>
                  <m:r>
                    <m:t>t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  <w:r>
        <w:tab/>
        <w:t>(6)</w:t>
      </w:r>
    </w:p>
    <w:p>
      <w:pPr>
        <w:pStyle w:val="ETASRbodytext"/>
        <w:jc w:val="both"/>
      </w:pPr>
      <w:r>
        <w:t xml:space="preserve">This static baseline is explicitly supplied with the correct bound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Coordinate sorting has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 and combines values from 12 clients</w:t>
      </w:r>
      <w:r>
        <w:t xml:space="preserve"> </w:t>
      </w:r>
      <w:r>
        <w:t xml:space="preserve">at each coordinate.</w:t>
      </w:r>
    </w:p>
    <w:bookmarkEnd w:id="19"/>
    <w:bookmarkStart w:id="20" w:name="distancemad-adaptive-trimmed-mean"/>
    <w:p>
      <w:pPr>
        <w:pStyle w:val="ETASRHeading2"/>
      </w:pPr>
      <w:r>
        <w:t xml:space="preserve">Distance–MAD Adaptive Trimmed Mean</w:t>
      </w:r>
    </w:p>
    <w:p>
      <w:pPr>
        <w:pStyle w:val="ETASRbodytext"/>
        <w:jc w:val="both"/>
      </w:pPr>
      <w:r>
        <w:t xml:space="preserve">MAD-ATMA first flattens each update and computes the coordinate-wise median</w:t>
      </w:r>
      <w:r>
        <w:t xml:space="preserve"> </w:t>
      </w:r>
      <w:r>
        <w:t xml:space="preserve">vector</w:t>
      </w:r>
      <w:r>
        <w:t xml:space="preserve"> </w:t>
      </w:r>
      <m:oMath>
        <m:sSup>
          <m:e>
            <m:r>
              <m:t>m</m:t>
            </m:r>
          </m:e>
          <m:sup>
            <m:r>
              <m:t>t</m:t>
            </m:r>
          </m:sup>
        </m:sSup>
      </m:oMath>
      <w:r>
        <w:t xml:space="preserve">. Client distance is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  <w:r>
        <w:tab/>
        <w:t>(7)</w:t>
      </w:r>
    </w:p>
    <w:p>
      <w:pPr>
        <w:pStyle w:val="ETASRbodytext"/>
        <w:jc w:val="both"/>
      </w:pPr>
      <w:r>
        <w:t xml:space="preserve">Using the median distance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t>t</m:t>
            </m:r>
          </m:sup>
        </m:sSup>
      </m:oMath>
      <w:r>
        <w:t xml:space="preserve"> </w:t>
      </w:r>
      <w:r>
        <w:t xml:space="preserve">and median absolute deviation</w:t>
      </w:r>
      <w:r>
        <w:t xml:space="preserve"> </w:t>
      </w:r>
      <m:oMath>
        <m:r>
          <m:rPr>
            <m:sty m:val="p"/>
          </m:rPr>
          <m:t>MAD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,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r>
            <m:rPr>
              <m:sty m:val="p"/>
            </m:rPr>
            <m:t>MAD</m:t>
          </m:r>
          <m:r>
            <m:rPr>
              <m:sty m:val="p"/>
            </m:rPr>
            <m:t>(</m:t>
          </m:r>
          <m:sSup>
            <m:e>
              <m:r>
                <m:t>d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median</m:t>
              </m:r>
            </m:e>
            <m:sub>
              <m:r>
                <m:t>i</m:t>
              </m:r>
            </m:sub>
          </m:sSub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  <w:r>
        <w:tab/>
        <w:t>(8)</w:t>
      </w:r>
    </w:p>
    <w:p>
      <w:pPr>
        <w:pStyle w:val="ETASRbodytext"/>
        <w:jc w:val="both"/>
      </w:pPr>
      <w:r>
        <w:t xml:space="preserve">the robust score is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</m:num>
            <m:den>
              <m:r>
                <m:t>1.4826</m:t>
              </m:r>
              <m:r>
                <m:rPr>
                  <m:sty m:val="p"/>
                </m:rPr>
                <m:t>MAD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  <w:r>
        <w:tab/>
        <w:t>(9)</w:t>
      </w:r>
    </w:p>
    <w:p>
      <w:pPr>
        <w:pStyle w:val="ETASRbodytext"/>
        <w:jc w:val="both"/>
      </w:pPr>
      <w:r>
        <w:t xml:space="preserve">Here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is the update dtype machine epsilon used in the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torch.finfo(dtype).eps</w:t>
      </w:r>
      <w:r>
        <w:t xml:space="preserve">); it prevents division by zero and is not a</w:t>
      </w:r>
      <w:r>
        <w:t xml:space="preserve"> </w:t>
      </w:r>
      <w:r>
        <w:t xml:space="preserve">tunable hyperparameter. Clients with</w:t>
      </w:r>
      <w:r>
        <w:t xml:space="preserve"> </w:t>
      </w:r>
      <m:oMath>
        <m:sSubSup>
          <m:e>
            <m:r>
              <m:t>z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&gt;</m:t>
        </m:r>
        <m:r>
          <m:t>3.5</m:t>
        </m:r>
      </m:oMath>
      <w:r>
        <w:t xml:space="preserve"> </w:t>
      </w:r>
      <w:r>
        <w:t xml:space="preserve">are flagged. If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is the flagged fraction, the per-tail trim ratio is updated by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η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clip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0.05</m:t>
                  </m:r>
                  <m:r>
                    <m:rPr>
                      <m:sty m:val="p"/>
                    </m:rPr>
                    <m:t>,</m:t>
                  </m:r>
                  <m:r>
                    <m:t>0.25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0.25</m:t>
              </m:r>
            </m:e>
          </m:d>
          <m:r>
            <m:rPr>
              <m:sty m:val="p"/>
            </m:rPr>
            <m:t>,</m:t>
          </m:r>
        </m:oMath>
      </m:oMathPara>
      <w:r>
        <w:tab/>
        <w:t>(10)</w:t>
      </w:r>
    </w:p>
    <w:p>
      <w:pPr>
        <w:pStyle w:val="ETASRbodytext"/>
        <w:jc w:val="bot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0.50</m:t>
        </m:r>
      </m:oMath>
      <w:r>
        <w:t xml:space="preserve">. MAD-ATMA then applies coordinate-wise trimmed</w:t>
      </w:r>
      <w:r>
        <w:t xml:space="preserve"> </w:t>
      </w:r>
      <w:r>
        <w:t xml:space="preserve">mean with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round</m:t>
        </m:r>
        <m:r>
          <m:rPr>
            <m:sty m:val="p"/>
          </m:rPr>
          <m:t>(</m:t>
        </m:r>
        <m:r>
          <m:t>N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values removed from each tail. The</w:t>
      </w:r>
      <w:r>
        <w:t xml:space="preserve"> </w:t>
      </w:r>
      <w:r>
        <w:t xml:space="preserve">25% ceiling is a prespecified safety bound and is not set to the experiment’s</w:t>
      </w:r>
      <w:r>
        <w:t xml:space="preserve"> </w:t>
      </w:r>
      <w:r>
        <w:t xml:space="preserve">known 20% Byzantine fraction. The detector adds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work before the same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coordinate sorting used by TrimmedMean. Flags are diagnostic:</w:t>
      </w:r>
      <w:r>
        <w:t xml:space="preserve"> </w:t>
      </w:r>
      <w:r>
        <w:t xml:space="preserve">flagged vectors remain in the coordinate pool, while extreme coordinate values</w:t>
      </w:r>
      <w:r>
        <w:t xml:space="preserve"> </w:t>
      </w:r>
      <w:r>
        <w:t xml:space="preserve">are removed by trimming.</w:t>
      </w:r>
    </w:p>
    <w:bookmarkEnd w:id="20"/>
    <w:bookmarkStart w:id="21" w:name="blockchain-audit-contract"/>
    <w:p>
      <w:pPr>
        <w:pStyle w:val="ETASRHeading2"/>
      </w:pPr>
      <w:r>
        <w:t xml:space="preserve">Blockchain Audit Contract</w:t>
      </w:r>
    </w:p>
    <w:p>
      <w:pPr>
        <w:pStyle w:val="ETASRbodytext"/>
        <w:jc w:val="both"/>
      </w:pPr>
      <w:r>
        <w:t xml:space="preserve">The Solidity contract stores an update-hash mapping indexed by round and</w:t>
      </w:r>
      <w:r>
        <w:t xml:space="preserve"> </w:t>
      </w:r>
      <w:r>
        <w:t xml:space="preserve">client, the corresponding anomaly flag, and a round summary containing the</w:t>
      </w:r>
      <w:r>
        <w:t xml:space="preserve"> </w:t>
      </w:r>
      <w:r>
        <w:t xml:space="preserve">aggregate hash, submitted count, flagged count, trim count, and timestamp.</w:t>
      </w:r>
      <w:r>
        <w:t xml:space="preserve"> </w:t>
      </w:r>
      <w:r>
        <w:t xml:space="preserve">Boolean existence mappings make every round–client slot and every round</w:t>
      </w:r>
      <w:r>
        <w:t xml:space="preserve"> </w:t>
      </w:r>
      <w:r>
        <w:t xml:space="preserve">summary write-once: duplicate writes revert. The coordinator submits SHA-256</w:t>
      </w:r>
      <w:r>
        <w:t xml:space="preserve"> </w:t>
      </w:r>
      <w:r>
        <w:t xml:space="preserve">commitments; model tensors are not stored on-chain. The contract was compiled</w:t>
      </w:r>
      <w:r>
        <w:t xml:space="preserve"> </w:t>
      </w:r>
      <w:r>
        <w:t xml:space="preserve">with Solidity 0.8.19 and deployed to Ganache chain 1337. Blockchain logging was</w:t>
      </w:r>
      <w:r>
        <w:t xml:space="preserve"> </w:t>
      </w:r>
      <w:r>
        <w:t xml:space="preserve">enabled for the main MAD-ATMA audit with seed 42 and for all six Transparency</w:t>
      </w:r>
      <w:r>
        <w:t xml:space="preserve"> </w:t>
      </w:r>
      <w:r>
        <w:t xml:space="preserve">Paradox runs. Ordinary aggregator accuracy comparisons do not use blockchain</w:t>
      </w:r>
      <w:r>
        <w:t xml:space="preserve"> </w:t>
      </w:r>
      <w:r>
        <w:t xml:space="preserve">state and are therefore not attributed to blockchain.</w:t>
      </w:r>
    </w:p>
    <w:p>
      <w:pPr>
        <w:pStyle w:val="ETASRbodytext"/>
        <w:jc w:val="both"/>
      </w:pPr>
      <w:r>
        <w:t xml:space="preserve">After each successful transaction, the experiment reads the client commitment,</w:t>
      </w:r>
      <w:r>
        <w:t xml:space="preserve"> </w:t>
      </w:r>
      <w:r>
        <w:t xml:space="preserve">flag, and existence bit from the contract. After finalization, it reads the</w:t>
      </w:r>
      <w:r>
        <w:t xml:space="preserve"> </w:t>
      </w:r>
      <w:r>
        <w:t xml:space="preserve">aggregate commitment, submitted count, flagged count, trim count, timestamp,</w:t>
      </w:r>
      <w:r>
        <w:t xml:space="preserve"> </w:t>
      </w:r>
      <w:r>
        <w:t xml:space="preserve">and finalized bit. Local calls that attempt to overwrite an existing client</w:t>
      </w:r>
      <w:r>
        <w:t xml:space="preserve"> </w:t>
      </w:r>
      <w:r>
        <w:t xml:space="preserve">record or finalized round are required to revert. These checks establish</w:t>
      </w:r>
      <w:r>
        <w:t xml:space="preserve"> </w:t>
      </w:r>
      <w:r>
        <w:t xml:space="preserve">write-once behavior for this contract under the trusted-coordinator assumption;</w:t>
      </w:r>
      <w:r>
        <w:t xml:space="preserve"> </w:t>
      </w:r>
      <w:r>
        <w:t xml:space="preserve">they do not establish decentralized consensus or prevent the coordinator from</w:t>
      </w:r>
      <w:r>
        <w:t xml:space="preserve"> </w:t>
      </w:r>
      <w:r>
        <w:t xml:space="preserve">submitting a false value initially.</w:t>
      </w:r>
    </w:p>
    <w:bookmarkEnd w:id="21"/>
    <w:bookmarkStart w:id="22" w:name="transparency-paradox-protocol"/>
    <w:p>
      <w:pPr>
        <w:pStyle w:val="ETASRHeading2"/>
      </w:pPr>
      <w:r>
        <w:t xml:space="preserve">Transparency Paradox Protocol</w:t>
      </w:r>
    </w:p>
    <w:p>
      <w:pPr>
        <w:pStyle w:val="ETASRbodytext"/>
        <w:jc w:val="both"/>
      </w:pPr>
      <w:r>
        <w:t xml:space="preserve">The Transparency Paradox experiment compares two MAD-ATMA conditions for each</w:t>
      </w:r>
      <w:r>
        <w:t xml:space="preserve"> </w:t>
      </w:r>
      <w:r>
        <w:t xml:space="preserve">seed. Both deploy a fresh contract, record the same fields, begin with attack</w:t>
      </w:r>
      <w:r>
        <w:t xml:space="preserve"> </w:t>
      </w:r>
      <w:r>
        <w:t xml:space="preserve">scale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 use the same data partition, client batches, Byzantine IDs,</w:t>
      </w:r>
      <w:r>
        <w:t xml:space="preserve"> </w:t>
      </w:r>
      <w:r>
        <w:t xml:space="preserve">label shift, model, optimizer, and rounds. In the</w:t>
      </w:r>
      <w:r>
        <w:t xml:space="preserve"> </w:t>
      </w:r>
      <w:r>
        <w:rPr>
          <w:i/>
          <w:iCs/>
        </w:rPr>
        <w:t xml:space="preserve">blind</w:t>
      </w:r>
      <w:r>
        <w:t xml:space="preserve"> </w:t>
      </w:r>
      <w:r>
        <w:t xml:space="preserve">condition, the</w:t>
      </w:r>
      <w:r>
        <w:t xml:space="preserve"> </w:t>
      </w:r>
      <w:r>
        <w:t xml:space="preserve">attacker cannot read anomaly flags and keeps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 In the</w:t>
      </w:r>
      <w:r>
        <w:t xml:space="preserve"> </w:t>
      </w:r>
      <w:r>
        <w:rPr>
          <w:i/>
          <w:iCs/>
        </w:rPr>
        <w:t xml:space="preserve">ledger-informed</w:t>
      </w:r>
      <w:r>
        <w:t xml:space="preserve"> </w:t>
      </w:r>
      <w:r>
        <w:t xml:space="preserve">condition, before round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 attacker issues four</w:t>
      </w:r>
      <w:r>
        <w:t xml:space="preserve"> </w:t>
      </w:r>
      <w:r>
        <w:t xml:space="preserve">flag queries for the Byzantine clients from round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. Each query uses one</w:t>
      </w:r>
      <w:r>
        <w:t xml:space="preserve"> </w:t>
      </w:r>
      <w:r>
        <w:t xml:space="preserve">existence view call and one flag view call.</w:t>
      </w:r>
    </w:p>
    <w:p>
      <w:pPr>
        <w:pStyle w:val="ETASRbodytext"/>
        <w:jc w:val="both"/>
      </w:pP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 the fraction of the four Byzantine clients flagged in the</w:t>
      </w:r>
      <w:r>
        <w:t xml:space="preserve"> </w:t>
      </w:r>
      <w:r>
        <w:t xml:space="preserve">previous round. The prespecified feedback controller is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  <m:r>
            <m:rPr>
              <m:sty m:val="p"/>
            </m:rPr>
            <m:t>,</m:t>
          </m:r>
        </m:oMath>
      </m:oMathPara>
      <w:r>
        <w:tab/>
        <w:t>(11)</w:t>
      </w:r>
    </w:p>
    <w:p>
      <w:pPr>
        <w:pStyle w:val="ETASRbodytext"/>
        <w:jc w:val="both"/>
      </w:pPr>
      <w:r>
        <w:t xml:space="preserve">where</w:t>
      </w:r>
    </w:p>
    <w:p>
      <w:pPr>
        <w:pStyle w:val="ETASRbodytext"/>
        <w:jc w:val="both"/>
        <w:tabs>
          <w:tab w:val="right" w:pos="4320"/>
        </w:tabs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0.70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1.10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0.90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  <w:r>
        <w:tab/>
        <w:t>(12)</w:t>
      </w:r>
    </w:p>
    <w:p>
      <w:pPr>
        <w:pStyle w:val="ETASRbodytext"/>
        <w:jc w:val="both"/>
      </w:pPr>
      <w:r>
        <w:t xml:space="preserve">The attacker therefore trades update magnitude for lower detection risk using</w:t>
      </w:r>
      <w:r>
        <w:t xml:space="preserve"> </w:t>
      </w:r>
      <w:r>
        <w:t xml:space="preserve">only public ledger feedback. Contract reads do not create transactions or change</w:t>
      </w:r>
      <w:r>
        <w:t xml:space="preserve"> </w:t>
      </w:r>
      <w:r>
        <w:t xml:space="preserve">state. Attacker benefit is measured by Byzantine detection recall, the</w:t>
      </w:r>
      <w:r>
        <w:t xml:space="preserve"> </w:t>
      </w:r>
      <w:r>
        <w:t xml:space="preserve">undetected-update fraction, and final model accuracy. Defender benefit is</w:t>
      </w:r>
      <w:r>
        <w:t xml:space="preserve"> </w:t>
      </w:r>
      <w:r>
        <w:t xml:space="preserve">measured by successful commitments and complete contract read-back.</w:t>
      </w:r>
    </w:p>
    <w:bookmarkEnd w:id="22"/>
    <w:bookmarkStart w:id="23" w:name="executed-procedure"/>
    <w:p>
      <w:pPr>
        <w:pStyle w:val="ETASRHeading2"/>
      </w:pPr>
      <w:r>
        <w:t xml:space="preserve">Executed Procedure</w:t>
      </w:r>
    </w:p>
    <w:p>
      <w:pPr>
        <w:pStyle w:val="ETASRbodytext"/>
        <w:jc w:val="both"/>
      </w:pPr>
      <w:r>
        <w:t xml:space="preserve">For each seed and method, the implementation executes:</w:t>
      </w:r>
    </w:p>
    <w:p>
      <w:pPr>
        <w:pStyle w:val="ETASRbulletlist"/>
        <w:numPr>
          <w:ilvl w:val="0"/>
          <w:numId w:val="1002"/>
        </w:numPr>
      </w:pPr>
      <w:r>
        <w:t xml:space="preserve">set Python, NumPy, PyTorch, and CUDA seeds;</w:t>
      </w:r>
    </w:p>
    <w:p>
      <w:pPr>
        <w:pStyle w:val="ETASRbulletlist"/>
        <w:numPr>
          <w:ilvl w:val="0"/>
          <w:numId w:val="1002"/>
        </w:numPr>
      </w:pPr>
      <w:r>
        <w:t xml:space="preserve">load and normalize MNIST;</w:t>
      </w:r>
    </w:p>
    <w:p>
      <w:pPr>
        <w:pStyle w:val="ETASRbulletlist"/>
        <w:numPr>
          <w:ilvl w:val="0"/>
          <w:numId w:val="1002"/>
        </w:numPr>
      </w:pPr>
      <w:r>
        <w:t xml:space="preserve">create the seed-specific Dirichlet partition;</w:t>
      </w:r>
    </w:p>
    <w:p>
      <w:pPr>
        <w:pStyle w:val="ETASRbulletlist"/>
        <w:numPr>
          <w:ilvl w:val="0"/>
          <w:numId w:val="1002"/>
        </w:numPr>
      </w:pPr>
      <w:r>
        <w:t xml:space="preserve">initialize the same CNN architecture;</w:t>
      </w:r>
    </w:p>
    <w:p>
      <w:pPr>
        <w:pStyle w:val="ETASRbulletlist"/>
        <w:numPr>
          <w:ilvl w:val="0"/>
          <w:numId w:val="1002"/>
        </w:numPr>
      </w:pPr>
      <w:r>
        <w:t xml:space="preserve">copy the global model to each of the 20 clients;</w:t>
      </w:r>
    </w:p>
    <w:p>
      <w:pPr>
        <w:pStyle w:val="ETASRbulletlist"/>
        <w:numPr>
          <w:ilvl w:val="0"/>
          <w:numId w:val="1002"/>
        </w:numPr>
      </w:pPr>
      <w:r>
        <w:t xml:space="preserve">perform three deterministic mini-batch SGD steps;</w:t>
      </w:r>
    </w:p>
    <w:p>
      <w:pPr>
        <w:pStyle w:val="ETASRbulletlist"/>
        <w:numPr>
          <w:ilvl w:val="0"/>
          <w:numId w:val="1002"/>
        </w:numPr>
      </w:pPr>
      <w:r>
        <w:t xml:space="preserve">poison labels and scale deltas for clients 0–3 in attacked runs;</w:t>
      </w:r>
    </w:p>
    <w:p>
      <w:pPr>
        <w:pStyle w:val="ETASRbulletlist"/>
        <w:numPr>
          <w:ilvl w:val="0"/>
          <w:numId w:val="1002"/>
        </w:numPr>
      </w:pPr>
      <w:r>
        <w:t xml:space="preserve">aggregate all 20 deltas using the selected method;</w:t>
      </w:r>
    </w:p>
    <w:p>
      <w:pPr>
        <w:pStyle w:val="ETASRbulletlist"/>
        <w:numPr>
          <w:ilvl w:val="0"/>
          <w:numId w:val="1002"/>
        </w:numPr>
      </w:pPr>
      <w:r>
        <w:t xml:space="preserve">update and evaluate the global model on all 10,000 test images;</w:t>
      </w:r>
    </w:p>
    <w:p>
      <w:pPr>
        <w:pStyle w:val="ETASRbulletlist"/>
        <w:numPr>
          <w:ilvl w:val="0"/>
          <w:numId w:val="1002"/>
        </w:numPr>
      </w:pPr>
      <w:r>
        <w:t xml:space="preserve">for the audited MAD-ATMA run, submit all update hashes and the complete</w:t>
      </w:r>
      <w:r>
        <w:t xml:space="preserve"> </w:t>
      </w:r>
      <w:r>
        <w:t xml:space="preserve">round summary, wait for receipts, and read every stored field back;</w:t>
      </w:r>
    </w:p>
    <w:p>
      <w:pPr>
        <w:pStyle w:val="ETASRbulletlist"/>
        <w:numPr>
          <w:ilvl w:val="0"/>
          <w:numId w:val="1002"/>
        </w:numPr>
      </w:pPr>
      <w:r>
        <w:t xml:space="preserve">for each transparency condition and seed, deploy a fresh contract,</w:t>
      </w:r>
      <w:r>
        <w:t xml:space="preserve"> </w:t>
      </w:r>
      <w:r>
        <w:t xml:space="preserve">repeat the same MAD-ATMA training, and permit only the informed attacker to</w:t>
      </w:r>
      <w:r>
        <w:t xml:space="preserve"> </w:t>
      </w:r>
      <w:r>
        <w:t xml:space="preserve">read prior Byzantine-client flags before choosing the next attack scale;</w:t>
      </w:r>
    </w:p>
    <w:p>
      <w:pPr>
        <w:pStyle w:val="ETASRbulletlist"/>
        <w:numPr>
          <w:ilvl w:val="0"/>
          <w:numId w:val="1002"/>
        </w:numPr>
      </w:pPr>
      <w:r>
        <w:t xml:space="preserve">serialize per-round metrics, metadata, receipts, and summaries to</w:t>
      </w:r>
      <w:r>
        <w:t xml:space="preserve"> </w:t>
      </w:r>
      <w:r>
        <w:rPr>
          <w:rStyle w:val="VerbatimChar"/>
        </w:rPr>
        <w:t xml:space="preserve">results/unified_mnist_actual.json</w:t>
      </w:r>
      <w:r>
        <w:t xml:space="preserve">; the equal-client sensitivity</w:t>
      </w:r>
      <w:r>
        <w:t xml:space="preserve"> </w:t>
      </w:r>
      <w:r>
        <w:t xml:space="preserve">run is serialized separately to</w:t>
      </w:r>
      <w:r>
        <w:t xml:space="preserve"> </w:t>
      </w:r>
      <w:r>
        <w:rPr>
          <w:rStyle w:val="VerbatimChar"/>
        </w:rPr>
        <w:t xml:space="preserve">results/unified_mnist_equal_weight_sensitivity.json</w:t>
      </w:r>
      <w:r>
        <w:t xml:space="preserve">, and the</w:t>
      </w:r>
      <w:r>
        <w:t xml:space="preserve"> </w:t>
      </w:r>
      <w:r>
        <w:t xml:space="preserve">transparency experiment to</w:t>
      </w:r>
      <w:r>
        <w:t xml:space="preserve"> </w:t>
      </w:r>
      <w:r>
        <w:rPr>
          <w:rStyle w:val="VerbatimChar"/>
        </w:rPr>
        <w:t xml:space="preserve">results/transparency_paradox_actual.json</w:t>
      </w:r>
      <w:r>
        <w:t xml:space="preserve">.</w:t>
      </w:r>
    </w:p>
    <w:p>
      <w:pPr>
        <w:pStyle w:val="ETASRbodytext"/>
        <w:jc w:val="both"/>
      </w:pPr>
      <w:r>
        <w:t xml:space="preserve">OpenAI Codex was used during revision to assist code inspection and editing,</w:t>
      </w:r>
      <w:r>
        <w:t xml:space="preserve"> </w:t>
      </w:r>
      <w:r>
        <w:t xml:space="preserve">experiment orchestration, consistency checks, language editing, and LaTeX/Word</w:t>
      </w:r>
      <w:r>
        <w:t xml:space="preserve"> </w:t>
      </w:r>
      <w:r>
        <w:t xml:space="preserve">document preparation. Experiments were executed locally from the reviewed</w:t>
      </w:r>
      <w:r>
        <w:t xml:space="preserve"> </w:t>
      </w:r>
      <w:r>
        <w:t xml:space="preserve">scripts; numerical outputs and figures were generated programmatically from the</w:t>
      </w:r>
      <w:r>
        <w:t xml:space="preserve"> </w:t>
      </w:r>
      <w:r>
        <w:t xml:space="preserve">recorded results rather than invented or manually altered. The authors reviewed</w:t>
      </w:r>
      <w:r>
        <w:t xml:space="preserve"> </w:t>
      </w:r>
      <w:r>
        <w:t xml:space="preserve">the code, execution logs, results, figures, and manuscript.</w:t>
      </w:r>
    </w:p>
    <w:bookmarkEnd w:id="23"/>
    <w:bookmarkStart w:id="24" w:name="statistics"/>
    <w:p>
      <w:pPr>
        <w:pStyle w:val="ETASRHeading2"/>
      </w:pPr>
      <w:r>
        <w:t xml:space="preserve">Statistics</w:t>
      </w:r>
    </w:p>
    <w:p>
      <w:pPr>
        <w:pStyle w:val="ETASRbodytext"/>
        <w:jc w:val="both"/>
      </w:pPr>
      <w:r>
        <w:t xml:space="preserve">Final accuracy is summarized across three seeds with the sample standard</w:t>
      </w:r>
      <w:r>
        <w:t xml:space="preserve"> </w:t>
      </w:r>
      <w:r>
        <w:t xml:space="preserve">deviation. The 95% confidence interval uses Student’s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with</w:t>
      </w:r>
      <w:r>
        <w:t xml:space="preserve"> </w:t>
      </w:r>
      <w:r>
        <w:t xml:space="preserve">two degrees of freedom. Paired, two-sided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tests use seed-matched final</w:t>
      </w:r>
      <w:r>
        <w:t xml:space="preserve"> </w:t>
      </w:r>
      <w:r>
        <w:t xml:space="preserve">accuracies. Because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inferential results are interpreted as supporting</w:t>
      </w:r>
      <w:r>
        <w:t xml:space="preserve"> </w:t>
      </w:r>
      <w:r>
        <w:t xml:space="preserve">evidence rather than broad population estimates. In particular, failure to</w:t>
      </w:r>
      <w:r>
        <w:t xml:space="preserve"> </w:t>
      </w:r>
      <w:r>
        <w:t xml:space="preserve">reject a difference is not treated as proof of statistical equivalence. The</w:t>
      </w:r>
      <w:r>
        <w:t xml:space="preserve"> </w:t>
      </w:r>
      <w:r>
        <w:t xml:space="preserve">Transparency Paradox comparison uses a paired two-sided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 for</w:t>
      </w:r>
      <w:r>
        <w:t xml:space="preserve"> </w:t>
      </w:r>
      <w:r>
        <w:t xml:space="preserve">seed-matched blind and informed final accuracies; detection outcomes are reported</w:t>
      </w:r>
      <w:r>
        <w:t xml:space="preserve"> </w:t>
      </w:r>
      <w:r>
        <w:t xml:space="preserve">descriptively because blind recall is at the 100% ceiling for every seed.</w:t>
      </w:r>
    </w:p>
    <w:bookmarkEnd w:id="24"/>
    <w:bookmarkEnd w:id="25"/>
    <w:bookmarkStart w:id="44" w:name="results"/>
    <w:p>
      <w:pPr>
        <w:pStyle w:val="ETASRHeading1"/>
      </w:pPr>
      <w:r>
        <w:t xml:space="preserve">Results</w:t>
      </w:r>
    </w:p>
    <w:bookmarkStart w:id="26" w:name="tab:actual_results"/>
    <w:p>
      <w:pPr>
        <w:pStyle w:val="ETASRtablehead"/>
      </w:pPr>
      <w:r>
        <w:t xml:space="preserve">Final MNIST Accuracy Across Three Seeds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MNIST Accuracy Across Three Seed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Method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Mean (%)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SD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95% CI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FedAvg (clean)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82.49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1.29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[79.28, 85.69]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FedAvg (attack)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22.36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2.81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[15.39, 29.33]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Equal-client mean (attack)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31.94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7.06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[14.41, 49.48]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Krum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60.01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7.37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[41.71, 78.32]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TrimmedMean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78.23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1.51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[74.47, 81.99]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MAD-ATMA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78.22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1.98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[73.29, 83.14]</w:t>
            </w:r>
          </w:p>
        </w:tc>
      </w:tr>
    </w:tbl>
    <w:bookmarkEnd w:id="26"/>
    <w:p>
      <w:pPr>
        <w:pStyle w:val="ETASRbodytext"/>
        <w:jc w:val="both"/>
      </w:pPr>
      <w:r>
        <w:t xml:space="preserve">The attack reduces sample-weighted FedAvg from 82.49% to 22.36%, a mean</w:t>
      </w:r>
      <w:r>
        <w:t xml:space="preserve"> </w:t>
      </w:r>
      <w:r>
        <w:t xml:space="preserve">decrease of 60.12 percentage points. The attacked equal-client mean reaches</w:t>
      </w:r>
      <w:r>
        <w:t xml:space="preserve"> </w:t>
      </w:r>
      <m:oMath>
        <m:r>
          <m:t>31.94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7.06</m:t>
        </m:r>
        <m:r>
          <m:rPr>
            <m:sty m:val="p"/>
          </m:rPr>
          <m:t>%</m:t>
        </m:r>
      </m:oMath>
      <w:r>
        <w:t xml:space="preserve"> </w:t>
      </w:r>
      <w:r>
        <w:t xml:space="preserve">(95% CI 14.41–49.48%), 9.58 points above attacked</w:t>
      </w:r>
      <w:r>
        <w:t xml:space="preserve"> </w:t>
      </w:r>
      <w:r>
        <w:t xml:space="preserve">sample-weighted FedAvg (</w:t>
      </w:r>
      <m:oMath>
        <m:r>
          <m:t>p</m:t>
        </m:r>
        <m:r>
          <m:rPr>
            <m:sty m:val="p"/>
          </m:rPr>
          <m:t>=</m:t>
        </m:r>
        <m:r>
          <m:t>0.070</m:t>
        </m:r>
      </m:oMath>
      <w:r>
        <w:t xml:space="preserve">). Thus, weighting materially affects the</w:t>
      </w:r>
      <w:r>
        <w:t xml:space="preserve"> </w:t>
      </w:r>
      <w:r>
        <w:t xml:space="preserve">undefended baseline, although the three-seed difference is not statistically</w:t>
      </w:r>
      <w:r>
        <w:t xml:space="preserve"> </w:t>
      </w:r>
      <w:r>
        <w:t xml:space="preserve">significant. Krum improves on the equal-client mean by 28.07 points,</w:t>
      </w:r>
      <w:r>
        <w:t xml:space="preserve"> </w:t>
      </w:r>
      <w:r>
        <w:t xml:space="preserve">TrimmedMean by 46.29 points, and MAD-ATMA by 46.27 points. Relative to the</w:t>
      </w:r>
      <w:r>
        <w:t xml:space="preserve"> </w:t>
      </w:r>
      <w:r>
        <w:t xml:space="preserve">prespecified sample-weighted FedAvg baseline, Krum improves accuracy by 37.65</w:t>
      </w:r>
      <w:r>
        <w:t xml:space="preserve"> </w:t>
      </w:r>
      <w:r>
        <w:t xml:space="preserve">points, TrimmedMean by 55.87 points, and MAD-ATMA by 55.85 points.</w:t>
      </w:r>
      <w:r>
        <w:t xml:space="preserve"> </w:t>
      </w:r>
      <w:r>
        <w:t xml:space="preserve">Seed-paired tests give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0.018</m:t>
        </m:r>
      </m:oMath>
      <w:r>
        <w:t xml:space="preserve"> </w:t>
      </w:r>
      <w:r>
        <w:t xml:space="preserve">for Krum versus attacked FedAvg,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0.0019</m:t>
        </m:r>
      </m:oMath>
      <w:r>
        <w:t xml:space="preserve"> </w:t>
      </w:r>
      <w:r>
        <w:t xml:space="preserve">for TrimmedMean,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0.0024</m:t>
        </m:r>
      </m:oMath>
      <w:r>
        <w:t xml:space="preserve"> </w:t>
      </w:r>
      <w:r>
        <w:t xml:space="preserve">for MAD-ATMA. These values should be read cautiously because only</w:t>
      </w:r>
      <w:r>
        <w:t xml:space="preserve"> </w:t>
      </w:r>
      <w:r>
        <w:t xml:space="preserve">three seeds were evaluated and the intervals are correspondingly wide.</w:t>
      </w:r>
    </w:p>
    <w:bookmarkStart w:id="30" w:name="fig:convergence"/>
    <w:p>
      <w:pPr>
        <w:pStyle w:val="CaptionedFigure"/>
      </w:pPr>
      <w:r>
        <w:drawing>
          <wp:inline>
            <wp:extent cx="2925000" cy="223759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dia/figure1_convergence_actu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000" cy="223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ETASRfigurecaption"/>
      </w:pPr>
      <w:r>
        <w:t xml:space="preserve">Mean test accuracy across seeds 42, 43, and 44. Shaded regions show</w:t>
      </w:r>
      <w:r>
        <w:t xml:space="preserve"> </w:t>
      </w:r>
      <w:r>
        <w:t xml:space="preserve">one sample standard deviation. Every method uses the configuration in</w:t>
      </w:r>
      <w:r>
        <w:t xml:space="preserve"> </w:t>
      </w:r>
      <w:r>
        <w:t xml:space="preserve">Table </w:t>
      </w:r>
      <w:hyperlink w:anchor="tab:configuration">
        <w:r>
          <w:rPr>
            <w:rStyle w:val="Hyperlink"/>
          </w:rPr>
          <w:t xml:space="preserve">1</w:t>
        </w:r>
      </w:hyperlink>
      <w:r>
        <w:t xml:space="preserve">.</w:t>
      </w:r>
    </w:p>
    <w:bookmarkEnd w:id="30"/>
    <w:p>
      <w:pPr>
        <w:pStyle w:val="ETASRbodytext"/>
        <w:jc w:val="both"/>
      </w:pPr>
      <w:r>
        <w:t xml:space="preserve">Figure </w:t>
      </w:r>
      <w:hyperlink w:anchor="fig:convergenc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that clean FedAvg converges fastest. Attacked</w:t>
      </w:r>
      <w:r>
        <w:t xml:space="preserve"> </w:t>
      </w:r>
      <w:r>
        <w:t xml:space="preserve">FedAvg remains unstable and low. Krum avoids malicious clients but learns more</w:t>
      </w:r>
      <w:r>
        <w:t xml:space="preserve"> </w:t>
      </w:r>
      <w:r>
        <w:t xml:space="preserve">slowly because each round retains only one client update. TrimmedMean and</w:t>
      </w:r>
      <w:r>
        <w:t xml:space="preserve"> </w:t>
      </w:r>
      <w:r>
        <w:t xml:space="preserve">MAD-ATMA combine coordinate information from several updates and finish close</w:t>
      </w:r>
      <w:r>
        <w:t xml:space="preserve"> </w:t>
      </w:r>
      <w:r>
        <w:t xml:space="preserve">to the clean baseline.</w:t>
      </w:r>
    </w:p>
    <w:bookmarkStart w:id="34" w:name="fig:final_accuracy"/>
    <w:p>
      <w:pPr>
        <w:pStyle w:val="CaptionedFigure"/>
      </w:pPr>
      <w:r>
        <w:drawing>
          <wp:inline>
            <wp:extent cx="2925000" cy="214990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dia/figure2_final_accuracy_actu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000" cy="2149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ETASRfigurecaption"/>
      </w:pPr>
      <w:r>
        <w:t xml:space="preserve">Final accuracy at round 20. Error bars are 95% confidence intervals</w:t>
      </w:r>
      <w:r>
        <w:t xml:space="preserve"> </w:t>
      </w:r>
      <w:r>
        <w:t xml:space="preserve">computed with Student’s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for three seeds.</w:t>
      </w:r>
    </w:p>
    <w:bookmarkEnd w:id="34"/>
    <w:p>
      <w:pPr>
        <w:pStyle w:val="ETASRbodytext"/>
        <w:jc w:val="both"/>
      </w:pPr>
      <w:r>
        <w:t xml:space="preserve">MAD-ATMA and TrimmedMean differ by only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t xml:space="preserve">percentage points on average,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0.967</m:t>
        </m:r>
      </m:oMath>
      <w:r>
        <w:t xml:space="preserve">. Thus, no significant final-accuracy difference is detected;</w:t>
      </w:r>
      <w:r>
        <w:t xml:space="preserve"> </w:t>
      </w:r>
      <w:r>
        <w:t xml:space="preserve">this is not an equivalence test and does not prove that the methods are</w:t>
      </w:r>
      <w:r>
        <w:t xml:space="preserve"> </w:t>
      </w:r>
      <w:r>
        <w:t xml:space="preserve">identical. MAD-ATMA starts at 0.10, moves to approximately 0.15 after the first</w:t>
      </w:r>
      <w:r>
        <w:t xml:space="preserve"> </w:t>
      </w:r>
      <w:r>
        <w:t xml:space="preserve">round, and reaches final ratios of 0.213, 0.238, and 0.200 for seeds 42, 43, and</w:t>
      </w:r>
      <w:r>
        <w:t xml:space="preserve"> </w:t>
      </w:r>
      <w:r>
        <w:t xml:space="preserve">44. The observed range across all rounds is 0.150–0.238, demonstrating that</w:t>
      </w:r>
      <w:r>
        <w:t xml:space="preserve"> </w:t>
      </w:r>
      <w:r>
        <w:t xml:space="preserve">the rule is not fixed at the known 20% Byzantine fraction.</w:t>
      </w:r>
    </w:p>
    <w:bookmarkStart w:id="35" w:name="detection-and-krum-selection"/>
    <w:p>
      <w:pPr>
        <w:pStyle w:val="ETASRHeading2"/>
      </w:pPr>
      <w:r>
        <w:t xml:space="preserve">Detection and Krum Selection</w:t>
      </w:r>
    </w:p>
    <w:p>
      <w:pPr>
        <w:pStyle w:val="ETASRbodytext"/>
        <w:jc w:val="both"/>
      </w:pPr>
      <w:r>
        <w:t xml:space="preserve">Across 60 MAD-ATMA rounds, there are 240 Byzantine client-round instances and</w:t>
      </w:r>
      <w:r>
        <w:t xml:space="preserve"> </w:t>
      </w:r>
      <w:r>
        <w:t xml:space="preserve">960 honest instances. MAD-ATMA produces 240 true positives, eight false</w:t>
      </w:r>
      <w:r>
        <w:t xml:space="preserve"> </w:t>
      </w:r>
      <w:r>
        <w:t xml:space="preserve">positives, no false negatives, and 952 true negatives. Precision is 96.77%,</w:t>
      </w:r>
      <w:r>
        <w:t xml:space="preserve"> </w:t>
      </w:r>
      <w:r>
        <w:t xml:space="preserve">recall is 100%, and F1 is 98.36%. The number of flags per round ranges from</w:t>
      </w:r>
      <w:r>
        <w:t xml:space="preserve"> </w:t>
      </w:r>
      <w:r>
        <w:t xml:space="preserve">four to six. The eight false positives explain why the adaptive ratio sometimes</w:t>
      </w:r>
      <w:r>
        <w:t xml:space="preserve"> </w:t>
      </w:r>
      <w:r>
        <w:t xml:space="preserve">rises above 0.20. These metrics concern the explicit attack used here and</w:t>
      </w:r>
      <w:r>
        <w:t xml:space="preserve"> </w:t>
      </w:r>
      <w:r>
        <w:t xml:space="preserve">should not be interpreted as performance against the ledger-informed condition</w:t>
      </w:r>
      <w:r>
        <w:t xml:space="preserve"> </w:t>
      </w:r>
      <w:r>
        <w:t xml:space="preserve">reported below.</w:t>
      </w:r>
    </w:p>
    <w:p>
      <w:pPr>
        <w:pStyle w:val="ETASRbodytext"/>
        <w:jc w:val="both"/>
      </w:pPr>
      <w:r>
        <w:t xml:space="preserve">Corrected Krum selects an honest client in all 60 evaluated rounds. Its lower</w:t>
      </w:r>
      <w:r>
        <w:t xml:space="preserve"> </w:t>
      </w:r>
      <w:r>
        <w:t xml:space="preserve">accuracy therefore does not indicate Byzantine selection; it reflects the</w:t>
      </w:r>
      <w:r>
        <w:t xml:space="preserve"> </w:t>
      </w:r>
      <w:r>
        <w:t xml:space="preserve">utility cost of reducing a heterogeneous 20-client round to one update.</w:t>
      </w:r>
    </w:p>
    <w:bookmarkEnd w:id="35"/>
    <w:bookmarkStart w:id="37" w:name="measured-blockchain-evidence"/>
    <w:p>
      <w:pPr>
        <w:pStyle w:val="ETASRHeading2"/>
      </w:pPr>
      <w:r>
        <w:t xml:space="preserve">Measured Blockchain Evidence</w:t>
      </w:r>
    </w:p>
    <w:bookmarkStart w:id="36" w:name="tab:blockchain_actual"/>
    <w:p>
      <w:pPr>
        <w:pStyle w:val="ETASRtablehead"/>
      </w:pPr>
      <w:r>
        <w:t xml:space="preserve">Measured Ganache Audit Transactions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sured Ganache Audit Transac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Operation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Count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Mean Gas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Contract deployment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789,893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Client update record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400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76,669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Round finalization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20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159,517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Total measured gas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–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34,647,901</w:t>
            </w:r>
          </w:p>
        </w:tc>
      </w:tr>
    </w:tbl>
    <w:bookmarkEnd w:id="36"/>
    <w:p>
      <w:pPr>
        <w:pStyle w:val="ETASRbodytext"/>
        <w:jc w:val="both"/>
      </w:pPr>
      <w:r>
        <w:t xml:space="preserve">The audited run deploys contract</w:t>
      </w:r>
      <w:r>
        <w:t xml:space="preserve"> </w:t>
      </w:r>
      <w:r>
        <w:rPr>
          <w:rStyle w:val="VerbatimChar"/>
        </w:rPr>
        <w:t xml:space="preserve">0xe78A...a8Ab</w:t>
      </w:r>
      <w:r>
        <w:t xml:space="preserve">; the complete address</w:t>
      </w:r>
      <w:r>
        <w:t xml:space="preserve"> </w:t>
      </w:r>
      <w:r>
        <w:t xml:space="preserve">is preserved in the result artifact. Deployment occurs in block 1.</w:t>
      </w:r>
      <w:r>
        <w:t xml:space="preserve"> </w:t>
      </w:r>
      <w:r>
        <w:t xml:space="preserve">The run then records 400 client updates and 20 round summaries in 420</w:t>
      </w:r>
      <w:r>
        <w:t xml:space="preserve"> </w:t>
      </w:r>
      <w:r>
        <w:t xml:space="preserve">transactions, all with receipt status 1. The final block is 421. Total measured</w:t>
      </w:r>
      <w:r>
        <w:t xml:space="preserve"> </w:t>
      </w:r>
      <w:r>
        <w:t xml:space="preserve">gas including deployment is 34,647,901. All client commitments, flags, existence</w:t>
      </w:r>
      <w:r>
        <w:t xml:space="preserve"> </w:t>
      </w:r>
      <w:r>
        <w:t xml:space="preserve">bits, aggregate commitments, submitted counts, flagged counts, trim counts,</w:t>
      </w:r>
      <w:r>
        <w:t xml:space="preserve"> </w:t>
      </w:r>
      <w:r>
        <w:t xml:space="preserve">timestamps, and finalized bits pass contract read-back verification. Simulated</w:t>
      </w:r>
      <w:r>
        <w:t xml:space="preserve"> </w:t>
      </w:r>
      <w:r>
        <w:t xml:space="preserve">duplicate client and round writes revert without changing block 421. These are</w:t>
      </w:r>
      <w:r>
        <w:t xml:space="preserve"> </w:t>
      </w:r>
      <w:r>
        <w:t xml:space="preserve">local EVM execution measurements, not Ethereum-mainnet cost, latency, or</w:t>
      </w:r>
      <w:r>
        <w:t xml:space="preserve"> </w:t>
      </w:r>
      <w:r>
        <w:t xml:space="preserve">decentralization claims.</w:t>
      </w:r>
    </w:p>
    <w:bookmarkEnd w:id="37"/>
    <w:bookmarkStart w:id="43" w:name="transparency-paradox-results"/>
    <w:p>
      <w:pPr>
        <w:pStyle w:val="ETASRHeading2"/>
      </w:pPr>
      <w:r>
        <w:t xml:space="preserve">Transparency Paradox Results</w:t>
      </w:r>
    </w:p>
    <w:bookmarkStart w:id="38" w:name="tab:transparency_actual"/>
    <w:p>
      <w:pPr>
        <w:pStyle w:val="ETASRtablehead"/>
      </w:pPr>
      <w:r>
        <w:t xml:space="preserve">Transparency Paradox Results Across Three Seeds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nsparency Paradox Results Across Three Seed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Condition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Accuracy (%)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Recall (%)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Undetected (%)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Scale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Blind attacker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78.22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1.98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100.0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0.0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5.00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Ledger-informed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76.59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1.65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47.5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52.5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1.63</w:t>
            </w:r>
          </w:p>
        </w:tc>
      </w:tr>
    </w:tbl>
    <w:bookmarkEnd w:id="38"/>
    <w:p>
      <w:pPr>
        <w:pStyle w:val="ETASRbodytext"/>
        <w:jc w:val="both"/>
      </w:pPr>
      <w:r>
        <w:t xml:space="preserve">The blind condition reproduces the main MAD-ATMA accuracies</w:t>
      </w:r>
      <w:r>
        <w:t xml:space="preserve"> </w:t>
      </w:r>
      <w:r>
        <w:t xml:space="preserve">(</w:t>
      </w:r>
      <m:oMath>
        <m:r>
          <m:t>78.22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1.98</m:t>
        </m:r>
        <m:r>
          <m:rPr>
            <m:sty m:val="p"/>
          </m:rPr>
          <m:t>%</m:t>
        </m:r>
      </m:oMath>
      <w:r>
        <w:t xml:space="preserve">) and detects all 240 Byzantine client-round updates. The</w:t>
      </w:r>
      <w:r>
        <w:t xml:space="preserve"> </w:t>
      </w:r>
      <w:r>
        <w:t xml:space="preserve">ledger-informed condition performs 228 flag queries, implemented as 456</w:t>
      </w:r>
      <w:r>
        <w:t xml:space="preserve"> </w:t>
      </w:r>
      <w:r>
        <w:t xml:space="preserve">contract view calls including existence checks, reduces its mean attack scale</w:t>
      </w:r>
      <w:r>
        <w:t xml:space="preserve"> </w:t>
      </w:r>
      <w:r>
        <w:t xml:space="preserve">from 5.00 to 1.63, and leaves 126 of 240 Byzantine updates unflagged. Detection</w:t>
      </w:r>
      <w:r>
        <w:t xml:space="preserve"> </w:t>
      </w:r>
      <w:r>
        <w:t xml:space="preserve">recall therefore falls from 100% to 47.5%.</w:t>
      </w:r>
    </w:p>
    <w:p>
      <w:pPr>
        <w:pStyle w:val="ETASRbodytext"/>
        <w:jc w:val="both"/>
      </w:pPr>
      <w:r>
        <w:t xml:space="preserve">Final accuracy under ledger information is</w:t>
      </w:r>
      <w:r>
        <w:t xml:space="preserve"> </w:t>
      </w:r>
      <m:oMath>
        <m:r>
          <m:t>76.59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1.65</m:t>
        </m:r>
        <m:r>
          <m:rPr>
            <m:sty m:val="p"/>
          </m:rPr>
          <m:t>%</m:t>
        </m:r>
      </m:oMath>
      <w:r>
        <w:t xml:space="preserve">, which is 1.62</w:t>
      </w:r>
      <w:r>
        <w:t xml:space="preserve"> </w:t>
      </w:r>
      <w:r>
        <w:t xml:space="preserve">percentage points below the blind condition. The seedwise reductions are 1.36,</w:t>
      </w:r>
      <w:r>
        <w:t xml:space="preserve"> </w:t>
      </w:r>
      <w:r>
        <w:t xml:space="preserve">2.01, and 1.50 points, with paired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0.0145</m:t>
        </m:r>
      </m:oMath>
      <w:r>
        <w:t xml:space="preserve">. This provides evidence of an</w:t>
      </w:r>
      <w:r>
        <w:t xml:space="preserve"> </w:t>
      </w:r>
      <w:r>
        <w:t xml:space="preserve">attacker advantage for the prespecified feedback controller: public flags improve</w:t>
      </w:r>
      <w:r>
        <w:t xml:space="preserve"> </w:t>
      </w:r>
      <w:r>
        <w:t xml:space="preserve">evasion and are associated with a small additional utility loss.</w:t>
      </w:r>
    </w:p>
    <w:bookmarkStart w:id="42" w:name="fig:transparency"/>
    <w:p>
      <w:pPr>
        <w:pStyle w:val="CaptionedFigure"/>
      </w:pPr>
      <w:r>
        <w:drawing>
          <wp:inline>
            <wp:extent cx="2925000" cy="95353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figure3_transparency_actua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000" cy="95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ETASRfigurecaption"/>
      </w:pPr>
      <w:r>
        <w:t xml:space="preserve">Measured Transparency Paradox. Blind and ledger-informed attackers use</w:t>
      </w:r>
      <w:r>
        <w:t xml:space="preserve"> </w:t>
      </w:r>
      <w:r>
        <w:t xml:space="preserve">identical training and contracts. The informed attacker reads previous-round</w:t>
      </w:r>
      <w:r>
        <w:t xml:space="preserve"> </w:t>
      </w:r>
      <w:r>
        <w:t xml:space="preserve">flags, lowers its scale, reduces detection recall, and is associated with a</w:t>
      </w:r>
      <w:r>
        <w:t xml:space="preserve"> </w:t>
      </w:r>
      <w:r>
        <w:t xml:space="preserve">1.62-point additional final-accuracy loss. The band in (c) spans the three</w:t>
      </w:r>
      <w:r>
        <w:t xml:space="preserve"> </w:t>
      </w:r>
      <w:r>
        <w:t xml:space="preserve">seeds.</w:t>
      </w:r>
    </w:p>
    <w:bookmarkEnd w:id="42"/>
    <w:p>
      <w:pPr>
        <w:pStyle w:val="ETASRbodytext"/>
        <w:jc w:val="both"/>
      </w:pPr>
      <w:r>
        <w:t xml:space="preserve">The defender nevertheless retains complete committed-field audit evidence. Six</w:t>
      </w:r>
      <w:r>
        <w:t xml:space="preserve"> </w:t>
      </w:r>
      <w:r>
        <w:t xml:space="preserve">contracts record 2,400 client commitments and 120 finalized round summaries in</w:t>
      </w:r>
      <w:r>
        <w:t xml:space="preserve"> </w:t>
      </w:r>
      <w:r>
        <w:t xml:space="preserve">2,520 successful transactions; all stored client and summary fields pass</w:t>
      </w:r>
      <w:r>
        <w:t xml:space="preserve"> </w:t>
      </w:r>
      <w:r>
        <w:t xml:space="preserve">read-back verification. The 456 attacker view calls are state-free and do not</w:t>
      </w:r>
      <w:r>
        <w:t xml:space="preserve"> </w:t>
      </w:r>
      <w:r>
        <w:t xml:space="preserve">modify the ledger. Thus, the empirical resolution is a bounded tradeoff rather</w:t>
      </w:r>
      <w:r>
        <w:t xml:space="preserve"> </w:t>
      </w:r>
      <w:r>
        <w:t xml:space="preserve">than a claim that transparency is uniformly beneficial: transparency aids</w:t>
      </w:r>
      <w:r>
        <w:t xml:space="preserve"> </w:t>
      </w:r>
      <w:r>
        <w:t xml:space="preserve">adaptive evasion while preserving a complete read-back-verified record for</w:t>
      </w:r>
      <w:r>
        <w:t xml:space="preserve"> </w:t>
      </w:r>
      <w:r>
        <w:t xml:space="preserve">subsequent response.</w:t>
      </w:r>
    </w:p>
    <w:bookmarkEnd w:id="43"/>
    <w:bookmarkEnd w:id="44"/>
    <w:bookmarkStart w:id="50" w:name="discussion"/>
    <w:p>
      <w:pPr>
        <w:pStyle w:val="ETASRHeading1"/>
      </w:pPr>
      <w:r>
        <w:t xml:space="preserve">Discussion</w:t>
      </w:r>
    </w:p>
    <w:bookmarkStart w:id="46" w:name="comparative-interpretation"/>
    <w:p>
      <w:pPr>
        <w:pStyle w:val="ETASRHeading2"/>
      </w:pPr>
      <w:r>
        <w:t xml:space="preserve">Comparative Interpretation</w:t>
      </w:r>
    </w:p>
    <w:p>
      <w:pPr>
        <w:pStyle w:val="ETASRbodytext"/>
        <w:jc w:val="both"/>
      </w:pPr>
      <w:r>
        <w:t xml:space="preserve">The comparison supports three bounded conclusions. First, the combined</w:t>
      </w:r>
      <w:r>
        <w:t xml:space="preserve"> </w:t>
      </w:r>
      <w:r>
        <w:t xml:space="preserve">label-flip and scaled-update attack severely damages both sample-weighted FedAvg</w:t>
      </w:r>
      <w:r>
        <w:t xml:space="preserve"> </w:t>
      </w:r>
      <w:r>
        <w:t xml:space="preserve">and an equal-client mean. The latter performs 9.58 points better, showing that</w:t>
      </w:r>
      <w:r>
        <w:t xml:space="preserve"> </w:t>
      </w:r>
      <w:r>
        <w:t xml:space="preserve">the reported magnitude of FedAvg degradation is partly sensitive to aggregation</w:t>
      </w:r>
      <w:r>
        <w:t xml:space="preserve"> </w:t>
      </w:r>
      <w:r>
        <w:t xml:space="preserve">weights. The experiment does not establish a monotonic causal relationship</w:t>
      </w:r>
      <w:r>
        <w:t xml:space="preserve"> </w:t>
      </w:r>
      <w:r>
        <w:t xml:space="preserve">between Byzantine sample share and accuracy. Second, coordinate-wise trimming</w:t>
      </w:r>
      <w:r>
        <w:t xml:space="preserve"> </w:t>
      </w:r>
      <w:r>
        <w:t xml:space="preserve">preserves substantially more utility than single-update Krum under the</w:t>
      </w:r>
      <w:r>
        <w:t xml:space="preserve"> </w:t>
      </w:r>
      <w:r>
        <w:t xml:space="preserve">evaluated non-IID partitions. Krum selects no Byzantine update, so its lower</w:t>
      </w:r>
      <w:r>
        <w:t xml:space="preserve"> </w:t>
      </w:r>
      <w:r>
        <w:t xml:space="preserve">accuracy is better explained by discarding information from 19 clients than by</w:t>
      </w:r>
      <w:r>
        <w:t xml:space="preserve"> </w:t>
      </w:r>
      <w:r>
        <w:t xml:space="preserve">a selection failure. Third, MAD-ATMA tracks the observed outlier fraction and</w:t>
      </w:r>
      <w:r>
        <w:t xml:space="preserve"> </w:t>
      </w:r>
      <w:r>
        <w:t xml:space="preserve">obtains essentially the same final accuracy as a static rule supplied with the</w:t>
      </w:r>
      <w:r>
        <w:t xml:space="preserve"> </w:t>
      </w:r>
      <w:r>
        <w:t xml:space="preserve">correct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bound. Its demonstrated benefit is automatic adjustment and</w:t>
      </w:r>
      <w:r>
        <w:t xml:space="preserve"> </w:t>
      </w:r>
      <w:r>
        <w:t xml:space="preserve">diagnostic client flags, not superior accuracy.</w:t>
      </w:r>
    </w:p>
    <w:bookmarkStart w:id="45" w:name="tab:method_scope"/>
    <w:p>
      <w:pPr>
        <w:pStyle w:val="ETASRtablehead"/>
      </w:pPr>
      <w:r>
        <w:t xml:space="preserve">Scope of Compared Robust Aggregators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ope of Compared Robust Aggregator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Method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Exact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?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Aggregation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Audited here?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Krum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Yes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Single update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No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TrimmedMean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Yes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Coordinate mean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No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MAD-ATMA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No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Adaptive mean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Yes</w:t>
            </w:r>
          </w:p>
        </w:tc>
      </w:tr>
    </w:tbl>
    <w:bookmarkEnd w:id="45"/>
    <w:p>
      <w:pPr>
        <w:pStyle w:val="ETASRbodytext"/>
        <w:jc w:val="both"/>
      </w:pPr>
      <w:r>
        <w:t xml:space="preserve">“No exact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in Table </w:t>
      </w:r>
      <w:hyperlink w:anchor="tab:method_scope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does not mean parameter free.</w:t>
      </w:r>
      <w:r>
        <w:t xml:space="preserve"> </w:t>
      </w:r>
      <w:r>
        <w:t xml:space="preserve">MAD-ATMA uses a robust-score threshold, smoothing rate, and 5–25% safety</w:t>
      </w:r>
      <w:r>
        <w:t xml:space="preserve"> </w:t>
      </w:r>
      <w:r>
        <w:t xml:space="preserve">interval. Its upper limit is intentionally different from the actual 20%</w:t>
      </w:r>
      <w:r>
        <w:t xml:space="preserve"> </w:t>
      </w:r>
      <w:r>
        <w:t xml:space="preserve">Byzantine fraction, but future work must evaluate sensitivity to these</w:t>
      </w:r>
      <w:r>
        <w:t xml:space="preserve"> </w:t>
      </w:r>
      <w:r>
        <w:t xml:space="preserve">hyperparameters and to changing attack prevalence. FedATM of Nishimoto et</w:t>
      </w:r>
      <w:r>
        <w:t xml:space="preserve"> </w:t>
      </w:r>
      <w:r>
        <w:t xml:space="preserve">al. [17] also adapts trimming from model distances, but it ranks</w:t>
      </w:r>
      <w:r>
        <w:t xml:space="preserve"> </w:t>
      </w:r>
      <w:r>
        <w:t xml:space="preserve">local models and applies a distance-based retention threshold. MAD-ATMA instead</w:t>
      </w:r>
      <w:r>
        <w:t xml:space="preserve"> </w:t>
      </w:r>
      <w:r>
        <w:t xml:space="preserve">measures every update against a coordinate-median reference, standardizes those</w:t>
      </w:r>
      <w:r>
        <w:t xml:space="preserve"> </w:t>
      </w:r>
      <w:r>
        <w:t xml:space="preserve">distances with MAD, and smooths the flagged fraction into a bounded</w:t>
      </w:r>
      <w:r>
        <w:t xml:space="preserve"> </w:t>
      </w:r>
      <w:r>
        <w:t xml:space="preserve">coordinate-wise trim ratio. The later ATMA of Mukisa et</w:t>
      </w:r>
      <w:r>
        <w:t xml:space="preserve"> </w:t>
      </w:r>
      <w:r>
        <w:t xml:space="preserve">al. [18] is variance-aware and layer-wise in an</w:t>
      </w:r>
      <w:r>
        <w:t xml:space="preserve"> </w:t>
      </w:r>
      <w:r>
        <w:t xml:space="preserve">intrusion-detection setting. These three methods therefore share adaptive</w:t>
      </w:r>
      <w:r>
        <w:t xml:space="preserve"> </w:t>
      </w:r>
      <w:r>
        <w:t xml:space="preserve">trimming terminology but use different scoring variables, threshold mechanisms,</w:t>
      </w:r>
      <w:r>
        <w:t xml:space="preserve"> </w:t>
      </w:r>
      <w:r>
        <w:t xml:space="preserve">and aggregation pipelines.</w:t>
      </w:r>
    </w:p>
    <w:bookmarkEnd w:id="46"/>
    <w:bookmarkStart w:id="47" w:name="resolution-of-the-transparency-paradox"/>
    <w:p>
      <w:pPr>
        <w:pStyle w:val="ETASRHeading2"/>
      </w:pPr>
      <w:r>
        <w:t xml:space="preserve">Resolution of the Transparency Paradox</w:t>
      </w:r>
    </w:p>
    <w:p>
      <w:pPr>
        <w:pStyle w:val="ETASRbodytext"/>
        <w:jc w:val="both"/>
      </w:pPr>
      <w:r>
        <w:t xml:space="preserve">The paradox is operationally bounded for the stated experiment by measuring both</w:t>
      </w:r>
      <w:r>
        <w:t xml:space="preserve"> </w:t>
      </w:r>
      <w:r>
        <w:t xml:space="preserve">sides of the same public information. From the attacker perspective,</w:t>
      </w:r>
      <w:r>
        <w:t xml:space="preserve"> </w:t>
      </w:r>
      <w:r>
        <w:t xml:space="preserve">previous-round flags provide useful feedback: the controller more than halves</w:t>
      </w:r>
      <w:r>
        <w:t xml:space="preserve"> </w:t>
      </w:r>
      <w:r>
        <w:t xml:space="preserve">detection recall and produces a statistically detectable 1.62-point additional</w:t>
      </w:r>
      <w:r>
        <w:t xml:space="preserve"> </w:t>
      </w:r>
      <w:r>
        <w:t xml:space="preserve">accuracy loss. From the defender perspective, this adaptation cannot erase or</w:t>
      </w:r>
      <w:r>
        <w:t xml:space="preserve"> </w:t>
      </w:r>
      <w:r>
        <w:t xml:space="preserve">rewrite the 2,520 transactions that expose submitted commitments, server flags,</w:t>
      </w:r>
      <w:r>
        <w:t xml:space="preserve"> </w:t>
      </w:r>
      <w:r>
        <w:t xml:space="preserve">trim decisions, and aggregate commitments.</w:t>
      </w:r>
    </w:p>
    <w:p>
      <w:pPr>
        <w:pStyle w:val="ETASRbodytext"/>
        <w:jc w:val="both"/>
      </w:pPr>
      <w:r>
        <w:t xml:space="preserve">These quantities are not directly commensurate, so the experiment does not</w:t>
      </w:r>
      <w:r>
        <w:t xml:space="preserve"> </w:t>
      </w:r>
      <w:r>
        <w:t xml:space="preserve">claim a universal net-benefit score. Instead, it rejects two simplistic</w:t>
      </w:r>
      <w:r>
        <w:t xml:space="preserve"> </w:t>
      </w:r>
      <w:r>
        <w:t xml:space="preserve">positions. Transparency is not attacker-neutral because it enables evasion; it</w:t>
      </w:r>
      <w:r>
        <w:t xml:space="preserve"> </w:t>
      </w:r>
      <w:r>
        <w:t xml:space="preserve">is also not equivalent to surrendering integrity because every adaptive action</w:t>
      </w:r>
      <w:r>
        <w:t xml:space="preserve"> </w:t>
      </w:r>
      <w:r>
        <w:t xml:space="preserve">still occurs against a complete committed-field write-once audit record.</w:t>
      </w:r>
      <w:r>
        <w:t xml:space="preserve"> </w:t>
      </w:r>
      <w:r>
        <w:t xml:space="preserve">Operational deployment therefore requires delayed disclosure, access control, or</w:t>
      </w:r>
      <w:r>
        <w:t xml:space="preserve"> </w:t>
      </w:r>
      <w:r>
        <w:t xml:space="preserve">detector randomization when immediate public flags create unacceptable feedback.</w:t>
      </w:r>
    </w:p>
    <w:bookmarkEnd w:id="47"/>
    <w:bookmarkStart w:id="48" w:name="contribution-of-blockchain"/>
    <w:p>
      <w:pPr>
        <w:pStyle w:val="ETASRHeading2"/>
      </w:pPr>
      <w:r>
        <w:t xml:space="preserve">Contribution of Blockchain</w:t>
      </w:r>
    </w:p>
    <w:p>
      <w:pPr>
        <w:pStyle w:val="ETASRbodytext"/>
        <w:jc w:val="both"/>
      </w:pPr>
      <w:r>
        <w:t xml:space="preserve">The blockchain component contributes write-once commitments and reproducible</w:t>
      </w:r>
      <w:r>
        <w:t xml:space="preserve"> </w:t>
      </w:r>
      <w:r>
        <w:t xml:space="preserve">execution evidence, not robust aggregation. Detection is performed off-chain</w:t>
      </w:r>
      <w:r>
        <w:t xml:space="preserve"> </w:t>
      </w:r>
      <w:r>
        <w:t xml:space="preserve">before its output is committed. Storing SHA-256 commitments rather than</w:t>
      </w:r>
      <w:r>
        <w:t xml:space="preserve"> </w:t>
      </w:r>
      <w:r>
        <w:t xml:space="preserve">105,866-parameter tensors limits on-chain payload size. The contract prevents</w:t>
      </w:r>
      <w:r>
        <w:t xml:space="preserve"> </w:t>
      </w:r>
      <w:r>
        <w:t xml:space="preserve">the coordinator from overwriting a populated round–client slot or finalized</w:t>
      </w:r>
      <w:r>
        <w:t xml:space="preserve"> </w:t>
      </w:r>
      <w:r>
        <w:t xml:space="preserve">round, and later readers can compare local tensors and metadata with the stored</w:t>
      </w:r>
      <w:r>
        <w:t xml:space="preserve"> </w:t>
      </w:r>
      <w:r>
        <w:t xml:space="preserve">commitments.</w:t>
      </w:r>
    </w:p>
    <w:p>
      <w:pPr>
        <w:pStyle w:val="ETASRbodytext"/>
        <w:jc w:val="both"/>
      </w:pPr>
      <w:r>
        <w:t xml:space="preserve">This guarantee is narrower than saying that the complete FL system is</w:t>
      </w:r>
      <w:r>
        <w:t xml:space="preserve"> </w:t>
      </w:r>
      <w:r>
        <w:t xml:space="preserve">immutable. A trusted coordinator can still commit an incorrect hash on its</w:t>
      </w:r>
      <w:r>
        <w:t xml:space="preserve"> </w:t>
      </w:r>
      <w:r>
        <w:t xml:space="preserve">first write, and the single-node Ganache chain does not provide independent</w:t>
      </w:r>
      <w:r>
        <w:t xml:space="preserve"> </w:t>
      </w:r>
      <w:r>
        <w:t xml:space="preserve">validators. The experiments therefore validate contract execution, write-once</w:t>
      </w:r>
      <w:r>
        <w:t xml:space="preserve"> </w:t>
      </w:r>
      <w:r>
        <w:t xml:space="preserve">storage, transaction receipts, public view calls, and read-back semantics. They</w:t>
      </w:r>
      <w:r>
        <w:t xml:space="preserve"> </w:t>
      </w:r>
      <w:r>
        <w:t xml:space="preserve">do not validate</w:t>
      </w:r>
      <w:r>
        <w:t xml:space="preserve"> </w:t>
      </w:r>
      <w:r>
        <w:t xml:space="preserve">decentralized consensus, public-network latency, client authentication,</w:t>
      </w:r>
      <w:r>
        <w:t xml:space="preserve"> </w:t>
      </w:r>
      <w:r>
        <w:t xml:space="preserve">economic feasibility, or resistance to coordinator compromise.</w:t>
      </w:r>
    </w:p>
    <w:bookmarkEnd w:id="48"/>
    <w:bookmarkStart w:id="49" w:name="limitations"/>
    <w:p>
      <w:pPr>
        <w:pStyle w:val="ETASRHeading2"/>
      </w:pPr>
      <w:r>
        <w:t xml:space="preserve">Limitations</w:t>
      </w:r>
    </w:p>
    <w:p>
      <w:pPr>
        <w:pStyle w:val="ETASRbodytext"/>
        <w:jc w:val="both"/>
      </w:pPr>
      <w:r>
        <w:t xml:space="preserve">This study uses one dataset, one CNN, 20 clients, 20 rounds, three seeds, and</w:t>
      </w:r>
      <w:r>
        <w:t xml:space="preserve"> </w:t>
      </w:r>
      <w:r>
        <w:t xml:space="preserve">one combined untargeted attack. The local computation is capped at three</w:t>
      </w:r>
      <w:r>
        <w:t xml:space="preserve"> </w:t>
      </w:r>
      <w:r>
        <w:t xml:space="preserve">mini-batches per client per round. Blockchain validation uses a single-node</w:t>
      </w:r>
      <w:r>
        <w:t xml:space="preserve"> </w:t>
      </w:r>
      <w:r>
        <w:t xml:space="preserve">Ganache environment rather than independent validators. No claim is made</w:t>
      </w:r>
      <w:r>
        <w:t xml:space="preserve"> </w:t>
      </w:r>
      <w:r>
        <w:t xml:space="preserve">regarding live Layer-2 deployment, production readiness, or dollar-denominated</w:t>
      </w:r>
      <w:r>
        <w:t xml:space="preserve"> </w:t>
      </w:r>
      <w:r>
        <w:t xml:space="preserve">cost.</w:t>
      </w:r>
    </w:p>
    <w:p>
      <w:pPr>
        <w:pStyle w:val="ETASRbodytext"/>
        <w:jc w:val="both"/>
      </w:pPr>
      <w:r>
        <w:t xml:space="preserve">The primary FedAvg baseline uses canonical partition-size weighting, whereas</w:t>
      </w:r>
      <w:r>
        <w:t xml:space="preserve"> </w:t>
      </w:r>
      <w:r>
        <w:t xml:space="preserve">the robust rules are client-symmetric. The equal-client sensitivity run reduces</w:t>
      </w:r>
      <w:r>
        <w:t xml:space="preserve"> </w:t>
      </w:r>
      <w:r>
        <w:t xml:space="preserve">this comparability concern but does not replace a broader study of weighted</w:t>
      </w:r>
      <w:r>
        <w:t xml:space="preserve"> </w:t>
      </w:r>
      <w:r>
        <w:t xml:space="preserve">robust aggregators, balanced partitions, or alternative client objectives.</w:t>
      </w:r>
    </w:p>
    <w:p>
      <w:pPr>
        <w:pStyle w:val="ETASRbodytext"/>
        <w:jc w:val="both"/>
      </w:pPr>
      <w:r>
        <w:t xml:space="preserve">This study evaluates one combined untargeted attack consisting of cyclic label</w:t>
      </w:r>
      <w:r>
        <w:t xml:space="preserve"> </w:t>
      </w:r>
      <w:r>
        <w:t xml:space="preserve">flipping and scaled model updates. More sophisticated attacks, including the A</w:t>
      </w:r>
      <w:r>
        <w:t xml:space="preserve"> </w:t>
      </w:r>
      <w:r>
        <w:t xml:space="preserve">Little Is Enough attack introduced by Baruch et al. [10] and</w:t>
      </w:r>
      <w:r>
        <w:t xml:space="preserve"> </w:t>
      </w:r>
      <w:r>
        <w:t xml:space="preserve">targeted backdoor attacks studied by Sun et al. [11], remain outside</w:t>
      </w:r>
      <w:r>
        <w:t xml:space="preserve"> </w:t>
      </w:r>
      <w:r>
        <w:t xml:space="preserve">the present scope. The fixed Byzantine IDs also make detection easier to</w:t>
      </w:r>
      <w:r>
        <w:t xml:space="preserve"> </w:t>
      </w:r>
      <w:r>
        <w:t xml:space="preserve">interpret but do not test intermittent or colluding attackers. Finally, three</w:t>
      </w:r>
      <w:r>
        <w:t xml:space="preserve"> </w:t>
      </w:r>
      <w:r>
        <w:t xml:space="preserve">seeds are adequate for a reproducible correction but too few for strong claims</w:t>
      </w:r>
      <w:r>
        <w:t xml:space="preserve"> </w:t>
      </w:r>
      <w:r>
        <w:t xml:space="preserve">about population-level superiority or equivalence.</w:t>
      </w:r>
    </w:p>
    <w:p>
      <w:pPr>
        <w:pStyle w:val="ETASRbodytext"/>
        <w:jc w:val="both"/>
      </w:pPr>
      <w:r>
        <w:t xml:space="preserve">The informed attacker uses one transparent multiplicative controller and reads</w:t>
      </w:r>
      <w:r>
        <w:t xml:space="preserve"> </w:t>
      </w:r>
      <w:r>
        <w:t xml:space="preserve">only binary flags for its own four clients. It does not observe honest-client</w:t>
      </w:r>
      <w:r>
        <w:t xml:space="preserve"> </w:t>
      </w:r>
      <w:r>
        <w:t xml:space="preserve">updates, model tensors, private server state, or future decisions. Alternative</w:t>
      </w:r>
      <w:r>
        <w:t xml:space="preserve"> </w:t>
      </w:r>
      <w:r>
        <w:t xml:space="preserve">controllers, delayed disclosure, randomized detectors, different attack budgets,</w:t>
      </w:r>
      <w:r>
        <w:t xml:space="preserve"> </w:t>
      </w:r>
      <w:r>
        <w:t xml:space="preserve">and public multi-validator chains may produce a different transparency tradeoff.</w:t>
      </w:r>
    </w:p>
    <w:bookmarkEnd w:id="49"/>
    <w:bookmarkEnd w:id="50"/>
    <w:bookmarkStart w:id="51" w:name="conclusion"/>
    <w:p>
      <w:pPr>
        <w:pStyle w:val="ETASRHeading1"/>
      </w:pPr>
      <w:r>
        <w:t xml:space="preserve">Conclusion</w:t>
      </w:r>
    </w:p>
    <w:p>
      <w:pPr>
        <w:pStyle w:val="ETASRbodytext"/>
        <w:jc w:val="both"/>
      </w:pPr>
      <w:r>
        <w:t xml:space="preserve">This work empirically evaluates MAD-ATMA and provides a bounded operational</w:t>
      </w:r>
      <w:r>
        <w:t xml:space="preserve"> </w:t>
      </w:r>
      <w:r>
        <w:t xml:space="preserve">resolution of the Transparency Paradox under one reproducible protocol. A</w:t>
      </w:r>
      <w:r>
        <w:t xml:space="preserve"> </w:t>
      </w:r>
      <w:r>
        <w:t xml:space="preserve">combined label-flip and scaled-update attack reduces sample-weighted FedAvg from</w:t>
      </w:r>
      <w:r>
        <w:t xml:space="preserve"> </w:t>
      </w:r>
      <w:r>
        <w:t xml:space="preserve">82.49% clean accuracy to 22.36%. Krum reaches 60.01%, while TrimmedMean and</w:t>
      </w:r>
      <w:r>
        <w:t xml:space="preserve"> </w:t>
      </w:r>
      <w:r>
        <w:t xml:space="preserve">MAD-ATMA reach 78.23% and 78.22%, respectively. No significant final-accuracy</w:t>
      </w:r>
      <w:r>
        <w:t xml:space="preserve"> </w:t>
      </w:r>
      <w:r>
        <w:t xml:space="preserve">difference is detected between the two trimmed methods, but MAD-ATMA adapts</w:t>
      </w:r>
      <w:r>
        <w:t xml:space="preserve"> </w:t>
      </w:r>
      <w:r>
        <w:t xml:space="preserve">without being supplied the exact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trimming bound and provides diagnostic</w:t>
      </w:r>
      <w:r>
        <w:t xml:space="preserve"> </w:t>
      </w:r>
      <w:r>
        <w:t xml:space="preserve">client flags.</w:t>
      </w:r>
    </w:p>
    <w:p>
      <w:pPr>
        <w:pStyle w:val="ETASRbodytext"/>
        <w:jc w:val="both"/>
      </w:pPr>
      <w:r>
        <w:t xml:space="preserve">Ledger-informed adaptation reduces detection recall from 100% to 47.5% and is</w:t>
      </w:r>
      <w:r>
        <w:t xml:space="preserve"> </w:t>
      </w:r>
      <w:r>
        <w:t xml:space="preserve">associated with a further 1.62-point accuracy loss (</w:t>
      </w:r>
      <m:oMath>
        <m:r>
          <m:t>p</m:t>
        </m:r>
        <m:r>
          <m:rPr>
            <m:sty m:val="p"/>
          </m:rPr>
          <m:t>=</m:t>
        </m:r>
        <m:r>
          <m:t>0.0145</m:t>
        </m:r>
      </m:oMath>
      <w:r>
        <w:t xml:space="preserve">), supporting the</w:t>
      </w:r>
      <w:r>
        <w:t xml:space="preserve"> </w:t>
      </w:r>
      <w:r>
        <w:t xml:space="preserve">claim that public flags can aid attacker evasion under this controller. At the</w:t>
      </w:r>
      <w:r>
        <w:t xml:space="preserve"> </w:t>
      </w:r>
      <w:r>
        <w:t xml:space="preserve">same time, six transparency contracts preserve all 2,400 client commitments and</w:t>
      </w:r>
      <w:r>
        <w:t xml:space="preserve"> </w:t>
      </w:r>
      <w:r>
        <w:t xml:space="preserve">120 round summaries, and the main audit contract preserves another 400</w:t>
      </w:r>
      <w:r>
        <w:t xml:space="preserve"> </w:t>
      </w:r>
      <w:r>
        <w:t xml:space="preserve">commitments and 20 summaries. The paradox is therefore operationally bounded as</w:t>
      </w:r>
      <w:r>
        <w:t xml:space="preserve"> </w:t>
      </w:r>
      <w:r>
        <w:t xml:space="preserve">a measured tradeoff: immediate transparency creates attacker feedback, while</w:t>
      </w:r>
      <w:r>
        <w:t xml:space="preserve"> </w:t>
      </w:r>
      <w:r>
        <w:t xml:space="preserve">write-once logging preserves evidence that the attacker cannot remove.</w:t>
      </w:r>
    </w:p>
    <w:p>
      <w:pPr>
        <w:pStyle w:val="ETASRbodytext"/>
        <w:jc w:val="both"/>
      </w:pPr>
      <w:r>
        <w:t xml:space="preserve">Future work should increase the number of seeds and rounds, test larger and</w:t>
      </w:r>
      <w:r>
        <w:t xml:space="preserve"> </w:t>
      </w:r>
      <w:r>
        <w:t xml:space="preserve">more heterogeneous datasets, evaluate partial participation, deploy the audit</w:t>
      </w:r>
      <w:r>
        <w:t xml:space="preserve"> </w:t>
      </w:r>
      <w:r>
        <w:t xml:space="preserve">contract on a multi-node or public test network, and include ALIE, model</w:t>
      </w:r>
      <w:r>
        <w:t xml:space="preserve"> </w:t>
      </w:r>
      <w:r>
        <w:t xml:space="preserve">replacement, targeted backdoor attacks, and sensitivity analysis for the MAD</w:t>
      </w:r>
      <w:r>
        <w:t xml:space="preserve"> </w:t>
      </w:r>
      <w:r>
        <w:t xml:space="preserve">threshold, trim-ratio bounds, feedback controller, and disclosure delay.</w:t>
      </w:r>
    </w:p>
    <w:bookmarkEnd w:id="51"/>
    <w:bookmarkStart w:id="57" w:name="declarations"/>
    <w:p>
      <w:pPr>
        <w:pStyle w:val="ETASRHeading5"/>
      </w:pPr>
      <w:r>
        <w:t xml:space="preserve">Declarations</w:t>
      </w:r>
    </w:p>
    <w:bookmarkStart w:id="52" w:name="declaration-of-competing-interests"/>
    <w:p>
      <w:pPr>
        <w:pStyle w:val="ETASRHeading5"/>
      </w:pPr>
      <w:r>
        <w:t xml:space="preserve">Declaration of Competing Interests</w:t>
      </w:r>
    </w:p>
    <w:p>
      <w:pPr>
        <w:pStyle w:val="ETASRbodytext"/>
        <w:jc w:val="both"/>
      </w:pPr>
      <w:r>
        <w:t xml:space="preserve">The authors declare that they have no known competing financial interests or</w:t>
      </w:r>
      <w:r>
        <w:t xml:space="preserve"> </w:t>
      </w:r>
      <w:r>
        <w:t xml:space="preserve">personal relationships that could have appeared to influence the work reported</w:t>
      </w:r>
      <w:r>
        <w:t xml:space="preserve"> </w:t>
      </w:r>
      <w:r>
        <w:t xml:space="preserve">in this article.</w:t>
      </w:r>
    </w:p>
    <w:bookmarkEnd w:id="52"/>
    <w:bookmarkStart w:id="53" w:name="acknowledgment"/>
    <w:p>
      <w:pPr>
        <w:pStyle w:val="ETASRHeading5"/>
      </w:pPr>
      <w:r>
        <w:t xml:space="preserve">Acknowledgment</w:t>
      </w:r>
    </w:p>
    <w:p>
      <w:pPr>
        <w:pStyle w:val="ETASRbodytext"/>
        <w:jc w:val="both"/>
      </w:pPr>
      <w:r>
        <w:t xml:space="preserve">The authors would like to thank the Electrical Engineering Department, Faculty</w:t>
      </w:r>
      <w:r>
        <w:t xml:space="preserve"> </w:t>
      </w:r>
      <w:r>
        <w:t xml:space="preserve">of Engineering, Universitas Brawijaya, and the Laboratory of Internet of Things</w:t>
      </w:r>
      <w:r>
        <w:t xml:space="preserve"> </w:t>
      </w:r>
      <w:r>
        <w:t xml:space="preserve">and Human Centered Design, Faculty of Vocational Studies, Universitas Brawijaya,</w:t>
      </w:r>
      <w:r>
        <w:t xml:space="preserve"> </w:t>
      </w:r>
      <w:r>
        <w:t xml:space="preserve">for providing computational resources and supercomputer support for this</w:t>
      </w:r>
      <w:r>
        <w:t xml:space="preserve"> </w:t>
      </w:r>
      <w:r>
        <w:t xml:space="preserve">research.</w:t>
      </w:r>
    </w:p>
    <w:bookmarkEnd w:id="53"/>
    <w:bookmarkStart w:id="54" w:name="data-availability"/>
    <w:p>
      <w:pPr>
        <w:pStyle w:val="ETASRHeading5"/>
      </w:pPr>
      <w:r>
        <w:t xml:space="preserve">Data Availability</w:t>
      </w:r>
    </w:p>
    <w:p>
      <w:pPr>
        <w:pStyle w:val="ETASRbodytext"/>
        <w:jc w:val="both"/>
      </w:pPr>
      <w:r>
        <w:t xml:space="preserve">The experiment script, robust aggregation module, Solidity source, raw JSON</w:t>
      </w:r>
      <w:r>
        <w:t xml:space="preserve"> </w:t>
      </w:r>
      <w:r>
        <w:t xml:space="preserve">results, generated tables, and figure-generation code are packaged with this</w:t>
      </w:r>
      <w:r>
        <w:t xml:space="preserve"> </w:t>
      </w:r>
      <w:r>
        <w:t xml:space="preserve">revision. MNIST is publicly available from its original source and through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. The exact R4 code and results, including the equal-client</w:t>
      </w:r>
      <w:r>
        <w:t xml:space="preserve"> </w:t>
      </w:r>
      <w:r>
        <w:t xml:space="preserve">sensitivity and Transparency Paradox artifacts, are supplied in the</w:t>
      </w:r>
      <w:r>
        <w:t xml:space="preserve"> </w:t>
      </w:r>
      <w:r>
        <w:t xml:space="preserve">supplementary archive</w:t>
      </w:r>
      <w:r>
        <w:t xml:space="preserve"> </w:t>
      </w:r>
      <w:r>
        <w:rPr>
          <w:rStyle w:val="VerbatimChar"/>
        </w:rPr>
        <w:t xml:space="preserve">18579_R4_REPRODUCIBILITY_SUPPLEMENT.zip</w:t>
      </w:r>
      <w:r>
        <w:t xml:space="preserve">. A public project repository is</w:t>
      </w:r>
      <w:r>
        <w:t xml:space="preserve"> </w:t>
      </w:r>
      <w:r>
        <w:t xml:space="preserve">identified in [20]; the supplementary archive remains the</w:t>
      </w:r>
      <w:r>
        <w:t xml:space="preserve"> </w:t>
      </w:r>
      <w:r>
        <w:t xml:space="preserve">authoritative artifact for this R4 journal review.</w:t>
      </w:r>
    </w:p>
    <w:bookmarkEnd w:id="54"/>
    <w:bookmarkStart w:id="56" w:name="Xcf4387c39e876882dd3cc46f3e09850608479ab"/>
    <w:p>
      <w:pPr>
        <w:pStyle w:val="ETASRHeading5"/>
      </w:pPr>
      <w:r>
        <w:t xml:space="preserve">AI Use and Declaration of Generative AI Use</w:t>
      </w:r>
    </w:p>
    <w:p>
      <w:pPr>
        <w:pStyle w:val="ETASRbodytext"/>
        <w:jc w:val="both"/>
      </w:pPr>
      <w:r>
        <w:t xml:space="preserve">During the preparation of this revision, the authors used OpenAI Codex to assist</w:t>
      </w:r>
      <w:r>
        <w:t xml:space="preserve"> </w:t>
      </w:r>
      <w:r>
        <w:t xml:space="preserve">with code inspection and editing, experiment orchestration, consistency checks,</w:t>
      </w:r>
      <w:r>
        <w:t xml:space="preserve"> </w:t>
      </w:r>
      <w:r>
        <w:t xml:space="preserve">language editing, and LaTeX/Word document preparation. Experiments were executed</w:t>
      </w:r>
      <w:r>
        <w:t xml:space="preserve"> </w:t>
      </w:r>
      <w:r>
        <w:t xml:space="preserve">locally from author-reviewed scripts, and figures were generated</w:t>
      </w:r>
      <w:r>
        <w:t xml:space="preserve"> </w:t>
      </w:r>
      <w:r>
        <w:t xml:space="preserve">programmatically from recorded JSON results. After using this tool, the authors</w:t>
      </w:r>
      <w:r>
        <w:t xml:space="preserve"> </w:t>
      </w:r>
      <w:r>
        <w:t xml:space="preserve">reviewed and edited the code, outputs, figures, and text as needed and take full</w:t>
      </w:r>
      <w:r>
        <w:t xml:space="preserve"> </w:t>
      </w:r>
      <w:r>
        <w:t xml:space="preserve">responsibility for the content of the publication.</w:t>
      </w:r>
    </w:p>
    <w:p>
      <w:pPr>
        <w:pStyle w:val="ETASRHeading5"/>
      </w:pPr>
      <w:r>
        <w:t>References</w:t>
      </w:r>
    </w:p>
    <w:p>
      <w:pPr>
        <w:pStyle w:val="ETASRreferences"/>
        <w:jc w:val="both"/>
      </w:pPr>
      <w:r>
        <w:t xml:space="preserve">H. B. McMahan, E. Moore, D. Ramage, S. Hampson, and B. Agüera y Arcas,</w:t>
      </w:r>
      <w:r>
        <w:t xml:space="preserve"> </w:t>
      </w:r>
      <w:r>
        <w:t xml:space="preserve">“Communication-efficient learning of deep networks from decentralized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20th Int. Conf. Artif. Intell. Statist. (AISTATS)</w:t>
      </w:r>
      <w:r>
        <w:t xml:space="preserve">, vol. 54,</w:t>
      </w:r>
      <w:r>
        <w:t xml:space="preserve"> </w:t>
      </w:r>
      <w:r>
        <w:t xml:space="preserve">2017, pp. 1273–1282.</w:t>
      </w:r>
    </w:p>
    <w:p>
      <w:pPr>
        <w:pStyle w:val="ETASRreferences"/>
        <w:jc w:val="both"/>
      </w:pPr>
      <w:r>
        <w:t xml:space="preserve">P. Kairouz, H. B. McMahan, B. Avent,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“Advances and open problems in federated learning,”</w:t>
      </w:r>
      <w:r>
        <w:t xml:space="preserve"> </w:t>
      </w:r>
      <w:r>
        <w:rPr>
          <w:i/>
          <w:iCs/>
        </w:rPr>
        <w:t xml:space="preserve">Found. Trends Mach. Learn.</w:t>
      </w:r>
      <w:r>
        <w:t xml:space="preserve">, vol. 14, no. 1–2, pp. 1–210, 2021,</w:t>
      </w:r>
      <w:r>
        <w:t xml:space="preserve"> </w:t>
      </w:r>
      <w:r>
        <w:t xml:space="preserve">doi: 10.1561/2200000083.</w:t>
      </w:r>
    </w:p>
    <w:p>
      <w:pPr>
        <w:pStyle w:val="ETASRreferences"/>
        <w:jc w:val="both"/>
      </w:pPr>
      <w:r>
        <w:t xml:space="preserve">V. Mothukuri, R. M. Parizi, S. Pouriyeh, Y. Huang, A. Dehghantanha, and</w:t>
      </w:r>
      <w:r>
        <w:t xml:space="preserve"> </w:t>
      </w:r>
      <w:r>
        <w:t xml:space="preserve">G. Srivastava,</w:t>
      </w:r>
      <w:r>
        <w:t xml:space="preserve"> </w:t>
      </w:r>
      <w:r>
        <w:t xml:space="preserve">“A survey on security and privacy of federated learning,”</w:t>
      </w:r>
      <w:r>
        <w:t xml:space="preserve"> </w:t>
      </w:r>
      <w:r>
        <w:rPr>
          <w:i/>
          <w:iCs/>
        </w:rPr>
        <w:t xml:space="preserve">Future Gener. Comput. Syst.</w:t>
      </w:r>
      <w:r>
        <w:t xml:space="preserve">, vol. 115, pp. 619–640, Feb. 2021,</w:t>
      </w:r>
      <w:r>
        <w:t xml:space="preserve"> </w:t>
      </w:r>
      <w:r>
        <w:t xml:space="preserve">doi: 10.1016/j.future.2020.10.007.</w:t>
      </w:r>
    </w:p>
    <w:p>
      <w:pPr>
        <w:pStyle w:val="ETASRreferences"/>
        <w:jc w:val="both"/>
      </w:pPr>
      <w:r>
        <w:t xml:space="preserve">A. Tariq, M. A. Serhani, F. M. Sallabi, E. S. Barka, T. Qayyum, H. M. Khater,</w:t>
      </w:r>
      <w:r>
        <w:t xml:space="preserve"> </w:t>
      </w:r>
      <w:r>
        <w:t xml:space="preserve">and K. A. Shuaib,</w:t>
      </w:r>
      <w:r>
        <w:t xml:space="preserve"> </w:t>
      </w:r>
      <w:r>
        <w:t xml:space="preserve">“Trustworthy federated learning: A comprehensive review,</w:t>
      </w:r>
      <w:r>
        <w:t xml:space="preserve"> </w:t>
      </w:r>
      <w:r>
        <w:t xml:space="preserve">architecture, key challenges, and future research prospects,”</w:t>
      </w:r>
      <w:r>
        <w:t xml:space="preserve"> </w:t>
      </w:r>
      <w:r>
        <w:rPr>
          <w:i/>
          <w:iCs/>
        </w:rPr>
        <w:t xml:space="preserve">IEEE Open J. Commun. Soc.</w:t>
      </w:r>
      <w:r>
        <w:t xml:space="preserve">, vol. 5, pp. 4920–4998, 2024,</w:t>
      </w:r>
      <w:r>
        <w:t xml:space="preserve"> </w:t>
      </w:r>
      <w:r>
        <w:t xml:space="preserve">doi: 10.1109/OJCOMS.2024.3438264.</w:t>
      </w:r>
    </w:p>
    <w:p>
      <w:pPr>
        <w:pStyle w:val="ETASRreferences"/>
        <w:jc w:val="both"/>
      </w:pPr>
      <w:r>
        <w:t xml:space="preserve">K. Hu, S. Gong, Q. Zhang, C. Seng, M. Xia, and S. Jiang,</w:t>
      </w:r>
      <w:r>
        <w:t xml:space="preserve"> </w:t>
      </w:r>
      <w:r>
        <w:t xml:space="preserve">“An overview of implementing security and privacy in federated learning,”</w:t>
      </w:r>
      <w:r>
        <w:t xml:space="preserve"> </w:t>
      </w:r>
      <w:r>
        <w:rPr>
          <w:i/>
          <w:iCs/>
        </w:rPr>
        <w:t xml:space="preserve">Artif. Intell. Rev.</w:t>
      </w:r>
      <w:r>
        <w:t xml:space="preserve">, vol. 57, art. no. 204, Jul. 2024,</w:t>
      </w:r>
      <w:r>
        <w:t xml:space="preserve"> </w:t>
      </w:r>
      <w:r>
        <w:t xml:space="preserve">doi: 10.1007/s10462-024-10846-8.</w:t>
      </w:r>
    </w:p>
    <w:p>
      <w:pPr>
        <w:pStyle w:val="ETASRreferences"/>
        <w:jc w:val="both"/>
      </w:pPr>
      <w:r>
        <w:t xml:space="preserve">Y. Feng, Y. Guo, Y. Hou,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 survey of security threats in</w:t>
      </w:r>
      <w:r>
        <w:t xml:space="preserve"> </w:t>
      </w:r>
      <w:r>
        <w:t xml:space="preserve">federated learning,”</w:t>
      </w:r>
      <w:r>
        <w:t xml:space="preserve"> </w:t>
      </w:r>
      <w:r>
        <w:rPr>
          <w:i/>
          <w:iCs/>
        </w:rPr>
        <w:t xml:space="preserve">Complex Intell. Syst.</w:t>
      </w:r>
      <w:r>
        <w:t xml:space="preserve">, vol. 11, art. no. 165,</w:t>
      </w:r>
      <w:r>
        <w:t xml:space="preserve"> </w:t>
      </w:r>
      <w:r>
        <w:t xml:space="preserve">Jan. 2025, doi: 10.1007/s40747-024-01664-0.</w:t>
      </w:r>
    </w:p>
    <w:p>
      <w:pPr>
        <w:pStyle w:val="ETASRreferences"/>
        <w:jc w:val="both"/>
      </w:pPr>
      <w:r>
        <w:t xml:space="preserve">P. Blanchard, E. M. El Mhamdi, R. Guerraoui, and J. Stainer,</w:t>
      </w:r>
      <w:r>
        <w:t xml:space="preserve"> </w:t>
      </w:r>
      <w:r>
        <w:t xml:space="preserve">“Machine learning with adversaries: Byzantine tolerant gradient descent,”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 30, 2017.</w:t>
      </w:r>
    </w:p>
    <w:p>
      <w:pPr>
        <w:pStyle w:val="ETASRreferences"/>
        <w:jc w:val="both"/>
      </w:pPr>
      <w:r>
        <w:t xml:space="preserve">D. Yin, Y. Chen, R. Kannan, and P. Bartlett,</w:t>
      </w:r>
      <w:r>
        <w:t xml:space="preserve"> </w:t>
      </w:r>
      <w:r>
        <w:t xml:space="preserve">“Byzantine-robust distributed learning: Towards optimal statistical rates,”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35th Int. Conf. Mach. Learn. (ICML)</w:t>
      </w:r>
      <w:r>
        <w:t xml:space="preserve">, vol. 80, 2018,</w:t>
      </w:r>
      <w:r>
        <w:t xml:space="preserve"> </w:t>
      </w:r>
      <w:r>
        <w:t xml:space="preserve">pp. 5650–5659.</w:t>
      </w:r>
    </w:p>
    <w:p>
      <w:pPr>
        <w:pStyle w:val="ETASRreferences"/>
        <w:jc w:val="both"/>
      </w:pPr>
      <w:r>
        <w:t xml:space="preserve">L. Zhao, J. Jiang, B. Feng, Q. Wang, C. Shen, and Q. Li,</w:t>
      </w:r>
      <w:r>
        <w:t xml:space="preserve"> </w:t>
      </w:r>
      <w:r>
        <w:t xml:space="preserve">“SEAR: Secure and efficient aggregation for Byzantine-robust federated</w:t>
      </w:r>
      <w:r>
        <w:t xml:space="preserve"> </w:t>
      </w:r>
      <w:r>
        <w:t xml:space="preserve">learning,”</w:t>
      </w:r>
      <w:r>
        <w:t xml:space="preserve"> </w:t>
      </w:r>
      <w:r>
        <w:rPr>
          <w:i/>
          <w:iCs/>
        </w:rPr>
        <w:t xml:space="preserve">IEEE Trans. Dependable Secure Comput.</w:t>
      </w:r>
      <w:r>
        <w:t xml:space="preserve">, vol. 19, no. 5,</w:t>
      </w:r>
      <w:r>
        <w:t xml:space="preserve"> </w:t>
      </w:r>
      <w:r>
        <w:t xml:space="preserve">pp. 3329–3342, Sep./Oct. 2022, doi: 10.1109/TDSC.2021.3093711.</w:t>
      </w:r>
    </w:p>
    <w:p>
      <w:pPr>
        <w:pStyle w:val="ETASRreferences"/>
        <w:jc w:val="both"/>
      </w:pPr>
      <w:r>
        <w:t xml:space="preserve">M. Baruch, G. Baruch, and Y. Goldberg,</w:t>
      </w:r>
      <w:r>
        <w:t xml:space="preserve"> </w:t>
      </w:r>
      <w:r>
        <w:t xml:space="preserve">“A little is enough: Circumventing defenses for distributed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 32, 2019.</w:t>
      </w:r>
    </w:p>
    <w:p>
      <w:pPr>
        <w:pStyle w:val="ETASRreferences"/>
        <w:jc w:val="both"/>
      </w:pPr>
      <w:r>
        <w:t xml:space="preserve">Z. Sun, P. Kairouz, A. T. Suresh, and H. B. McMahan,</w:t>
      </w:r>
      <w:r>
        <w:t xml:space="preserve"> </w:t>
      </w:r>
      <w:r>
        <w:t xml:space="preserve">“Can you really backdoor federated learning?”</w:t>
      </w:r>
      <w:r>
        <w:t xml:space="preserve"> </w:t>
      </w:r>
      <w:r>
        <w:t xml:space="preserve">arXiv:1911.07963, 2019.</w:t>
      </w:r>
    </w:p>
    <w:p>
      <w:pPr>
        <w:pStyle w:val="ETASRreferences"/>
        <w:jc w:val="both"/>
      </w:pPr>
      <w:r>
        <w:t xml:space="preserve">H. Kim, J. Park, M. Bennis, and S.-L. Kim,</w:t>
      </w:r>
      <w:r>
        <w:t xml:space="preserve"> </w:t>
      </w:r>
      <w:r>
        <w:t xml:space="preserve">“Blockchained on-device federated learning,”</w:t>
      </w:r>
      <w:r>
        <w:t xml:space="preserve"> </w:t>
      </w:r>
      <w:r>
        <w:rPr>
          <w:i/>
          <w:iCs/>
        </w:rPr>
        <w:t xml:space="preserve">IEEE Commun. Lett.</w:t>
      </w:r>
      <w:r>
        <w:t xml:space="preserve">, vol. 24, no. 6, pp. 1279–1283, Jun. 2020,</w:t>
      </w:r>
      <w:r>
        <w:t xml:space="preserve"> </w:t>
      </w:r>
      <w:r>
        <w:t xml:space="preserve">doi: 10.1109/LCOMM.2019.2921755.</w:t>
      </w:r>
    </w:p>
    <w:p>
      <w:pPr>
        <w:pStyle w:val="ETASRreferences"/>
        <w:jc w:val="both"/>
      </w:pPr>
      <w:r>
        <w:t xml:space="preserve">Y. Lu, X. Huang, K. Zhang, S. Maharjan, and Y. Zhang,</w:t>
      </w:r>
      <w:r>
        <w:t xml:space="preserve"> </w:t>
      </w:r>
      <w:r>
        <w:t xml:space="preserve">“Blockchain empowered asynchronous federated learning for secure data sharing</w:t>
      </w:r>
      <w:r>
        <w:t xml:space="preserve"> </w:t>
      </w:r>
      <w:r>
        <w:t xml:space="preserve">in Internet of Vehicles,”</w:t>
      </w:r>
      <w:r>
        <w:t xml:space="preserve"> </w:t>
      </w:r>
      <w:r>
        <w:rPr>
          <w:i/>
          <w:iCs/>
        </w:rPr>
        <w:t xml:space="preserve">IEEE Trans. Veh. Technol.</w:t>
      </w:r>
      <w:r>
        <w:t xml:space="preserve">, vol. 69, no. 4, pp. 4298–4311, Apr. 2020,</w:t>
      </w:r>
      <w:r>
        <w:t xml:space="preserve"> </w:t>
      </w:r>
      <w:r>
        <w:t xml:space="preserve">doi: 10.1109/TVT.2020.2973651.</w:t>
      </w:r>
    </w:p>
    <w:p>
      <w:pPr>
        <w:pStyle w:val="ETASRreferences"/>
        <w:jc w:val="both"/>
      </w:pPr>
      <w:r>
        <w:t xml:space="preserve">J. Zhu, J. Cao, D. Saxena, S. Jiang, and H. Ferradi,</w:t>
      </w:r>
      <w:r>
        <w:t xml:space="preserve"> </w:t>
      </w:r>
      <w:r>
        <w:t xml:space="preserve">“Blockchain-empowered federated learning: Challenges, solutions, and future</w:t>
      </w:r>
      <w:r>
        <w:t xml:space="preserve"> </w:t>
      </w:r>
      <w:r>
        <w:t xml:space="preserve">directions,”</w:t>
      </w:r>
      <w:r>
        <w:t xml:space="preserve"> </w:t>
      </w:r>
      <w:r>
        <w:rPr>
          <w:i/>
          <w:iCs/>
        </w:rPr>
        <w:t xml:space="preserve">ACM Comput. Surv.</w:t>
      </w:r>
      <w:r>
        <w:t xml:space="preserve">, vol. 55, no. 11, art. no. 240,</w:t>
      </w:r>
      <w:r>
        <w:t xml:space="preserve"> </w:t>
      </w:r>
      <w:r>
        <w:t xml:space="preserve">pp. 1–31, Feb. 2023, doi: 10.1145/3570953.</w:t>
      </w:r>
    </w:p>
    <w:p>
      <w:pPr>
        <w:pStyle w:val="ETASRreferences"/>
        <w:jc w:val="both"/>
      </w:pPr>
      <w:r>
        <w:t xml:space="preserve">E. Hallaji, R. Razavi-Far, M. Saif, B. Wang, and Q. Yang,</w:t>
      </w:r>
      <w:r>
        <w:t xml:space="preserve"> </w:t>
      </w:r>
      <w:r>
        <w:t xml:space="preserve">“Decentralized federated learning: A survey on security and privacy,”</w:t>
      </w:r>
      <w:r>
        <w:t xml:space="preserve"> </w:t>
      </w:r>
      <w:r>
        <w:rPr>
          <w:i/>
          <w:iCs/>
        </w:rPr>
        <w:t xml:space="preserve">IEEE Trans. Big Data</w:t>
      </w:r>
      <w:r>
        <w:t xml:space="preserve">, vol. 10, no. 2, pp. 194–213, Apr. 2024,</w:t>
      </w:r>
      <w:r>
        <w:t xml:space="preserve"> </w:t>
      </w:r>
      <w:r>
        <w:t xml:space="preserve">doi: 10.1109/TBDATA.2024.3362191.</w:t>
      </w:r>
    </w:p>
    <w:p>
      <w:pPr>
        <w:pStyle w:val="ETASRreferences"/>
        <w:jc w:val="both"/>
      </w:pPr>
      <w:r>
        <w:t xml:space="preserve">Y. Zhang, D. Zeng, J. Luo, X. Fu, G. Chen, Z. Xu, and I. King,</w:t>
      </w:r>
      <w:r>
        <w:t xml:space="preserve"> </w:t>
      </w:r>
      <w:r>
        <w:t xml:space="preserve">“A survey of trustworthy federated learning: Issues, solutions, and</w:t>
      </w:r>
      <w:r>
        <w:t xml:space="preserve"> </w:t>
      </w:r>
      <w:r>
        <w:t xml:space="preserve">challenges,”</w:t>
      </w:r>
      <w:r>
        <w:t xml:space="preserve"> </w:t>
      </w:r>
      <w:r>
        <w:rPr>
          <w:i/>
          <w:iCs/>
        </w:rPr>
        <w:t xml:space="preserve">ACM Trans. Intell. Syst. Technol.</w:t>
      </w:r>
      <w:r>
        <w:t xml:space="preserve">, vol. 15, no. 6,</w:t>
      </w:r>
      <w:r>
        <w:t xml:space="preserve"> </w:t>
      </w:r>
      <w:r>
        <w:t xml:space="preserve">art. no. 112, pp. 1–47, 2024, doi: 10.1145/3678181.</w:t>
      </w:r>
    </w:p>
    <w:p>
      <w:pPr>
        <w:pStyle w:val="ETASRreferences"/>
        <w:jc w:val="both"/>
      </w:pPr>
      <w:r>
        <w:t xml:space="preserve">K. Nishimoto, Y.-H. Chiang, H. Lin, and Y. Ji,</w:t>
      </w:r>
      <w:r>
        <w:t xml:space="preserve"> </w:t>
      </w:r>
      <w:r>
        <w:t xml:space="preserve">“FedATM: Adaptive trimmed mean based federated learning against model poisoning</w:t>
      </w:r>
      <w:r>
        <w:t xml:space="preserve"> </w:t>
      </w:r>
      <w:r>
        <w:t xml:space="preserve">attacks,”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97th Veh. Technol. Conf. (VTC2023-Spring)</w:t>
      </w:r>
      <w:r>
        <w:t xml:space="preserve">,</w:t>
      </w:r>
      <w:r>
        <w:t xml:space="preserve"> </w:t>
      </w:r>
      <w:r>
        <w:t xml:space="preserve">Florence, Italy, Jun. 2023, pp. 1–5,</w:t>
      </w:r>
      <w:r>
        <w:t xml:space="preserve"> </w:t>
      </w:r>
      <w:r>
        <w:t xml:space="preserve">doi: 10.1109/VTC2023-Spring57618.2023.10200010.</w:t>
      </w:r>
    </w:p>
    <w:p>
      <w:pPr>
        <w:pStyle w:val="ETASRreferences"/>
        <w:jc w:val="both"/>
      </w:pPr>
      <w:r>
        <w:t xml:space="preserve">K. J. Mukisa, L. A. C. Ahakonye, D.-S. Kim, and J.-M. Lee,</w:t>
      </w:r>
      <w:r>
        <w:t xml:space="preserve"> </w:t>
      </w:r>
      <w:r>
        <w:t xml:space="preserve">“Blockchain-augmented FL IDS for non-IID edge-IoT data using adaptive trimmed</w:t>
      </w:r>
      <w:r>
        <w:t xml:space="preserve"> </w:t>
      </w:r>
      <w:r>
        <w:t xml:space="preserve">mean aggregation,”</w:t>
      </w:r>
      <w:r>
        <w:t xml:space="preserve"> </w:t>
      </w:r>
      <w:r>
        <w:rPr>
          <w:i/>
          <w:iCs/>
        </w:rPr>
        <w:t xml:space="preserve">IEEE Internet Things J.</w:t>
      </w:r>
      <w:r>
        <w:t xml:space="preserve">, vol. 12, no. 21, pp. 45150–45159, Nov. 2025,</w:t>
      </w:r>
      <w:r>
        <w:t xml:space="preserve"> </w:t>
      </w:r>
      <w:r>
        <w:t xml:space="preserve">doi: 10.1109/JIOT.2025.3598832.</w:t>
      </w:r>
    </w:p>
    <w:p>
      <w:pPr>
        <w:pStyle w:val="ETASRreferences"/>
        <w:jc w:val="both"/>
      </w:pPr>
      <w:r>
        <w:t xml:space="preserve">Y. LeCun, L. Bottou, Y. Bengio, and P. Haffner,</w:t>
      </w:r>
      <w:r>
        <w:t xml:space="preserve"> </w:t>
      </w:r>
      <w:r>
        <w:t xml:space="preserve">“Gradient-based learning applied to document recognition,”</w:t>
      </w:r>
      <w:r>
        <w:t xml:space="preserve"> </w:t>
      </w:r>
      <w:r>
        <w:rPr>
          <w:i/>
          <w:iCs/>
        </w:rPr>
        <w:t xml:space="preserve">Proc. IEEE</w:t>
      </w:r>
      <w:r>
        <w:t xml:space="preserve">, vol. 86, no. 11, pp. 2278–2324, Nov. 1998,</w:t>
      </w:r>
      <w:r>
        <w:t xml:space="preserve"> </w:t>
      </w:r>
      <w:r>
        <w:t xml:space="preserve">doi: 10.1109/5.726791.</w:t>
      </w:r>
    </w:p>
    <w:p>
      <w:pPr>
        <w:pStyle w:val="ETASRreferences"/>
        <w:jc w:val="both"/>
      </w:pPr>
      <w:r>
        <w:t xml:space="preserve">R. A. Atmoko,</w:t>
      </w:r>
      <w:r>
        <w:t xml:space="preserve"> </w:t>
      </w:r>
      <w:r>
        <w:t xml:space="preserve">“Byzantine-robust federated learning with blockchain:</w:t>
      </w:r>
      <w:r>
        <w:t xml:space="preserve"> </w:t>
      </w:r>
      <w:r>
        <w:t xml:space="preserve">Reproducibility repository,”</w:t>
      </w:r>
      <w:r>
        <w:t xml:space="preserve"> </w:t>
      </w:r>
      <w:r>
        <w:t xml:space="preserve">2026. [Online]. Available:</w:t>
      </w:r>
      <w:r>
        <w:t xml:space="preserve"> </w:t>
      </w:r>
      <w:hyperlink r:id="rId55">
        <w:r>
          <w:rPr>
            <w:rStyle w:val="Hyperlink"/>
          </w:rPr>
          <w:t xml:space="preserve">https://github.com/vokasitibrawijaya/byzantine-robust-fl-blockchain</w:t>
        </w:r>
      </w:hyperlink>
      <w:r>
        <w:t xml:space="preserve">.</w:t>
      </w:r>
      <w:r>
        <w:t xml:space="preserve"> </w:t>
      </w:r>
      <w:r>
        <w:t xml:space="preserve">Accessed: Jun. 25, 2026.</w:t>
      </w:r>
    </w:p>
    <w:bookmarkEnd w:id="56"/>
    <w:bookmarkEnd w:id="57"/>
    <w:sectPr w:rsidR="00331994" w:rsidSect="003F37B2">
      <w:type w:val="continuous"/>
      <w:pgSz w:w="12240" w:h="15840" w:code="1"/>
      <w:pgMar w:top="1080" w:right="893" w:bottom="1440" w:left="893" w:header="720" w:footer="720" w:gutter="0"/>
      <w:cols w:num="2" w:space="360"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l-GR" w:eastAsia="el-GR" w:bidi="ar-SA"/>
      </w:rPr>
    </w:rPrDefault>
    <w:pPrDefault>
      <w:pPr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905"/>
    <w:rPr>
      <w:lang w:val="en-US" w:eastAsia="en-US"/>
    </w:rPr>
  </w:style>
  <w:style w:type="paragraph" w:styleId="Heading1">
    <w:name w:val="heading 1"/>
    <w:basedOn w:val="Normal"/>
    <w:next w:val="Normal"/>
    <w:qFormat/>
    <w:rsid w:val="00886DEC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caps/>
      <w:noProof/>
    </w:rPr>
  </w:style>
  <w:style w:type="paragraph" w:styleId="Heading2">
    <w:name w:val="heading 2"/>
    <w:basedOn w:val="Normal"/>
    <w:next w:val="Normal"/>
    <w:qFormat/>
    <w:rsid w:val="009E0067"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9E0067"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9E0067"/>
    <w:pPr>
      <w:numPr>
        <w:ilvl w:val="3"/>
        <w:numId w:val="7"/>
      </w:numPr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9E0067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ASRauthor">
    <w:name w:val="ETASR author"/>
    <w:basedOn w:val="Normal"/>
    <w:rsid w:val="00214C02"/>
    <w:pPr>
      <w:spacing w:after="40"/>
      <w:ind w:left="1134"/>
      <w:jc w:val="left"/>
    </w:pPr>
    <w:rPr>
      <w:rFonts w:eastAsia="MS Mincho"/>
      <w:b/>
      <w:noProof/>
      <w:sz w:val="22"/>
      <w:szCs w:val="22"/>
    </w:rPr>
  </w:style>
  <w:style w:type="paragraph" w:customStyle="1" w:styleId="ETASRHeading1">
    <w:name w:val="ETASR Heading 1"/>
    <w:basedOn w:val="Heading1"/>
    <w:rsid w:val="00666BB2"/>
    <w:rPr>
      <w:rFonts w:eastAsia="MS Mincho"/>
    </w:rPr>
  </w:style>
  <w:style w:type="paragraph" w:customStyle="1" w:styleId="ETASRsponsors">
    <w:name w:val="ETASR sponsors"/>
    <w:basedOn w:val="Normal"/>
    <w:rsid w:val="00653024"/>
    <w:pPr>
      <w:framePr w:wrap="auto" w:vAnchor="page" w:hAnchor="page" w:x="894" w:y="14401"/>
      <w:pBdr>
        <w:top w:val="single" w:sz="4" w:space="2" w:color="auto"/>
      </w:pBdr>
      <w:ind w:firstLine="288"/>
      <w:jc w:val="left"/>
    </w:pPr>
    <w:rPr>
      <w:rFonts w:eastAsia="MS Mincho"/>
      <w:sz w:val="16"/>
      <w:szCs w:val="16"/>
    </w:rPr>
  </w:style>
  <w:style w:type="paragraph" w:customStyle="1" w:styleId="ETASRaffiliation">
    <w:name w:val="ETASR affiliation"/>
    <w:basedOn w:val="Normal"/>
    <w:link w:val="ETASRaffiliationChar"/>
    <w:rsid w:val="00214C02"/>
    <w:pPr>
      <w:ind w:left="1134"/>
      <w:jc w:val="both"/>
    </w:pPr>
    <w:rPr>
      <w:rFonts w:eastAsia="MS Mincho"/>
      <w:sz w:val="22"/>
    </w:rPr>
  </w:style>
  <w:style w:type="paragraph" w:customStyle="1" w:styleId="ETASRHeading2">
    <w:name w:val="ETASR Heading 2"/>
    <w:basedOn w:val="Heading2"/>
    <w:rsid w:val="00A14599"/>
    <w:rPr>
      <w:rFonts w:eastAsia="MS Mincho"/>
    </w:rPr>
  </w:style>
  <w:style w:type="paragraph" w:customStyle="1" w:styleId="equation">
    <w:name w:val="equation"/>
    <w:basedOn w:val="Normal"/>
    <w:rsid w:val="009E0067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ETASRkeywords">
    <w:name w:val="ETASR key words"/>
    <w:basedOn w:val="Normal"/>
    <w:rsid w:val="00FD6492"/>
    <w:pPr>
      <w:spacing w:after="120"/>
      <w:ind w:left="1134" w:right="1098"/>
      <w:jc w:val="both"/>
    </w:pPr>
    <w:rPr>
      <w:rFonts w:eastAsia="MS Mincho"/>
      <w:b/>
      <w:bCs/>
      <w:i/>
      <w:iCs/>
      <w:noProof/>
      <w:sz w:val="18"/>
      <w:szCs w:val="18"/>
    </w:rPr>
  </w:style>
  <w:style w:type="paragraph" w:customStyle="1" w:styleId="footnote">
    <w:name w:val="footnote"/>
    <w:rsid w:val="009E0067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val="en-US" w:eastAsia="en-US"/>
    </w:rPr>
  </w:style>
  <w:style w:type="paragraph" w:customStyle="1" w:styleId="ETASRHeading3">
    <w:name w:val="ETASR Heading 3"/>
    <w:basedOn w:val="Heading3"/>
    <w:link w:val="ETASRHeading3Char"/>
    <w:qFormat/>
    <w:rsid w:val="00E6764E"/>
    <w:pPr>
      <w:tabs>
        <w:tab w:val="clear" w:pos="2160"/>
        <w:tab w:val="left" w:pos="284"/>
      </w:tabs>
      <w:spacing w:before="120" w:after="60"/>
      <w:ind w:firstLine="0"/>
      <w:jc w:val="left"/>
    </w:pPr>
    <w:rPr>
      <w:rFonts w:eastAsia="MS Mincho"/>
    </w:rPr>
  </w:style>
  <w:style w:type="paragraph" w:customStyle="1" w:styleId="ETASRHeading5bold">
    <w:name w:val="ETASR Heading 5+bold"/>
    <w:basedOn w:val="Heading5"/>
    <w:link w:val="ETASRHeading5boldChar"/>
    <w:qFormat/>
    <w:rsid w:val="00886DEC"/>
    <w:rPr>
      <w:rFonts w:eastAsia="MS Mincho"/>
      <w:b/>
      <w:caps/>
      <w:smallCaps w:val="0"/>
    </w:rPr>
  </w:style>
  <w:style w:type="character" w:customStyle="1" w:styleId="Heading5Char">
    <w:name w:val="Heading 5 Char"/>
    <w:link w:val="Heading5"/>
    <w:rsid w:val="00ED27FD"/>
    <w:rPr>
      <w:rFonts w:eastAsia="SimSun"/>
      <w:smallCaps/>
      <w:noProof/>
      <w:lang w:val="en-US" w:eastAsia="en-US" w:bidi="ar-SA"/>
    </w:rPr>
  </w:style>
  <w:style w:type="character" w:customStyle="1" w:styleId="ETASRHeading5boldChar">
    <w:name w:val="ETASR Heading 5+bold Char"/>
    <w:link w:val="ETASRHeading5bold"/>
    <w:rsid w:val="00886DEC"/>
    <w:rPr>
      <w:rFonts w:eastAsia="MS Mincho"/>
      <w:b/>
      <w:caps/>
      <w:noProof/>
      <w:lang w:val="en-US" w:eastAsia="en-US"/>
    </w:rPr>
  </w:style>
  <w:style w:type="character" w:customStyle="1" w:styleId="Heading3Char">
    <w:name w:val="Heading 3 Char"/>
    <w:link w:val="Heading3"/>
    <w:rsid w:val="007B0292"/>
    <w:rPr>
      <w:i/>
      <w:iCs/>
      <w:noProof/>
      <w:lang w:val="en-US" w:eastAsia="en-US"/>
    </w:rPr>
  </w:style>
  <w:style w:type="paragraph" w:styleId="BodyText">
    <w:name w:val="Body Text"/>
    <w:basedOn w:val="Normal"/>
    <w:rsid w:val="001D0620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figurecaption">
    <w:name w:val="figure caption"/>
    <w:rsid w:val="001D0620"/>
    <w:pPr>
      <w:tabs>
        <w:tab w:val="num" w:pos="720"/>
      </w:tabs>
      <w:spacing w:before="80" w:after="200"/>
    </w:pPr>
    <w:rPr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1D0620"/>
    <w:pPr>
      <w:spacing w:before="60" w:after="30"/>
      <w:jc w:val="right"/>
    </w:pPr>
    <w:rPr>
      <w:sz w:val="12"/>
      <w:szCs w:val="12"/>
      <w:lang w:val="en-US" w:eastAsia="en-US"/>
    </w:rPr>
  </w:style>
  <w:style w:type="paragraph" w:customStyle="1" w:styleId="ETASRfigurecaption">
    <w:name w:val="ETASR figure caption"/>
    <w:basedOn w:val="figurecaption"/>
    <w:rsid w:val="001D0620"/>
    <w:pPr>
      <w:numPr>
        <w:numId w:val="2"/>
      </w:numPr>
    </w:pPr>
  </w:style>
  <w:style w:type="paragraph" w:customStyle="1" w:styleId="ETASRtablecolhead">
    <w:name w:val="ETASR table col head"/>
    <w:qFormat/>
    <w:rsid w:val="003F709B"/>
    <w:pPr>
      <w:ind w:firstLine="6"/>
    </w:pPr>
    <w:rPr>
      <w:b/>
      <w:bCs/>
      <w:sz w:val="16"/>
      <w:szCs w:val="16"/>
      <w:lang w:val="en-US" w:eastAsia="en-US"/>
    </w:rPr>
  </w:style>
  <w:style w:type="paragraph" w:styleId="Header">
    <w:name w:val="header"/>
    <w:basedOn w:val="Normal"/>
    <w:rsid w:val="002B20B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B20B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A20E8"/>
    <w:pPr>
      <w:ind w:firstLine="198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TASRbodytext">
    <w:name w:val="ETASR body text"/>
    <w:basedOn w:val="Normal"/>
    <w:link w:val="ETASRbodytextChar"/>
    <w:qFormat/>
    <w:rsid w:val="00666BB2"/>
    <w:pPr>
      <w:spacing w:after="120" w:line="228" w:lineRule="auto"/>
      <w:ind w:firstLine="288"/>
      <w:jc w:val="both"/>
    </w:pPr>
    <w:rPr>
      <w:rFonts w:eastAsia="MS Mincho"/>
      <w:spacing w:val="-1"/>
    </w:rPr>
  </w:style>
  <w:style w:type="paragraph" w:customStyle="1" w:styleId="ETASRbulletlist">
    <w:name w:val="ETASR bullet list"/>
    <w:basedOn w:val="E-mailSignature"/>
    <w:qFormat/>
    <w:rsid w:val="00090939"/>
    <w:pPr>
      <w:numPr>
        <w:numId w:val="1"/>
      </w:numPr>
      <w:tabs>
        <w:tab w:val="clear" w:pos="648"/>
        <w:tab w:val="num" w:pos="284"/>
      </w:tabs>
      <w:spacing w:after="120" w:line="228" w:lineRule="auto"/>
      <w:ind w:left="284" w:hanging="284"/>
      <w:jc w:val="both"/>
    </w:pPr>
    <w:rPr>
      <w:rFonts w:eastAsia="MS Mincho"/>
      <w:spacing w:val="-1"/>
    </w:rPr>
  </w:style>
  <w:style w:type="paragraph" w:customStyle="1" w:styleId="ETASRreferences">
    <w:name w:val="ETASR references"/>
    <w:basedOn w:val="Normal"/>
    <w:qFormat/>
    <w:rsid w:val="00666BB2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character" w:customStyle="1" w:styleId="ETASRHeading3Char">
    <w:name w:val="ETASR Heading 3 Char"/>
    <w:link w:val="ETASRHeading3"/>
    <w:rsid w:val="00E6764E"/>
    <w:rPr>
      <w:rFonts w:eastAsia="MS Mincho"/>
      <w:i/>
      <w:iCs/>
      <w:noProof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347B3"/>
    <w:rPr>
      <w:color w:val="808080"/>
    </w:rPr>
  </w:style>
  <w:style w:type="paragraph" w:customStyle="1" w:styleId="ETASRabstract">
    <w:name w:val="ETASR abstract"/>
    <w:basedOn w:val="Normal"/>
    <w:rsid w:val="00FD6492"/>
    <w:pPr>
      <w:spacing w:after="200"/>
      <w:ind w:left="1134" w:right="1098"/>
      <w:jc w:val="both"/>
    </w:pPr>
    <w:rPr>
      <w:rFonts w:eastAsia="MS Mincho"/>
      <w:b/>
      <w:bCs/>
      <w:sz w:val="18"/>
      <w:szCs w:val="18"/>
    </w:rPr>
  </w:style>
  <w:style w:type="paragraph" w:customStyle="1" w:styleId="ETASRpapertitle">
    <w:name w:val="ETASR paper title"/>
    <w:basedOn w:val="Normal"/>
    <w:rsid w:val="00214C02"/>
    <w:pPr>
      <w:spacing w:after="120"/>
      <w:ind w:left="1134"/>
      <w:jc w:val="left"/>
    </w:pPr>
    <w:rPr>
      <w:rFonts w:eastAsia="MS Mincho"/>
      <w:noProof/>
      <w:sz w:val="48"/>
      <w:szCs w:val="48"/>
    </w:rPr>
  </w:style>
  <w:style w:type="paragraph" w:customStyle="1" w:styleId="ETASRpapersubtitle">
    <w:name w:val="ETASR paper subtitle"/>
    <w:basedOn w:val="Normal"/>
    <w:rsid w:val="00214C02"/>
    <w:pPr>
      <w:spacing w:after="120"/>
      <w:ind w:left="1134"/>
      <w:jc w:val="left"/>
    </w:pPr>
    <w:rPr>
      <w:rFonts w:eastAsia="MS Mincho"/>
      <w:noProof/>
      <w:sz w:val="28"/>
      <w:szCs w:val="28"/>
    </w:rPr>
  </w:style>
  <w:style w:type="paragraph" w:customStyle="1" w:styleId="ETASRHeading4">
    <w:name w:val="ETASR Heading 4"/>
    <w:basedOn w:val="Heading4"/>
    <w:link w:val="ETASRHeading4Char"/>
    <w:rsid w:val="00622881"/>
    <w:rPr>
      <w:rFonts w:eastAsia="MS Mincho"/>
    </w:rPr>
  </w:style>
  <w:style w:type="character" w:customStyle="1" w:styleId="Heading4Char">
    <w:name w:val="Heading 4 Char"/>
    <w:link w:val="Heading4"/>
    <w:rsid w:val="00622881"/>
    <w:rPr>
      <w:i/>
      <w:iCs/>
      <w:noProof/>
      <w:lang w:val="en-US" w:eastAsia="en-US"/>
    </w:rPr>
  </w:style>
  <w:style w:type="character" w:customStyle="1" w:styleId="ETASRHeading4Char">
    <w:name w:val="ETASR Heading 4 Char"/>
    <w:link w:val="ETASRHeading4"/>
    <w:rsid w:val="00622881"/>
    <w:rPr>
      <w:rFonts w:eastAsia="MS Mincho"/>
      <w:i/>
      <w:iCs/>
      <w:noProof/>
      <w:lang w:val="en-US" w:eastAsia="en-US"/>
    </w:rPr>
  </w:style>
  <w:style w:type="paragraph" w:styleId="BalloonText">
    <w:name w:val="Balloon Text"/>
    <w:basedOn w:val="Normal"/>
    <w:link w:val="BalloonTextChar"/>
    <w:rsid w:val="005347B3"/>
    <w:rPr>
      <w:rFonts w:ascii="Tahoma" w:hAnsi="Tahoma" w:cs="Tahoma"/>
      <w:sz w:val="16"/>
      <w:szCs w:val="16"/>
    </w:rPr>
  </w:style>
  <w:style w:type="paragraph" w:customStyle="1" w:styleId="ETASRtablehead">
    <w:name w:val="ETASR table head"/>
    <w:basedOn w:val="Normal"/>
    <w:link w:val="ETASRtableheadChar"/>
    <w:autoRedefine/>
    <w:rsid w:val="00F22930"/>
    <w:pPr>
      <w:numPr>
        <w:numId w:val="10"/>
      </w:numPr>
      <w:spacing w:before="240" w:after="120" w:line="216" w:lineRule="auto"/>
    </w:pPr>
    <w:rPr>
      <w:smallCaps/>
      <w:noProof/>
      <w:sz w:val="16"/>
      <w:szCs w:val="16"/>
    </w:rPr>
  </w:style>
  <w:style w:type="paragraph" w:customStyle="1" w:styleId="ETASRtablecolsubhead">
    <w:name w:val="ETASR table col subhead"/>
    <w:basedOn w:val="Normal"/>
    <w:rsid w:val="003E31BF"/>
    <w:pPr>
      <w:ind w:firstLine="6"/>
    </w:pPr>
    <w:rPr>
      <w:b/>
      <w:bCs/>
      <w:i/>
      <w:iCs/>
      <w:sz w:val="15"/>
      <w:szCs w:val="15"/>
    </w:rPr>
  </w:style>
  <w:style w:type="paragraph" w:customStyle="1" w:styleId="ETASRtablecopy">
    <w:name w:val="ETASR table copy"/>
    <w:basedOn w:val="Normal"/>
    <w:rsid w:val="003F709B"/>
    <w:pPr>
      <w:ind w:firstLine="6"/>
    </w:pPr>
    <w:rPr>
      <w:noProof/>
      <w:sz w:val="16"/>
      <w:szCs w:val="16"/>
    </w:rPr>
  </w:style>
  <w:style w:type="paragraph" w:customStyle="1" w:styleId="ETASRtablefootnote063">
    <w:name w:val="ETASR table footnote + Αριστερά:  0.63 εκ."/>
    <w:basedOn w:val="Normal"/>
    <w:rsid w:val="00302385"/>
    <w:pPr>
      <w:spacing w:before="60" w:after="30"/>
      <w:ind w:left="360"/>
      <w:jc w:val="right"/>
    </w:pPr>
    <w:rPr>
      <w:rFonts w:eastAsia="MS Mincho"/>
      <w:sz w:val="12"/>
      <w:szCs w:val="12"/>
    </w:rPr>
  </w:style>
  <w:style w:type="character" w:customStyle="1" w:styleId="BalloonTextChar">
    <w:name w:val="Balloon Text Char"/>
    <w:basedOn w:val="DefaultParagraphFont"/>
    <w:link w:val="BalloonText"/>
    <w:rsid w:val="005347B3"/>
    <w:rPr>
      <w:rFonts w:ascii="Tahoma" w:hAnsi="Tahoma" w:cs="Tahoma"/>
      <w:sz w:val="16"/>
      <w:szCs w:val="16"/>
      <w:lang w:val="en-US" w:eastAsia="en-US"/>
    </w:rPr>
  </w:style>
  <w:style w:type="paragraph" w:customStyle="1" w:styleId="ETASRnumberedlist">
    <w:name w:val="ETASR numbered list"/>
    <w:basedOn w:val="Normal"/>
    <w:link w:val="ETASRnumberedlistChar"/>
    <w:qFormat/>
    <w:rsid w:val="00577AAA"/>
    <w:pPr>
      <w:numPr>
        <w:numId w:val="9"/>
      </w:numPr>
      <w:spacing w:after="120"/>
      <w:jc w:val="both"/>
    </w:pPr>
  </w:style>
  <w:style w:type="character" w:customStyle="1" w:styleId="ETASRnumberedlistChar">
    <w:name w:val="ETASR numbered list Char"/>
    <w:basedOn w:val="DefaultParagraphFont"/>
    <w:link w:val="ETASRnumberedlist"/>
    <w:rsid w:val="00577AAA"/>
    <w:rPr>
      <w:lang w:val="en-US" w:eastAsia="en-US"/>
    </w:rPr>
  </w:style>
  <w:style w:type="paragraph" w:customStyle="1" w:styleId="ETASRTABLEHEAD0">
    <w:name w:val="ETASR TABLE HEAD"/>
    <w:basedOn w:val="ETASRtablehead"/>
    <w:next w:val="ETASRbodytext"/>
    <w:link w:val="ETASRTABLEHEADChar0"/>
    <w:rsid w:val="00886DEC"/>
    <w:rPr>
      <w:caps/>
      <w:smallCaps w:val="0"/>
    </w:rPr>
  </w:style>
  <w:style w:type="character" w:customStyle="1" w:styleId="ETASRtableheadChar">
    <w:name w:val="ETASR table head Char"/>
    <w:basedOn w:val="DefaultParagraphFont"/>
    <w:link w:val="ETASRtablehead"/>
    <w:rsid w:val="00F22930"/>
    <w:rPr>
      <w:smallCaps/>
      <w:noProof/>
      <w:sz w:val="16"/>
      <w:szCs w:val="16"/>
      <w:lang w:val="en-US" w:eastAsia="en-US"/>
    </w:rPr>
  </w:style>
  <w:style w:type="character" w:customStyle="1" w:styleId="ETASRTABLEHEADChar0">
    <w:name w:val="ETASR TABLE HEAD Char"/>
    <w:basedOn w:val="ETASRtableheadChar"/>
    <w:link w:val="ETASRTABLEHEAD0"/>
    <w:rsid w:val="00886DEC"/>
    <w:rPr>
      <w:caps/>
      <w:smallCaps w:val="0"/>
      <w:noProof/>
      <w:sz w:val="16"/>
      <w:szCs w:val="16"/>
      <w:lang w:val="en-US" w:eastAsia="en-US"/>
    </w:rPr>
  </w:style>
  <w:style w:type="character" w:styleId="Hyperlink">
    <w:name w:val="Hyperlink"/>
    <w:basedOn w:val="DefaultParagraphFont"/>
    <w:rsid w:val="00F7781B"/>
    <w:rPr>
      <w:color w:val="0000FF" w:themeColor="hyperlink"/>
      <w:u w:val="single"/>
    </w:rPr>
  </w:style>
  <w:style w:type="paragraph" w:customStyle="1" w:styleId="Default">
    <w:name w:val="Default"/>
    <w:rsid w:val="00851EF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0D04"/>
    <w:rPr>
      <w:i/>
      <w:iCs/>
    </w:rPr>
  </w:style>
  <w:style w:type="paragraph" w:styleId="E-mailSignature">
    <w:name w:val="E-mail Signature"/>
    <w:basedOn w:val="Normal"/>
    <w:link w:val="E-mailSignatureChar"/>
    <w:rsid w:val="00F91F81"/>
  </w:style>
  <w:style w:type="character" w:customStyle="1" w:styleId="E-mailSignatureChar">
    <w:name w:val="E-mail Signature Char"/>
    <w:basedOn w:val="DefaultParagraphFont"/>
    <w:link w:val="E-mailSignature"/>
    <w:rsid w:val="00F91F81"/>
    <w:rPr>
      <w:lang w:val="en-US" w:eastAsia="en-US"/>
    </w:rPr>
  </w:style>
  <w:style w:type="paragraph" w:customStyle="1" w:styleId="ETASRdates">
    <w:name w:val="ETASR dates"/>
    <w:basedOn w:val="ETASRaffiliation"/>
    <w:link w:val="ETASRdatesChar"/>
    <w:qFormat/>
    <w:rsid w:val="0024517E"/>
    <w:pPr>
      <w:spacing w:before="120"/>
      <w:ind w:left="1138"/>
      <w:jc w:val="center"/>
    </w:pPr>
    <w:rPr>
      <w:i/>
      <w:sz w:val="16"/>
      <w:szCs w:val="16"/>
    </w:rPr>
  </w:style>
  <w:style w:type="character" w:customStyle="1" w:styleId="ETASRaffiliationChar">
    <w:name w:val="ETASR affiliation Char"/>
    <w:basedOn w:val="DefaultParagraphFont"/>
    <w:link w:val="ETASRaffiliation"/>
    <w:rsid w:val="00214C02"/>
    <w:rPr>
      <w:rFonts w:eastAsia="MS Mincho"/>
      <w:sz w:val="22"/>
      <w:lang w:val="en-US" w:eastAsia="en-US"/>
    </w:rPr>
  </w:style>
  <w:style w:type="character" w:customStyle="1" w:styleId="ETASRdatesChar">
    <w:name w:val="ETASR dates Char"/>
    <w:basedOn w:val="ETASRaffiliationChar"/>
    <w:link w:val="ETASRdates"/>
    <w:rsid w:val="0024517E"/>
    <w:rPr>
      <w:rFonts w:eastAsia="MS Mincho"/>
      <w:i/>
      <w:sz w:val="16"/>
      <w:szCs w:val="16"/>
      <w:lang w:val="en-US" w:eastAsia="en-US"/>
    </w:rPr>
  </w:style>
  <w:style w:type="paragraph" w:customStyle="1" w:styleId="ETASRHeading5">
    <w:name w:val="ETASR Heading 5"/>
    <w:basedOn w:val="ETASRHeading5bold"/>
    <w:link w:val="ETASRHeading5Char"/>
    <w:qFormat/>
    <w:rsid w:val="005A2B1C"/>
    <w:rPr>
      <w:b w:val="0"/>
    </w:rPr>
  </w:style>
  <w:style w:type="character" w:customStyle="1" w:styleId="ETASRHeading5Char">
    <w:name w:val="ETASR Heading 5 Char"/>
    <w:basedOn w:val="DefaultParagraphFont"/>
    <w:link w:val="ETASRHeading5"/>
    <w:rsid w:val="005A2B1C"/>
    <w:rPr>
      <w:rFonts w:eastAsia="MS Mincho"/>
      <w:caps/>
      <w:noProof/>
      <w:lang w:val="en-US" w:eastAsia="en-US"/>
    </w:rPr>
  </w:style>
  <w:style w:type="character" w:customStyle="1" w:styleId="name">
    <w:name w:val="name"/>
    <w:basedOn w:val="DefaultParagraphFont"/>
    <w:rsid w:val="000B5B0C"/>
  </w:style>
  <w:style w:type="character" w:customStyle="1" w:styleId="affiliation">
    <w:name w:val="affiliation"/>
    <w:basedOn w:val="DefaultParagraphFont"/>
    <w:rsid w:val="000B5B0C"/>
  </w:style>
  <w:style w:type="paragraph" w:customStyle="1" w:styleId="ETASRcode">
    <w:name w:val="ETASR code"/>
    <w:basedOn w:val="ETASRbodytext"/>
    <w:link w:val="ETASRcodeChar"/>
    <w:qFormat/>
    <w:rsid w:val="001E2588"/>
    <w:pPr>
      <w:spacing w:after="0" w:line="240" w:lineRule="auto"/>
      <w:ind w:firstLine="0"/>
      <w:jc w:val="left"/>
    </w:pPr>
    <w:rPr>
      <w:rFonts w:ascii="Courier New" w:hAnsi="Courier New"/>
    </w:rPr>
  </w:style>
  <w:style w:type="character" w:customStyle="1" w:styleId="ETASRbodytextChar">
    <w:name w:val="ETASR body text Char"/>
    <w:basedOn w:val="DefaultParagraphFont"/>
    <w:link w:val="ETASRbodytext"/>
    <w:rsid w:val="007B4F15"/>
    <w:rPr>
      <w:rFonts w:eastAsia="MS Mincho"/>
      <w:spacing w:val="-1"/>
      <w:lang w:val="en-US" w:eastAsia="en-US"/>
    </w:rPr>
  </w:style>
  <w:style w:type="character" w:customStyle="1" w:styleId="ETASRcodeChar">
    <w:name w:val="ETASR code Char"/>
    <w:basedOn w:val="ETASRbodytextChar"/>
    <w:link w:val="ETASRcode"/>
    <w:rsid w:val="001E2588"/>
    <w:rPr>
      <w:rFonts w:ascii="Courier New" w:eastAsia="MS Mincho" w:hAnsi="Courier New"/>
      <w:spacing w:val="-1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0F5D"/>
    <w:rPr>
      <w:color w:val="605E5C"/>
      <w:shd w:val="clear" w:color="auto" w:fill="E1DFDD"/>
    </w:rPr>
  </w:style>
  <w:style w:type="character" w:customStyle="1" w:styleId="q-box">
    <w:name w:val="q-box"/>
    <w:basedOn w:val="DefaultParagraphFont"/>
    <w:rsid w:val="007C48C1"/>
  </w:style>
  <w:style w:type="paragraph" w:styleId="NormalWeb">
    <w:name w:val="Normal (Web)"/>
    <w:basedOn w:val="Normal"/>
    <w:semiHidden/>
    <w:unhideWhenUsed/>
    <w:rsid w:val="004D000D"/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hyperlink" Id="rId55" Target="https://github.com/vokasitibrawijaya/byzantine-robust-fl-blockch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github.com/vokasitibrawijaya/byzantine-robust-fl-blockch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2026-06-26T14:56:34Z</dcterms:created>
  <dcterms:modified xsi:type="dcterms:W3CDTF">2026-06-26T14:56:34Z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