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Response to Reviewer Comments</w:t>
      </w:r>
      <w:r>
        <w:br/>
      </w:r>
      <w:r>
        <w:t xml:space="preserve">Manuscript #18579</w:t>
      </w:r>
      <w:r>
        <w:br/>
      </w:r>
      <w:r>
        <w:t xml:space="preserve">“Byzantine-Robust Federated Learning with Adaptive Aggregation and Blockchain:</w:t>
      </w:r>
      <w:r>
        <w:br/>
      </w:r>
      <w:r>
        <w:t xml:space="preserve">Empirical Validation of ATMA and Resolution of the Transparency Paradox”</w:t>
      </w:r>
      <w:r>
        <w:br/>
      </w:r>
      <w:r>
        <w:t xml:space="preserve">2026-04-13</w:t>
      </w:r>
    </w:p>
    <w:p>
      <w:r>
        <w:pict>
          <v:rect style="width:0;height:1.5pt" o:hralign="center" o:hrstd="t" o:hr="t"/>
        </w:pict>
      </w:r>
    </w:p>
    <w:p>
      <w:pPr>
        <w:pStyle w:val="FirstParagraph"/>
      </w:pPr>
      <w:r>
        <w:t xml:space="preserve">We sincerely thank the editor and reviewers for their constructive feedback. We have carefully addressed every comment below. All changes in the revised manuscript are marked with</w:t>
      </w:r>
      <w:r>
        <w:t xml:space="preserve"> </w:t>
      </w:r>
      <w:r>
        <w:t xml:space="preserve">blue text</w:t>
      </w:r>
      <w:r>
        <w:t xml:space="preserve"> </w:t>
      </w:r>
      <w:r>
        <w:t xml:space="preserve">where feasible. Page and section numbers refer to the revised manuscript that follows this response.</w:t>
      </w:r>
    </w:p>
    <w:p>
      <w:pPr>
        <w:pStyle w:val="BodyText"/>
      </w:pPr>
      <w:r>
        <w:rPr>
          <w:b/>
          <w:bCs/>
        </w:rPr>
        <w:t xml:space="preserve">Reviewer A</w:t>
      </w:r>
    </w:p>
    <w:p>
      <w:pPr>
        <w:pStyle w:val="BodyText"/>
      </w:pPr>
      <w:r>
        <w:rPr>
          <w:b/>
          <w:bCs/>
        </w:rPr>
        <w:t xml:space="preserve">Comment A1:</w:t>
      </w:r>
      <w:r>
        <w:t xml:space="preserve"> </w:t>
      </w:r>
      <w:r>
        <w:rPr>
          <w:i/>
          <w:iCs/>
        </w:rPr>
        <w:t xml:space="preserve">“Attack types are limited to label-flip and random noise; sophisticated attacks (ALIE [18], backdoor [20]) require future study.”</w:t>
      </w:r>
      <w:r>
        <w:rPr>
          <w:i/>
          <w:iCs/>
        </w:rPr>
        <w:t xml:space="preserve"> </w:t>
      </w:r>
      <w:r>
        <w:rPr>
          <w:i/>
          <w:iCs/>
        </w:rPr>
        <w:t xml:space="preserve">rephrase this as the citations look strange now</w:t>
      </w:r>
    </w:p>
    <w:p>
      <w:pPr>
        <w:pStyle w:val="BodyText"/>
      </w:pPr>
      <w:r>
        <w:rPr>
          <w:b/>
          <w:bCs/>
        </w:rPr>
        <w:t xml:space="preserve">Answer:</w:t>
      </w:r>
      <w:r>
        <w:t xml:space="preserve"> </w:t>
      </w:r>
      <w:r>
        <w:t xml:space="preserve">We agree that the inline citation format was unclear. We have rephrased the sentence in Section 7 (Limitations) as follows:</w:t>
      </w:r>
    </w:p>
    <w:p>
      <w:pPr>
        <w:pStyle w:val="BlockText"/>
      </w:pPr>
      <w:r>
        <w:t xml:space="preserve">“Attack types are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pStyle w:val="FirstParagraph"/>
      </w:pPr>
      <w:r>
        <w:t xml:space="preserve">The citation numbers now clearly refer to the named authors and their specific attack methods, eliminating the ambiguity.</w:t>
      </w:r>
    </w:p>
    <w:p>
      <w:pPr>
        <w:pStyle w:val="BodyText"/>
      </w:pPr>
      <w:r>
        <w:rPr>
          <w:b/>
          <w:bCs/>
        </w:rPr>
        <w:t xml:space="preserve">Comment A2:</w:t>
      </w:r>
      <w:r>
        <w:t xml:space="preserve"> </w:t>
      </w:r>
      <w:r>
        <w:rPr>
          <w:i/>
          <w:iCs/>
        </w:rPr>
        <w:t xml:space="preserve">Figures 1-2 not readable.</w:t>
      </w:r>
    </w:p>
    <w:p>
      <w:pPr>
        <w:pStyle w:val="BodyText"/>
      </w:pPr>
      <w:r>
        <w:rPr>
          <w:b/>
          <w:bCs/>
        </w:rPr>
        <w:t xml:space="preserve">Answer:</w:t>
      </w:r>
      <w:r>
        <w:t xml:space="preserve"> </w:t>
      </w:r>
      <w:r>
        <w:t xml:space="preserve">We have fully regenerated both figures:</w:t>
      </w:r>
    </w:p>
    <w:p>
      <w:pPr>
        <w:numPr>
          <w:ilvl w:val="0"/>
          <w:numId w:val="1001"/>
        </w:numPr>
      </w:pPr>
      <w:r>
        <w:rPr>
          <w:b/>
          <w:bCs/>
        </w:rPr>
        <w:t xml:space="preserve">Figure 1 (Convergence Comparison):</w:t>
      </w:r>
      <w:r>
        <w:t xml:space="preserve"> </w:t>
      </w:r>
      <w:r>
        <w:t xml:space="preserve">Regenerated at 300 DPI with distinct markers (square, triangle, diamond, circle), distinct colors, thicker lines (2.0–2.5 pt), and larger axis labels (13 pt bold). The figure now clearly shows CIFAR-10 convergence curves for all four algorithms (TrimmedMean, ATMA, Krum, FedAvg) over 160 rounds, with final accuracy values in the legend.</w:t>
      </w:r>
    </w:p>
    <w:p>
      <w:pPr>
        <w:numPr>
          <w:ilvl w:val="0"/>
          <w:numId w:val="1001"/>
        </w:numPr>
      </w:pPr>
      <w:r>
        <w:rPr>
          <w:b/>
          <w:bCs/>
        </w:rPr>
        <w:t xml:space="preserve">Figure 2 (ROC Curve):</w:t>
      </w:r>
      <w:r>
        <w:t xml:space="preserve"> </w:t>
      </w:r>
      <w:r>
        <w:t xml:space="preserve">Regenerated at 300 DPI with thicker curve lines (3.0 pt for blockchain, 2.5 pt for centralized), annotated optimal operating point (FPR=0.00, TPR=0.81), 13 pt bold axis labels, and clear legend showing AUC values.</w:t>
      </w:r>
    </w:p>
    <w:p>
      <w:pPr>
        <w:pStyle w:val="FirstParagraph"/>
      </w:pPr>
      <w:r>
        <w:t xml:space="preserve">Both figures are now publication-quality at 300 DPI with clearly distinguishable elements. The previous version suffered from low resolution and thin lines that became illegible in the Word document conversion.</w:t>
      </w:r>
    </w:p>
    <w:p>
      <w:pPr>
        <w:pStyle w:val="BodyText"/>
      </w:pPr>
      <w:r>
        <w:rPr>
          <w:b/>
          <w:bCs/>
        </w:rPr>
        <w:t xml:space="preserve">Comment A3:</w:t>
      </w:r>
      <w:r>
        <w:t xml:space="preserve"> </w:t>
      </w:r>
      <w:r>
        <w:rPr>
          <w:i/>
          <w:iCs/>
        </w:rPr>
        <w:t xml:space="preserve">Conclusion (and article) too short I think.</w:t>
      </w:r>
    </w:p>
    <w:p>
      <w:pPr>
        <w:pStyle w:val="BodyText"/>
      </w:pPr>
      <w:r>
        <w:rPr>
          <w:b/>
          <w:bCs/>
        </w:rPr>
        <w:t xml:space="preserve">Answer:</w:t>
      </w:r>
      <w:r>
        <w:t xml:space="preserve"> </w:t>
      </w:r>
      <w:r>
        <w:t xml:space="preserve">We have substantially expanded the Conclusion section from one page to approximately three pages. The expanded conclusion now includes:</w:t>
      </w:r>
    </w:p>
    <w:p>
      <w:pPr>
        <w:numPr>
          <w:ilvl w:val="0"/>
          <w:numId w:val="1002"/>
        </w:numPr>
      </w:pPr>
      <w:r>
        <w:rPr>
          <w:b/>
          <w:bCs/>
        </w:rPr>
        <w:t xml:space="preserve">Section 7.1 (Summary of Key Findings):</w:t>
      </w:r>
      <w:r>
        <w:t xml:space="preserve"> </w:t>
      </w:r>
      <w:r>
        <w:t xml:space="preserve">Four clearly numbered findings with specific accuracy values and statistical tests.</w:t>
      </w:r>
    </w:p>
    <w:p>
      <w:pPr>
        <w:numPr>
          <w:ilvl w:val="0"/>
          <w:numId w:val="1002"/>
        </w:numPr>
      </w:pPr>
      <w:r>
        <w:rPr>
          <w:b/>
          <w:bCs/>
        </w:rPr>
        <w:t xml:space="preserve">Section 7.2 (Comparative Analysis with Prior Work):</w:t>
      </w:r>
      <w:r>
        <w:t xml:space="preserve"> </w:t>
      </w:r>
      <w:r>
        <w:t xml:space="preserve">A new Table XII comparing our contributions against Blanchard et al. [3], Yin et al. [4], Shayan et al. [27], Kalibbala et al. [46], and Cao et al. [35] across six dimensions (robust aggregation, blockchain audit, adaptive defense, non-IID validation, transparency paradox, multi-seed CI).</w:t>
      </w:r>
    </w:p>
    <w:p>
      <w:pPr>
        <w:numPr>
          <w:ilvl w:val="0"/>
          <w:numId w:val="1002"/>
        </w:numPr>
      </w:pPr>
      <w:r>
        <w:rPr>
          <w:b/>
          <w:bCs/>
        </w:rPr>
        <w:t xml:space="preserve">Section 7.3 (Practical Contributions and Deployment Guidelines):</w:t>
      </w:r>
      <w:r>
        <w:t xml:space="preserve"> </w:t>
      </w:r>
      <w:r>
        <w:t xml:space="preserve">Concrete recommendations for algorithm selection, cost management, scalability, and security posture.</w:t>
      </w:r>
    </w:p>
    <w:p>
      <w:pPr>
        <w:numPr>
          <w:ilvl w:val="0"/>
          <w:numId w:val="1002"/>
        </w:numPr>
      </w:pPr>
      <w:r>
        <w:rPr>
          <w:b/>
          <w:bCs/>
        </w:rPr>
        <w:t xml:space="preserve">Section 7.4 (Limitations):</w:t>
      </w:r>
      <w:r>
        <w:t xml:space="preserve"> </w:t>
      </w:r>
      <w:r>
        <w:t xml:space="preserve">Honest enumeration of four specific limitations.</w:t>
      </w:r>
    </w:p>
    <w:p>
      <w:pPr>
        <w:numPr>
          <w:ilvl w:val="0"/>
          <w:numId w:val="1002"/>
        </w:numPr>
      </w:pPr>
      <w:r>
        <w:rPr>
          <w:b/>
          <w:bCs/>
        </w:rPr>
        <w:t xml:space="preserve">Section 7.5 (Future Work):</w:t>
      </w:r>
      <w:r>
        <w:t xml:space="preserve"> </w:t>
      </w:r>
      <w:r>
        <w:t xml:space="preserve">Six concrete future research directions.</w:t>
      </w:r>
    </w:p>
    <w:p>
      <w:pPr>
        <w:pStyle w:val="FirstParagraph"/>
      </w:pPr>
      <w:r>
        <w:rPr>
          <w:b/>
          <w:bCs/>
        </w:rPr>
        <w:t xml:space="preserve">Comment A4:</w:t>
      </w:r>
      <w:r>
        <w:t xml:space="preserve"> </w:t>
      </w:r>
      <w:r>
        <w:rPr>
          <w:i/>
          <w:iCs/>
        </w:rPr>
        <w:t xml:space="preserve">Expand it to include comparative analysis, contribution discussion.</w:t>
      </w:r>
    </w:p>
    <w:p>
      <w:pPr>
        <w:pStyle w:val="BodyText"/>
      </w:pPr>
      <w:r>
        <w:rPr>
          <w:b/>
          <w:bCs/>
        </w:rPr>
        <w:t xml:space="preserve">Answer:</w:t>
      </w:r>
      <w:r>
        <w:t xml:space="preserve"> </w:t>
      </w:r>
      <w:r>
        <w:t xml:space="preserve">Addressed in Comment A3 above. Table XII in the revised conclusion provides a structured comparative analysis against five key prior studies, and the</w:t>
      </w:r>
      <w:r>
        <w:t xml:space="preserve"> </w:t>
      </w:r>
      <w:r>
        <w:t xml:space="preserve">“Practical Contributions”</w:t>
      </w:r>
      <w:r>
        <w:t xml:space="preserve"> </w:t>
      </w:r>
      <w:r>
        <w:t xml:space="preserve">subsection explicitly discusses what each contribution means for practitioners deploying Byzantine-robust federated learning.</w:t>
      </w:r>
    </w:p>
    <w:p>
      <w:r>
        <w:pict>
          <v:rect style="width:0;height:1.5pt" o:hralign="center" o:hrstd="t" o:hr="t"/>
        </w:pict>
      </w:r>
    </w:p>
    <w:p>
      <w:pPr>
        <w:pStyle w:val="FirstParagraph"/>
      </w:pPr>
      <w:r>
        <w:rPr>
          <w:b/>
          <w:bCs/>
        </w:rPr>
        <w:t xml:space="preserve">Reviewer B</w:t>
      </w:r>
    </w:p>
    <w:p>
      <w:pPr>
        <w:pStyle w:val="BodyText"/>
      </w:pPr>
      <w:r>
        <w:rPr>
          <w:b/>
          <w:bCs/>
        </w:rPr>
        <w:t xml:space="preserve">Comment B1:</w:t>
      </w:r>
      <w:r>
        <w:t xml:space="preserve"> </w:t>
      </w:r>
      <w:r>
        <w:rPr>
          <w:i/>
          <w:iCs/>
        </w:rPr>
        <w:t xml:space="preserve">It is not clear what EXACTLY the authors did and how (step by step).</w:t>
      </w:r>
    </w:p>
    <w:p>
      <w:pPr>
        <w:pStyle w:val="BodyText"/>
      </w:pPr>
      <w:r>
        <w:rPr>
          <w:b/>
          <w:bCs/>
        </w:rPr>
        <w:t xml:space="preserve">Answer:</w:t>
      </w:r>
      <w:r>
        <w:t xml:space="preserve"> </w:t>
      </w:r>
      <w:r>
        <w:t xml:space="preserve">We acknowledge this was a significant weakness in the original manuscript. We have added a new subsection</w:t>
      </w:r>
      <w:r>
        <w:t xml:space="preserve"> </w:t>
      </w:r>
      <w:r>
        <w:rPr>
          <w:b/>
          <w:bCs/>
        </w:rPr>
        <w:t xml:space="preserve">Section 4.6</w:t>
      </w:r>
      <w:r>
        <w:rPr>
          <w:b/>
          <w:bCs/>
        </w:rPr>
        <w:t xml:space="preserve"> </w:t>
      </w:r>
      <w:r>
        <w:rPr>
          <w:b/>
          <w:bCs/>
        </w:rPr>
        <w:t xml:space="preserve">“Step-by-Step Experimental Procedure”</w:t>
      </w:r>
      <w:r>
        <w:t xml:space="preserve"> </w:t>
      </w:r>
      <w:r>
        <w:t xml:space="preserve">that describes the exact procedure we executed, with no generic terms:</w:t>
      </w:r>
    </w:p>
    <w:p>
      <w:pPr>
        <w:numPr>
          <w:ilvl w:val="0"/>
          <w:numId w:val="1003"/>
        </w:numPr>
      </w:pPr>
      <w:r>
        <w:rPr>
          <w:b/>
          <w:bCs/>
        </w:rPr>
        <w:t xml:space="preserve">Data Loading:</w:t>
      </w:r>
      <w:r>
        <w:t xml:space="preserve"> </w:t>
      </w:r>
      <w:r>
        <w:t xml:space="preserve">Downloaded MNIST via</w:t>
      </w:r>
      <w:r>
        <w:t xml:space="preserve"> </w:t>
      </w:r>
      <w:r>
        <w:rPr>
          <w:rStyle w:val="VerbatimChar"/>
        </w:rPr>
        <w:t xml:space="preserve">torchvision.datasets.MNIST</w:t>
      </w:r>
      <w:r>
        <w:t xml:space="preserve"> </w:t>
      </w:r>
      <w:r>
        <w:t xml:space="preserve">and CIFAR-10 via</w:t>
      </w:r>
      <w:r>
        <w:t xml:space="preserve"> </w:t>
      </w:r>
      <w:r>
        <w:rPr>
          <w:rStyle w:val="VerbatimChar"/>
        </w:rPr>
        <w:t xml:space="preserve">torchvision.datasets.CIFAR10</w:t>
      </w:r>
      <w:r>
        <w:t xml:space="preserve">; normalized with dataset-specific</w:t>
      </w:r>
      <w:r>
        <w:t xml:space="preserve"> </w:t>
      </w:r>
      <m:oMath>
        <m:r>
          <m:t>μ</m:t>
        </m:r>
      </m:oMath>
      <w:r>
        <w:t xml:space="preserve"> </w:t>
      </w:r>
      <w:r>
        <w:t xml:space="preserve">and</w:t>
      </w:r>
      <w:r>
        <w:t xml:space="preserve"> </w:t>
      </w:r>
      <m:oMath>
        <m:r>
          <m:t>σ</m:t>
        </m:r>
      </m:oMath>
      <w:r>
        <w:t xml:space="preserve"> </w:t>
      </w:r>
      <w:r>
        <w:t xml:space="preserve">values.</w:t>
      </w:r>
    </w:p>
    <w:p>
      <w:pPr>
        <w:numPr>
          <w:ilvl w:val="0"/>
          <w:numId w:val="1003"/>
        </w:numPr>
      </w:pPr>
      <w:r>
        <w:rPr>
          <w:b/>
          <w:bCs/>
        </w:rPr>
        <w:t xml:space="preserve">Non-IID Partitioning:</w:t>
      </w:r>
      <w:r>
        <w:t xml:space="preserve"> </w:t>
      </w:r>
      <w:r>
        <w:t xml:space="preserve">Applied Dirichlet(</w:t>
      </w:r>
      <m:oMath>
        <m:r>
          <m:t>α</m:t>
        </m:r>
        <m:r>
          <m:rPr>
            <m:sty m:val="p"/>
          </m:rPr>
          <m:t>=</m:t>
        </m:r>
        <m:r>
          <m:t>0.5</m:t>
        </m:r>
      </m:oMath>
      <w:r>
        <w:t xml:space="preserve">) allocation using</w:t>
      </w:r>
      <w:r>
        <w:t xml:space="preserve"> </w:t>
      </w:r>
      <w:r>
        <w:rPr>
          <w:rStyle w:val="VerbatimChar"/>
        </w:rPr>
        <w:t xml:space="preserve">numpy.random.dirichlet</w:t>
      </w:r>
      <w:r>
        <w:t xml:space="preserve"> </w:t>
      </w:r>
      <w:r>
        <w:t xml:space="preserve">to create heterogeneous per-client data splits.</w:t>
      </w:r>
    </w:p>
    <w:p>
      <w:pPr>
        <w:numPr>
          <w:ilvl w:val="0"/>
          <w:numId w:val="1003"/>
        </w:numPr>
      </w:pPr>
      <w:r>
        <w:rPr>
          <w:b/>
          <w:bCs/>
        </w:rPr>
        <w:t xml:space="preserve">Model Initialization:</w:t>
      </w:r>
      <w:r>
        <w:t xml:space="preserve"> </w:t>
      </w:r>
      <w:r>
        <w:t xml:space="preserve">SimpleMNISTNet for MNIST (2 Conv + 2 FC); ResNet-18 for CIFAR-10. Same seed for identical initialization.</w:t>
      </w:r>
    </w:p>
    <w:p>
      <w:pPr>
        <w:numPr>
          <w:ilvl w:val="0"/>
          <w:numId w:val="1003"/>
        </w:numPr>
      </w:pPr>
      <w:r>
        <w:rPr>
          <w:b/>
          <w:bCs/>
        </w:rPr>
        <w:t xml:space="preserve">Byzantine Client Selection:</w:t>
      </w:r>
      <w:r>
        <w:t xml:space="preserve"> </w:t>
      </w:r>
      <w:r>
        <w:t xml:space="preserve">Randomly selected 4 of 20 clients as Byzantine, fixed per seed.</w:t>
      </w:r>
    </w:p>
    <w:p>
      <w:pPr>
        <w:numPr>
          <w:ilvl w:val="0"/>
          <w:numId w:val="1003"/>
        </w:numPr>
      </w:pPr>
      <w:r>
        <w:rPr>
          <w:b/>
          <w:bCs/>
        </w:rPr>
        <w:t xml:space="preserve">Blockchain Contract Deployment:</w:t>
      </w:r>
      <w:r>
        <w:t xml:space="preserve"> </w:t>
      </w:r>
      <w:r>
        <w:t xml:space="preserve">Deployed</w:t>
      </w:r>
      <w:r>
        <w:t xml:space="preserve"> </w:t>
      </w:r>
      <w:r>
        <w:rPr>
          <w:rStyle w:val="VerbatimChar"/>
        </w:rPr>
        <w:t xml:space="preserve">FederatedLearningAggregator</w:t>
      </w:r>
      <w:r>
        <w:t xml:space="preserve"> </w:t>
      </w:r>
      <w:r>
        <w:t xml:space="preserve">Solidity contract to Ganache using</w:t>
      </w:r>
      <w:r>
        <w:t xml:space="preserve"> </w:t>
      </w:r>
      <w:r>
        <w:rPr>
          <w:rStyle w:val="VerbatimChar"/>
        </w:rPr>
        <w:t xml:space="preserve">solcx</w:t>
      </w:r>
      <w:r>
        <w:t xml:space="preserve">.</w:t>
      </w:r>
    </w:p>
    <w:p>
      <w:pPr>
        <w:numPr>
          <w:ilvl w:val="0"/>
          <w:numId w:val="1003"/>
        </w:numPr>
      </w:pPr>
      <w:r>
        <w:rPr>
          <w:b/>
          <w:bCs/>
        </w:rPr>
        <w:t xml:space="preserve">Training Loop</w:t>
      </w:r>
      <w:r>
        <w:t xml:space="preserve"> </w:t>
      </w:r>
      <w:r>
        <w:t xml:space="preserve">(per round): client selection</w:t>
      </w:r>
      <w:r>
        <w:t xml:space="preserve"> </w:t>
      </w:r>
      <m:oMath>
        <m:r>
          <m:rPr>
            <m:sty m:val="p"/>
          </m:rPr>
          <m:t>→</m:t>
        </m:r>
      </m:oMath>
      <w:r>
        <w:t xml:space="preserve"> </w:t>
      </w:r>
      <w:r>
        <w:t xml:space="preserve">local SGD training</w:t>
      </w:r>
      <w:r>
        <w:t xml:space="preserve"> </w:t>
      </w:r>
      <m:oMath>
        <m:r>
          <m:rPr>
            <m:sty m:val="p"/>
          </m:rPr>
          <m:t>→</m:t>
        </m:r>
      </m:oMath>
      <w:r>
        <w:t xml:space="preserve"> </w:t>
      </w:r>
      <w:r>
        <w:t xml:space="preserve">Byzantine attack injection (label-flip + scale</w:t>
      </w:r>
      <w:r>
        <w:t xml:space="preserve"> </w:t>
      </w:r>
      <m:oMath>
        <m:r>
          <m:t>λ</m:t>
        </m:r>
        <m:r>
          <m:rPr>
            <m:sty m:val="p"/>
          </m:rPr>
          <m:t>=</m:t>
        </m:r>
        <m:r>
          <m:rPr>
            <m:sty m:val="p"/>
          </m:rPr>
          <m:t>−</m:t>
        </m:r>
        <m:r>
          <m:t>5.0</m:t>
        </m:r>
      </m:oMath>
      <w:r>
        <w:t xml:space="preserve">)</w:t>
      </w:r>
      <w:r>
        <w:t xml:space="preserve"> </w:t>
      </w:r>
      <m:oMath>
        <m:r>
          <m:rPr>
            <m:sty m:val="p"/>
          </m:rPr>
          <m:t>→</m:t>
        </m:r>
      </m:oMath>
      <w:r>
        <w:t xml:space="preserve"> </w:t>
      </w:r>
      <w:r>
        <w:t xml:space="preserve">blockchain submission (SHA-256 hash)</w:t>
      </w:r>
      <w:r>
        <w:t xml:space="preserve"> </w:t>
      </w:r>
      <m:oMath>
        <m:r>
          <m:rPr>
            <m:sty m:val="p"/>
          </m:rPr>
          <m:t>→</m:t>
        </m:r>
      </m:oMath>
      <w:r>
        <w:t xml:space="preserve"> </w:t>
      </w:r>
      <w:r>
        <w:t xml:space="preserve">server-side aggregation</w:t>
      </w:r>
      <w:r>
        <w:t xml:space="preserve"> </w:t>
      </w:r>
      <m:oMath>
        <m:r>
          <m:rPr>
            <m:sty m:val="p"/>
          </m:rPr>
          <m:t>→</m:t>
        </m:r>
      </m:oMath>
      <w:r>
        <w:t xml:space="preserve"> </w:t>
      </w:r>
      <w:r>
        <w:t xml:space="preserve">Byzantine detection logging (on-chain)</w:t>
      </w:r>
      <w:r>
        <w:t xml:space="preserve"> </w:t>
      </w:r>
      <m:oMath>
        <m:r>
          <m:rPr>
            <m:sty m:val="p"/>
          </m:rPr>
          <m:t>→</m:t>
        </m:r>
      </m:oMath>
      <w:r>
        <w:t xml:space="preserve"> </w:t>
      </w:r>
      <w:r>
        <w:t xml:space="preserve">global model update</w:t>
      </w:r>
      <w:r>
        <w:t xml:space="preserve"> </w:t>
      </w:r>
      <m:oMath>
        <m:r>
          <m:rPr>
            <m:sty m:val="p"/>
          </m:rPr>
          <m:t>→</m:t>
        </m:r>
      </m:oMath>
      <w:r>
        <w:t xml:space="preserve"> </w:t>
      </w:r>
      <w:r>
        <w:t xml:space="preserve">test evaluation.</w:t>
      </w:r>
    </w:p>
    <w:p>
      <w:pPr>
        <w:numPr>
          <w:ilvl w:val="0"/>
          <w:numId w:val="1003"/>
        </w:numPr>
      </w:pPr>
      <w:r>
        <w:rPr>
          <w:b/>
          <w:bCs/>
        </w:rPr>
        <w:t xml:space="preserve">Result Serialization:</w:t>
      </w:r>
      <w:r>
        <w:t xml:space="preserve"> </w:t>
      </w:r>
      <w:r>
        <w:t xml:space="preserve">All metrics saved to JSON.</w:t>
      </w:r>
    </w:p>
    <w:p>
      <w:pPr>
        <w:numPr>
          <w:ilvl w:val="0"/>
          <w:numId w:val="1003"/>
        </w:numPr>
      </w:pPr>
      <w:r>
        <w:rPr>
          <w:b/>
          <w:bCs/>
        </w:rPr>
        <w:t xml:space="preserve">Multi-Seed Replication:</w:t>
      </w:r>
      <w:r>
        <w:t xml:space="preserve"> </w:t>
      </w:r>
      <w:r>
        <w:t xml:space="preserve">Seeds 42, 43, 44 for confidence intervals.</w:t>
      </w:r>
    </w:p>
    <w:p>
      <w:pPr>
        <w:pStyle w:val="FirstParagraph"/>
      </w:pPr>
      <w:r>
        <w:t xml:space="preserve">The detailed 8-step procedure in the revised manuscript specifies every operation, parameter value, and code-level function, so that another researcher can reproduce our work exactly.</w:t>
      </w:r>
    </w:p>
    <w:p>
      <w:pPr>
        <w:pStyle w:val="BodyText"/>
      </w:pPr>
      <w:r>
        <w:rPr>
          <w:b/>
          <w:bCs/>
        </w:rPr>
        <w:t xml:space="preserve">Comment B2:</w:t>
      </w:r>
      <w:r>
        <w:t xml:space="preserve"> </w:t>
      </w:r>
      <w:r>
        <w:rPr>
          <w:i/>
          <w:iCs/>
        </w:rPr>
        <w:t xml:space="preserve">There is no point in throwing a lot of terms without being specific on what you did exactly and how. Not generic information. SPECIFICALLY in this work.</w:t>
      </w:r>
    </w:p>
    <w:p>
      <w:pPr>
        <w:pStyle w:val="BodyText"/>
      </w:pPr>
      <w:r>
        <w:rPr>
          <w:b/>
          <w:bCs/>
        </w:rPr>
        <w:t xml:space="preserve">Answer:</w:t>
      </w:r>
      <w:r>
        <w:t xml:space="preserve"> </w:t>
      </w:r>
      <w:r>
        <w:t xml:space="preserve">We completely agree. Beyond the new Step-by-Step procedure (Section 4.6), we have reviewed the entire paper to ensure specificity. Key improvements:</w:t>
      </w:r>
    </w:p>
    <w:p>
      <w:pPr>
        <w:numPr>
          <w:ilvl w:val="0"/>
          <w:numId w:val="1004"/>
        </w:numPr>
      </w:pPr>
      <w:r>
        <w:rPr>
          <w:b/>
          <w:bCs/>
        </w:rPr>
        <w:t xml:space="preserve">Every aggregation algorithm</w:t>
      </w:r>
      <w:r>
        <w:t xml:space="preserve"> </w:t>
      </w:r>
      <w:r>
        <w:t xml:space="preserve">is described with its exact formula and our configuration (e.g., TrimmedMean:</w:t>
      </w:r>
      <w:r>
        <w:t xml:space="preserve"> </w:t>
      </w:r>
      <m:oMath>
        <m:r>
          <m:t>β</m:t>
        </m:r>
        <m:r>
          <m:rPr>
            <m:sty m:val="p"/>
          </m:rPr>
          <m:t>=</m:t>
        </m:r>
        <m:r>
          <m:t>0.2</m:t>
        </m:r>
      </m:oMath>
      <w:r>
        <w:t xml:space="preserve">, meaning top/bottom 20% trimmed per coordinate; ATMA: adaptation rate</w:t>
      </w:r>
      <w:r>
        <w:t xml:space="preserve"> </w:t>
      </w:r>
      <m:oMath>
        <m:r>
          <m:t>α</m:t>
        </m:r>
        <m:r>
          <m:rPr>
            <m:sty m:val="p"/>
          </m:rPr>
          <m:t>=</m:t>
        </m:r>
        <m:r>
          <m:t>0.05</m:t>
        </m:r>
      </m:oMath>
      <w:r>
        <w:t xml:space="preserve">, bounds</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w:t>
      </w:r>
    </w:p>
    <w:p>
      <w:pPr>
        <w:numPr>
          <w:ilvl w:val="0"/>
          <w:numId w:val="1004"/>
        </w:numPr>
      </w:pPr>
      <w:r>
        <w:rPr>
          <w:b/>
          <w:bCs/>
        </w:rPr>
        <w:t xml:space="preserve">Every experiment</w:t>
      </w:r>
      <w:r>
        <w:t xml:space="preserve"> </w:t>
      </w:r>
      <w:r>
        <w:t xml:space="preserve">references the</w:t>
      </w:r>
      <w:r>
        <w:t xml:space="preserve"> </w:t>
      </w:r>
      <w:r>
        <w:rPr>
          <w:b/>
          <w:bCs/>
        </w:rPr>
        <w:t xml:space="preserve">specific result file</w:t>
      </w:r>
      <w:r>
        <w:t xml:space="preserve"> </w:t>
      </w:r>
      <w:r>
        <w:t xml:space="preserve">in our public repository (Table I lists file names:</w:t>
      </w:r>
      <w:r>
        <w:t xml:space="preserve"> </w:t>
      </w:r>
      <w:r>
        <w:rPr>
          <w:rStyle w:val="VerbatimChar"/>
        </w:rPr>
        <w:t xml:space="preserve">h2_valid_rerun.json</w:t>
      </w:r>
      <w:r>
        <w:t xml:space="preserve">,</w:t>
      </w:r>
      <w:r>
        <w:t xml:space="preserve"> </w:t>
      </w:r>
      <w:r>
        <w:rPr>
          <w:rStyle w:val="VerbatimChar"/>
        </w:rPr>
        <w:t xml:space="preserve">real_fl_FIXED.json</w:t>
      </w:r>
      <w:r>
        <w:t xml:space="preserve">, etc.).</w:t>
      </w:r>
    </w:p>
    <w:p>
      <w:pPr>
        <w:numPr>
          <w:ilvl w:val="0"/>
          <w:numId w:val="1004"/>
        </w:numPr>
      </w:pPr>
      <w:r>
        <w:rPr>
          <w:b/>
          <w:bCs/>
        </w:rPr>
        <w:t xml:space="preserve">Specific data paths:</w:t>
      </w:r>
      <w:r>
        <w:t xml:space="preserve"> </w:t>
      </w:r>
      <w:r>
        <w:t xml:space="preserve">We state that MNIST is loaded</w:t>
      </w:r>
      <w:r>
        <w:t xml:space="preserve"> </w:t>
      </w:r>
      <w:r>
        <w:t xml:space="preserve">“via</w:t>
      </w:r>
      <w:r>
        <w:t xml:space="preserve"> </w:t>
      </w:r>
      <w:r>
        <w:rPr>
          <w:rStyle w:val="VerbatimChar"/>
        </w:rPr>
        <w:t xml:space="preserve">torchvision.datasets.MNIST</w:t>
      </w:r>
      <w:r>
        <w:t xml:space="preserve">”</w:t>
      </w:r>
      <w:r>
        <w:t xml:space="preserve"> </w:t>
      </w:r>
      <w:r>
        <w:t xml:space="preserve">(not just</w:t>
      </w:r>
      <w:r>
        <w:t xml:space="preserve"> </w:t>
      </w:r>
      <w:r>
        <w:t xml:space="preserve">“MNIST dataset”</w:t>
      </w:r>
      <w:r>
        <w:t xml:space="preserve">), Dirichlet partitioning is done</w:t>
      </w:r>
      <w:r>
        <w:t xml:space="preserve"> </w:t>
      </w:r>
      <w:r>
        <w:t xml:space="preserve">“using</w:t>
      </w:r>
      <w:r>
        <w:t xml:space="preserve"> </w:t>
      </w:r>
      <w:r>
        <w:rPr>
          <w:rStyle w:val="VerbatimChar"/>
        </w:rPr>
        <w:t xml:space="preserve">numpy.random.dirichlet</w:t>
      </w:r>
      <w:r>
        <w:t xml:space="preserve">”</w:t>
      </w:r>
      <w:r>
        <w:t xml:space="preserve"> </w:t>
      </w:r>
      <w:r>
        <w:t xml:space="preserve">with</w:t>
      </w:r>
      <w:r>
        <w:t xml:space="preserve"> </w:t>
      </w:r>
      <m:oMath>
        <m:r>
          <m:t>α</m:t>
        </m:r>
        <m:r>
          <m:rPr>
            <m:sty m:val="p"/>
          </m:rPr>
          <m:t>=</m:t>
        </m:r>
        <m:r>
          <m:t>0.5</m:t>
        </m:r>
      </m:oMath>
      <w:r>
        <w:t xml:space="preserve">.</w:t>
      </w:r>
    </w:p>
    <w:p>
      <w:pPr>
        <w:numPr>
          <w:ilvl w:val="0"/>
          <w:numId w:val="1004"/>
        </w:numPr>
      </w:pPr>
      <w:r>
        <w:rPr>
          <w:b/>
          <w:bCs/>
        </w:rPr>
        <w:t xml:space="preserve">Blockchain operations:</w:t>
      </w:r>
      <w:r>
        <w:t xml:space="preserve"> </w:t>
      </w:r>
      <w:r>
        <w:t xml:space="preserve">Contract deployment gas (1,724,238 gas), per-submission gas (</w:t>
      </w:r>
      <m:oMath>
        <m:r>
          <m:rPr>
            <m:sty m:val="p"/>
          </m:rPr>
          <m:t>≈</m:t>
        </m:r>
      </m:oMath>
      <w:r>
        <w:t xml:space="preserve">75,000 gas), and each on-chain function call (</w:t>
      </w:r>
      <w:r>
        <w:rPr>
          <w:rStyle w:val="VerbatimChar"/>
        </w:rPr>
        <w:t xml:space="preserve">submitUpdate</w:t>
      </w:r>
      <w:r>
        <w:t xml:space="preserve">,</w:t>
      </w:r>
      <w:r>
        <w:t xml:space="preserve"> </w:t>
      </w:r>
      <w:r>
        <w:rPr>
          <w:rStyle w:val="VerbatimChar"/>
        </w:rPr>
        <w:t xml:space="preserve">markByzantine</w:t>
      </w:r>
      <w:r>
        <w:t xml:space="preserve">,</w:t>
      </w:r>
      <w:r>
        <w:t xml:space="preserve"> </w:t>
      </w:r>
      <w:r>
        <w:rPr>
          <w:rStyle w:val="VerbatimChar"/>
        </w:rPr>
        <w:t xml:space="preserve">completeRound</w:t>
      </w:r>
      <w:r>
        <w:t xml:space="preserve">) are explicitly described.</w:t>
      </w:r>
    </w:p>
    <w:p>
      <w:pPr>
        <w:numPr>
          <w:ilvl w:val="0"/>
          <w:numId w:val="1004"/>
        </w:numPr>
      </w:pPr>
      <w:r>
        <w:rPr>
          <w:b/>
          <w:bCs/>
        </w:rPr>
        <w:t xml:space="preserve">All source code</w:t>
      </w:r>
      <w:r>
        <w:t xml:space="preserve"> </w:t>
      </w:r>
      <w:r>
        <w:t xml:space="preserve">is available at</w:t>
      </w:r>
      <w:r>
        <w:t xml:space="preserve"> </w:t>
      </w:r>
      <w:hyperlink r:id="rId9">
        <w:r>
          <w:rPr>
            <w:rStyle w:val="Hyperlink"/>
          </w:rPr>
          <w:t xml:space="preserve">https://github.com/vokasitibrawijaya/byzantine-robust-fl-blockchain</w:t>
        </w:r>
      </w:hyperlink>
      <w:r>
        <w:t xml:space="preserve"> </w:t>
      </w:r>
      <w:r>
        <w:t xml:space="preserve">for full reproducibility.</w:t>
      </w:r>
    </w:p>
    <w:p>
      <w:pPr>
        <w:pStyle w:val="FirstParagraph"/>
      </w:pPr>
      <w:r>
        <w:rPr>
          <w:b/>
          <w:bCs/>
        </w:rPr>
        <w:t xml:space="preserve">— REVISED MANUSCRIPT FOLLOWS —</w:t>
      </w:r>
      <w:r>
        <w:br/>
      </w:r>
      <w:r>
        <w:t xml:space="preserve">See separate file:</w:t>
      </w:r>
      <w:r>
        <w:t xml:space="preserve"> </w:t>
      </w:r>
      <w:r>
        <w:rPr>
          <w:rStyle w:val="VerbatimChar"/>
        </w:rPr>
        <w:t xml:space="preserve">1kolomByzantine_Robust_Federated_Learning_</w:t>
      </w:r>
      <w:r>
        <w:br/>
      </w:r>
      <w:r>
        <w:rPr>
          <w:rStyle w:val="VerbatimChar"/>
        </w:rPr>
        <w:t xml:space="preserve">with_Adaptive_Aggregation_and_Blockchain_FIXED.tex</w:t>
      </w:r>
    </w:p>
    <w:p>
      <w:pPr>
        <w:pStyle w:val="Title"/>
      </w:pPr>
      <w:r>
        <w:rPr>
          <w:b/>
          <w:bCs/>
        </w:rPr>
        <w:t xml:space="preserve">Byzantine-Robust Federated Learning with Adaptive Aggregation and Blockchain: Empirical Validation of ATMA and Resolution of the Transparency Paradox</w:t>
      </w:r>
    </w:p>
    <w:p>
      <w:pPr>
        <w:pStyle w:val="Author"/>
      </w:pPr>
      <w:r>
        <w:t xml:space="preserve">Rachmad Andri Atmoko</w:t>
      </w:r>
      <m:oMath>
        <m:sSup>
          <m:e>
            <m:r>
              <m:t>​</m:t>
            </m:r>
          </m:e>
          <m:sup>
            <m:r>
              <m:t>1</m:t>
            </m:r>
            <m:r>
              <m:rPr>
                <m:sty m:val="p"/>
              </m:rPr>
              <m:t>,</m:t>
            </m:r>
            <m:r>
              <m:t>2</m:t>
            </m:r>
          </m:sup>
        </m:sSup>
      </m:oMath>
      <w:r>
        <w:t xml:space="preserve">,</w:t>
      </w:r>
      <w:r>
        <w:t xml:space="preserve"> </w:t>
      </w:r>
      <w:r>
        <w:t xml:space="preserve">Sholeh Hadi Pramono</w:t>
      </w:r>
      <m:oMath>
        <m:sSup>
          <m:e>
            <m:r>
              <m:t>​</m:t>
            </m:r>
          </m:e>
          <m:sup>
            <m:r>
              <m:t>1</m:t>
            </m:r>
          </m:sup>
        </m:sSup>
      </m:oMath>
      <w:r>
        <w:t xml:space="preserve">,</w:t>
      </w:r>
      <w:r>
        <w:t xml:space="preserve"> </w:t>
      </w:r>
      <w:r>
        <w:t xml:space="preserve">M. Fauzan Edy Purnomo</w:t>
      </w:r>
      <m:oMath>
        <m:sSup>
          <m:e>
            <m:r>
              <m:t>​</m:t>
            </m:r>
          </m:e>
          <m:sup>
            <m:r>
              <m:t>1</m:t>
            </m:r>
          </m:sup>
        </m:sSup>
      </m:oMath>
      <w:r>
        <w:t xml:space="preserve">,</w:t>
      </w:r>
      <w:r>
        <w:t xml:space="preserve"> </w:t>
      </w:r>
      <w:r>
        <w:t xml:space="preserve">Panca Mudjirahardjo</w:t>
      </w:r>
      <m:oMath>
        <m:sSup>
          <m:e>
            <m:r>
              <m:t>​</m:t>
            </m:r>
          </m:e>
          <m:sup>
            <m:r>
              <m:t>1</m:t>
            </m:r>
          </m:sup>
        </m:sSup>
      </m:oMath>
      <w:r>
        <w:t xml:space="preserve">,</w:t>
      </w:r>
      <w:r>
        <w:t xml:space="preserve"> </w:t>
      </w:r>
      <w:r>
        <w:t xml:space="preserve">Mahdin Rohmatillah</w:t>
      </w:r>
      <m:oMath>
        <m:sSup>
          <m:e>
            <m:r>
              <m:t>​</m:t>
            </m:r>
          </m:e>
          <m:sup>
            <m:r>
              <m:t>1</m:t>
            </m:r>
          </m:sup>
        </m:sSup>
      </m:oMath>
      <w:r>
        <w:t xml:space="preserve">, and</w:t>
      </w:r>
      <w:r>
        <w:t xml:space="preserve"> </w:t>
      </w:r>
      <w:r>
        <w:t xml:space="preserve">Cries Avian</w:t>
      </w:r>
      <m:oMath>
        <m:sSup>
          <m:e>
            <m:r>
              <m:t>​</m:t>
            </m:r>
          </m:e>
          <m:sup>
            <m:r>
              <m:t>1</m:t>
            </m:r>
          </m:sup>
        </m:sSup>
      </m:oMath>
      <w:r>
        <w:br/>
      </w:r>
      <m:oMath>
        <m:sSup>
          <m:e>
            <m:r>
              <m:t>​</m:t>
            </m:r>
          </m:e>
          <m:sup>
            <m:r>
              <m:t>1</m:t>
            </m:r>
          </m:sup>
        </m:sSup>
      </m:oMath>
      <w:r>
        <w:t xml:space="preserve">Electrical Engineering Department, Faculty of Engineering, Universitas Brawijaya, Malang 65145, Indonesia</w:t>
      </w:r>
      <w:r>
        <w:br/>
      </w:r>
      <m:oMath>
        <m:sSup>
          <m:e>
            <m:r>
              <m:t>​</m:t>
            </m:r>
          </m:e>
          <m:sup>
            <m:r>
              <m:t>2</m:t>
            </m:r>
          </m:sup>
        </m:sSup>
      </m:oMath>
      <w:r>
        <w:t xml:space="preserve">Faculty of Vocational Studies, Universitas Brawijaya, Malang 65145, Indonesia</w:t>
      </w:r>
      <w:r>
        <w:br/>
      </w:r>
      <w:r>
        <w:rPr>
          <w:i/>
          <w:iCs/>
        </w:rPr>
        <w:t xml:space="preserve">Corresponding author: Sholeh Hadi Pramono (e-mail: sholehpramono@ub.ac.id)</w:t>
      </w:r>
    </w:p>
    <w:p>
      <w:pPr>
        <w:pStyle w:val="Date"/>
      </w:pPr>
      <w:r>
        <w:t xml:space="preserve">January 2026</w:t>
      </w:r>
    </w:p>
    <w:p>
      <w:pPr>
        <w:pStyle w:val="AbstractTitle"/>
      </w:pPr>
      <w:r>
        <w:t xml:space="preserve">Abstract</w:t>
      </w:r>
    </w:p>
    <w:p>
      <w:pPr>
        <w:pStyle w:val="Abstract"/>
      </w:pPr>
      <w:r>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m:t>α</m:t>
        </m:r>
      </m:oMath>
      <w:r>
        <w:t xml:space="preserve">=0.5)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m:t>±</m:t>
        </m:r>
      </m:oMath>
      <w:r>
        <w:t xml:space="preserve">1.75% (95% CI:</w:t>
      </w:r>
      <w:r>
        <w:t xml:space="preserve"> </w:t>
      </w:r>
      <m:oMath>
        <m:r>
          <m:rPr>
            <m:sty m:val="p"/>
          </m:rPr>
          <m:t>±</m:t>
        </m:r>
      </m:oMath>
      <w:r>
        <w:t xml:space="preserve">2.02%) on CIFAR-10 at 50 rounds. FedProx and FedDyn both collapse under Byzantine attacks, confirming the need for specialized defenses. We test the</w:t>
      </w:r>
      <w:r>
        <w:t xml:space="preserve"> </w:t>
      </w:r>
      <w:r>
        <w:rPr>
          <w:i/>
          <w:iCs/>
        </w:rPr>
        <w:t xml:space="preserve">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w:t>
      </w:r>
      <w:r>
        <w:t xml:space="preserve"> </w:t>
      </w:r>
      <w:hyperlink r:id="rId9">
        <w:r>
          <w:rPr>
            <w:rStyle w:val="Hyperlink"/>
          </w:rPr>
          <w:t xml:space="preserve">https://github.com/vokasitibrawijaya/byzantine-robust-fl-blockchain</w:t>
        </w:r>
      </w:hyperlink>
      <w:r>
        <w:t xml:space="preserve">.</w:t>
      </w:r>
    </w:p>
    <w:p>
      <w:pPr>
        <w:pStyle w:val="FirstParagraph"/>
      </w:pPr>
      <w:r>
        <w:rPr>
          <w:b/>
          <w:bCs/>
        </w:rPr>
        <w:t xml:space="preserve">Keywords:</w:t>
      </w:r>
      <w:r>
        <w:t xml:space="preserve"> </w:t>
      </w:r>
      <w:r>
        <w:t xml:space="preserve">Byzantine-robust aggregation, blockchain, federated learning, TrimmedMean, ATMA, adaptive attacks, transparency paradox, model poisoning, distributed machine learning, privacy-preserving learning</w:t>
      </w:r>
    </w:p>
    <w:bookmarkStart w:id="0" w:name="sec:introduction"/>
    <w:p>
      <w:pPr>
        <w:pStyle w:val="Heading1"/>
      </w:pPr>
      <w:r>
        <w:t xml:space="preserve">Introduction</w:t>
      </w:r>
    </w:p>
    <w:p>
      <w:pPr>
        <w:pStyle w:val="FirstParagraph"/>
      </w:pPr>
      <w:r>
        <w:t xml:space="preserve">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pPr>
        <w:pStyle w:val="BodyText"/>
      </w:pPr>
      <w:r>
        <w:t xml:space="preserve">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bookmarkStart w:id="1" w:name="motivation-and-challenges"/>
    <w:p>
      <w:pPr>
        <w:pStyle w:val="Heading2"/>
      </w:pPr>
      <w:r>
        <w:t xml:space="preserve">Motivation and Challenges</w:t>
      </w:r>
    </w:p>
    <w:p>
      <w:pPr>
        <w:pStyle w:val="FirstParagraph"/>
      </w:pPr>
      <w:r>
        <w:t xml:space="preserve">Existing Byzantine-robust aggregation algorithms, such as Krum [3], Multi-Krum, and TrimmedMean [4], aim to identify and mitigate malicious updates. However, these methods face several challenges:</w:t>
      </w:r>
    </w:p>
    <w:p>
      <w:pPr>
        <w:numPr>
          <w:ilvl w:val="0"/>
          <w:numId w:val="1005"/>
        </w:numPr>
      </w:pPr>
      <w:r>
        <w:rPr>
          <w:b/>
          <w:bCs/>
        </w:rPr>
        <w:t xml:space="preserve">Performance Trade-offs:</w:t>
      </w:r>
      <w:r>
        <w:t xml:space="preserve"> </w:t>
      </w:r>
      <w:r>
        <w:t xml:space="preserve">Byzantine-robust algorithms are often believed to sacrifice accuracy for security, making practitioners hesitant to adopt them.</w:t>
      </w:r>
    </w:p>
    <w:p>
      <w:pPr>
        <w:numPr>
          <w:ilvl w:val="0"/>
          <w:numId w:val="1005"/>
        </w:numPr>
      </w:pPr>
      <w:r>
        <w:rPr>
          <w:b/>
          <w:bCs/>
        </w:rPr>
        <w:t xml:space="preserve">Lack of Transparency:</w:t>
      </w:r>
      <w:r>
        <w:t xml:space="preserve"> </w:t>
      </w:r>
      <w:r>
        <w:t xml:space="preserve">Without transparent audit mechanisms, it is difficult to detect and analyze Byzantine attacks in production systems.</w:t>
      </w:r>
    </w:p>
    <w:p>
      <w:pPr>
        <w:numPr>
          <w:ilvl w:val="0"/>
          <w:numId w:val="1005"/>
        </w:numPr>
      </w:pPr>
      <w:r>
        <w:rPr>
          <w:b/>
          <w:bCs/>
        </w:rPr>
        <w:t xml:space="preserve">Limited Validation:</w:t>
      </w:r>
      <w:r>
        <w:t xml:space="preserve"> </w:t>
      </w:r>
      <w:r>
        <w:t xml:space="preserve">Most existing studies evaluate these algorithms under limited scenarios, without comprehensive comparison across multiple aggregation methods and training durations.</w:t>
      </w:r>
    </w:p>
    <w:p>
      <w:pPr>
        <w:numPr>
          <w:ilvl w:val="0"/>
          <w:numId w:val="1005"/>
        </w:numPr>
      </w:pPr>
      <w:r>
        <w:rPr>
          <w:b/>
          <w:bCs/>
        </w:rPr>
        <w:t xml:space="preserve">Scalability Concerns:</w:t>
      </w:r>
      <w:r>
        <w:t xml:space="preserve"> </w:t>
      </w:r>
      <w:r>
        <w:t xml:space="preserve">The computational and communication overhead of robust aggregation methods raises questions about their practical deployment.</w:t>
      </w:r>
    </w:p>
    <w:bookmarkEnd w:id="0"/>
    <w:bookmarkStart w:id="2" w:name="contributions"/>
    <w:p>
      <w:pPr>
        <w:pStyle w:val="Heading2"/>
      </w:pPr>
      <w:r>
        <w:t xml:space="preserve">Contributions</w:t>
      </w:r>
    </w:p>
    <w:p>
      <w:pPr>
        <w:pStyle w:val="FirstParagraph"/>
      </w:pPr>
      <w:r>
        <w:t xml:space="preserve">This paper addresses these challenges through an empirical study of Byzantine-robust federated learning integrated with blockchain technology. Our contributions are:</w:t>
      </w:r>
    </w:p>
    <w:p>
      <w:pPr>
        <w:numPr>
          <w:ilvl w:val="0"/>
          <w:numId w:val="1006"/>
        </w:numPr>
      </w:pPr>
      <w:r>
        <w:rPr>
          <w:b/>
          <w:bCs/>
        </w:rPr>
        <w:t xml:space="preserve">Byzantine-Robust Performance Demonstration:</w:t>
      </w:r>
      <w:r>
        <w:t xml:space="preserve"> </w:t>
      </w:r>
      <w:r>
        <w:t xml:space="preserve">We demonstrate that TrimmedMean aggregation achieves 93.45% accuracy with 160 training rounds in our experimental setup, comparing favorably to the undefended FedAvg baseline (87.60%) while defending against 20% Byzantine clients.</w:t>
      </w:r>
    </w:p>
    <w:p>
      <w:pPr>
        <w:numPr>
          <w:ilvl w:val="0"/>
          <w:numId w:val="1006"/>
        </w:numPr>
      </w:pPr>
      <w:r>
        <w:rPr>
          <w:b/>
          <w:bCs/>
        </w:rPr>
        <w:t xml:space="preserve">Algorithm Comparison:</w:t>
      </w:r>
      <w:r>
        <w:t xml:space="preserve"> </w:t>
      </w:r>
      <w:r>
        <w:t xml:space="preserve">We compare static aggregation algorithms (Krum, FedAvg, TrimmedMean) and adaptive methods (ATMA) under identical conditions across 36 controlled experiments, providing insights for algorithm selection in heterogeneous federated learning environments.</w:t>
      </w:r>
    </w:p>
    <w:p>
      <w:pPr>
        <w:numPr>
          <w:ilvl w:val="0"/>
          <w:numId w:val="1006"/>
        </w:numPr>
      </w:pPr>
      <w:r>
        <w:rPr>
          <w:b/>
          <w:bCs/>
        </w:rPr>
        <w:t xml:space="preserve">Adaptive Aggregation Validation:</w:t>
      </w:r>
      <w:r>
        <w:t xml:space="preserve"> </w:t>
      </w:r>
      <w:r>
        <w:t xml:space="preserve">We validate ATMA [46] for non-IID data, achieving 85.12% accuracy with dynamic threshold adaptation (0.15-0.24) and +0.73% improvement over static TrimmedMean in blockchain environment tests.</w:t>
      </w:r>
    </w:p>
    <w:p>
      <w:pPr>
        <w:numPr>
          <w:ilvl w:val="0"/>
          <w:numId w:val="1006"/>
        </w:numPr>
      </w:pPr>
      <w:r>
        <w:rPr>
          <w:b/>
          <w:bCs/>
        </w:rPr>
        <w:t xml:space="preserve">Transparency Paradox Resolution:</w:t>
      </w:r>
      <w:r>
        <w:t xml:space="preserve"> </w:t>
      </w:r>
      <w:r>
        <w:t xml:space="preserve">We empirically test FLARE-style adaptive attacks [10] that exploit blockchain transparency, demonstrating that blockchain-informed attackers achieve only 11.6% success rate with 1.8% model degradation, while defenders gain overwhelming forensic and reputation-based advantages.</w:t>
      </w:r>
    </w:p>
    <w:p>
      <w:pPr>
        <w:numPr>
          <w:ilvl w:val="0"/>
          <w:numId w:val="1006"/>
        </w:numPr>
      </w:pPr>
      <w:r>
        <w:rPr>
          <w:b/>
          <w:bCs/>
        </w:rPr>
        <w:t xml:space="preserve">Blockchain Integration:</w:t>
      </w:r>
      <w:r>
        <w:t xml:space="preserve"> </w:t>
      </w:r>
      <w:r>
        <w:t xml:space="preserve">We integrate federated learning with Ethereum smart contracts to provide transparent, immutable audit trails of all model updates and detected Byzantine attacks. Our system recorded 59 on-chain Byzantine detection events in the 160-round TrimmedMean experiment—this represents</w:t>
      </w:r>
      <w:r>
        <w:t xml:space="preserve"> </w:t>
      </w:r>
      <w:r>
        <w:rPr>
          <w:i/>
          <w:iCs/>
        </w:rPr>
        <w:t xml:space="preserve">flagged anomalies</w:t>
      </w:r>
      <w:r>
        <w:t xml:space="preserve"> </w:t>
      </w:r>
      <w:r>
        <w:t xml:space="preserve">by the detection algorithm, not total attack attempts (4 clients</w:t>
      </w:r>
      <w:r>
        <w:t xml:space="preserve"> </w:t>
      </w:r>
      <m:oMath>
        <m:r>
          <m:rPr>
            <m:sty m:val="p"/>
          </m:rPr>
          <m:t>×</m:t>
        </m:r>
      </m:oMath>
      <w:r>
        <w:t xml:space="preserve"> </w:t>
      </w:r>
      <w:r>
        <w:t xml:space="preserve">80% activation</w:t>
      </w:r>
      <w:r>
        <w:t xml:space="preserve"> </w:t>
      </w:r>
      <m:oMath>
        <m:r>
          <m:rPr>
            <m:sty m:val="p"/>
          </m:rPr>
          <m:t>×</m:t>
        </m:r>
      </m:oMath>
      <w:r>
        <w:t xml:space="preserve"> </w:t>
      </w:r>
      <w:r>
        <w:t xml:space="preserve">160 rounds</w:t>
      </w:r>
      <w:r>
        <w:t xml:space="preserve"> </w:t>
      </w:r>
      <m:oMath>
        <m:r>
          <m:rPr>
            <m:sty m:val="p"/>
          </m:rPr>
          <m:t>≈</m:t>
        </m:r>
      </m:oMath>
      <w:r>
        <w:t xml:space="preserve"> </w:t>
      </w:r>
      <w:r>
        <w:t xml:space="preserve">512 potential attacks, with TrimmedMean’s coordinate-wise filtering preventing most from significantly affecting the model).</w:t>
      </w:r>
    </w:p>
    <w:p>
      <w:pPr>
        <w:numPr>
          <w:ilvl w:val="0"/>
          <w:numId w:val="1006"/>
        </w:numPr>
      </w:pPr>
      <w:r>
        <w:rPr>
          <w:b/>
          <w:bCs/>
        </w:rPr>
        <w:t xml:space="preserve">Convergence Analysis:</w:t>
      </w:r>
      <w:r>
        <w:t xml:space="preserve"> </w:t>
      </w:r>
      <w:r>
        <w:t xml:space="preserve">We analyze convergence behavior across different training durations (50 vs. 160 rounds), demonstrating that extended training significantly improves performance from 84.85% to 93.45% for TrimmedMean.</w:t>
      </w:r>
    </w:p>
    <w:p>
      <w:pPr>
        <w:numPr>
          <w:ilvl w:val="0"/>
          <w:numId w:val="1006"/>
        </w:numPr>
      </w:pPr>
      <w:r>
        <w:rPr>
          <w:b/>
          <w:bCs/>
        </w:rPr>
        <w:t xml:space="preserve">Multi-Layer Blockchain Validation:</w:t>
      </w:r>
      <w:r>
        <w:t xml:space="preserve"> </w:t>
      </w:r>
      <w:r>
        <w:t xml:space="preserve">We validate our approach on simulated Layer-2 blockchain networks, achieving 93.03% accuracy in 50 rounds, demonstrating scalability and efficiency.</w:t>
      </w:r>
    </w:p>
    <w:p>
      <w:pPr>
        <w:numPr>
          <w:ilvl w:val="0"/>
          <w:numId w:val="1006"/>
        </w:numPr>
      </w:pPr>
      <w:r>
        <w:rPr>
          <w:b/>
          <w:bCs/>
        </w:rPr>
        <w:t xml:space="preserve">Practical Guidelines:</w:t>
      </w:r>
      <w:r>
        <w:t xml:space="preserve"> </w:t>
      </w:r>
      <w:r>
        <w:t xml:space="preserve">We provide concrete recommendations for deploying Byzantine-robust federated learning in production systems, including optimal hyperparameters and expected performance metrics.</w:t>
      </w:r>
    </w:p>
    <w:bookmarkEnd w:id="1"/>
    <w:bookmarkStart w:id="3" w:name="paper-organization"/>
    <w:p>
      <w:pPr>
        <w:pStyle w:val="Heading2"/>
      </w:pPr>
      <w:r>
        <w:t xml:space="preserve">Paper Organization</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background">
        <w:r>
          <w:rPr>
            <w:rStyle w:val="Hyperlink"/>
          </w:rPr>
          <w:t xml:space="preserve">3</w:t>
        </w:r>
      </w:hyperlink>
      <w:r>
        <w:t xml:space="preserve"> </w:t>
      </w:r>
      <w:r>
        <w:t xml:space="preserve">provides background on federated learning, Byzantine attacks, and blockchain integration. Section </w:t>
      </w:r>
      <w:hyperlink w:anchor="sec:methodology">
        <w:r>
          <w:rPr>
            <w:rStyle w:val="Hyperlink"/>
          </w:rPr>
          <w:t xml:space="preserve">4</w:t>
        </w:r>
      </w:hyperlink>
      <w:r>
        <w:t xml:space="preserve"> </w:t>
      </w:r>
      <w:r>
        <w:t xml:space="preserve">describes our experimental methodology and system architecture. Section </w:t>
      </w:r>
      <w:hyperlink w:anchor="sec:results">
        <w:r>
          <w:rPr>
            <w:rStyle w:val="Hyperlink"/>
          </w:rPr>
          <w:t xml:space="preserve">5</w:t>
        </w:r>
      </w:hyperlink>
      <w:r>
        <w:t xml:space="preserve"> </w:t>
      </w:r>
      <w:r>
        <w:t xml:space="preserve">presents comprehensive experimental results. Section </w:t>
      </w:r>
      <w:hyperlink w:anchor="sec:discussion">
        <w:r>
          <w:rPr>
            <w:rStyle w:val="Hyperlink"/>
          </w:rPr>
          <w:t xml:space="preserve">6</w:t>
        </w:r>
      </w:hyperlink>
      <w:r>
        <w:t xml:space="preserve"> </w:t>
      </w:r>
      <w:r>
        <w:t xml:space="preserve">discusses implications and insights. Section </w:t>
      </w:r>
      <w:hyperlink w:anchor="sec:conclusion">
        <w:r>
          <w:rPr>
            <w:rStyle w:val="Hyperlink"/>
          </w:rPr>
          <w:t xml:space="preserve">7</w:t>
        </w:r>
      </w:hyperlink>
      <w:r>
        <w:t xml:space="preserve"> </w:t>
      </w:r>
      <w:r>
        <w:t xml:space="preserve">concludes the paper.</w:t>
      </w:r>
    </w:p>
    <w:bookmarkEnd w:id="2"/>
    <w:bookmarkEnd w:id="3"/>
    <w:bookmarkStart w:id="4" w:name="sec:related"/>
    <w:p>
      <w:pPr>
        <w:pStyle w:val="Heading1"/>
      </w:pPr>
      <w:r>
        <w:t xml:space="preserve">Related Work</w:t>
      </w:r>
    </w:p>
    <w:bookmarkStart w:id="5" w:name="federated-learning"/>
    <w:p>
      <w:pPr>
        <w:pStyle w:val="Heading2"/>
      </w:pPr>
      <w:r>
        <w:t xml:space="preserve">Federated Learning</w:t>
      </w:r>
    </w:p>
    <w:p>
      <w:pPr>
        <w:pStyle w:val="FirstParagraph"/>
      </w:pPr>
      <w:r>
        <w:t xml:space="preserve">Federated learning was introduced by McMahan et al. [1] as a distributed learning paradigm that enables model training across decentralized data sources. The Federated Averaging (FedAvg) algorithm has become the de facto standard, where clients perform local training and the server aggregates updates through simple averaging. However, FedAvg assumes all clients are honest, making it vulnerable to Byzantine attacks.</w:t>
      </w:r>
    </w:p>
    <w:bookmarkEnd w:id="4"/>
    <w:bookmarkStart w:id="6" w:name="byzantine-robust-aggregation"/>
    <w:p>
      <w:pPr>
        <w:pStyle w:val="Heading2"/>
      </w:pPr>
      <w:r>
        <w:t xml:space="preserve">Byzantine-Robust Aggregation</w:t>
      </w:r>
    </w:p>
    <w:p>
      <w:pPr>
        <w:pStyle w:val="FirstParagraph"/>
      </w:pPr>
      <w:r>
        <w:t xml:space="preserve">Several Byzantine-robust aggregation methods have been proposed to defend against malicious clients:</w:t>
      </w:r>
    </w:p>
    <w:p>
      <w:pPr>
        <w:pStyle w:val="BodyText"/>
      </w:pPr>
      <w:r>
        <w:rPr>
          <w:b/>
          <w:bCs/>
        </w:rPr>
        <w:t xml:space="preserve">Krum</w:t>
      </w:r>
      <w:r>
        <w:t xml:space="preserve"> </w:t>
      </w:r>
      <w:r>
        <w:t xml:space="preserve">[3] selects the most representative model update based on geometric proximity to other updates. While theoretically sound, Krum’s conservative selection can reject legitimate updates, potentially hindering convergence.</w:t>
      </w:r>
    </w:p>
    <w:p>
      <w:pPr>
        <w:pStyle w:val="BodyText"/>
      </w:pPr>
      <w:r>
        <w:rPr>
          <w:b/>
          <w:bCs/>
        </w:rPr>
        <w:t xml:space="preserve">Multi-Krum</w:t>
      </w:r>
      <w:r>
        <w:t xml:space="preserve"> </w:t>
      </w:r>
      <w:r>
        <w:t xml:space="preserve">extends Krum by selecting multiple updates instead of one, improving robustness while maintaining Byzantine tolerance.</w:t>
      </w:r>
    </w:p>
    <w:p>
      <w:pPr>
        <w:pStyle w:val="BodyText"/>
      </w:pPr>
      <w:r>
        <w:rPr>
          <w:b/>
          <w:bCs/>
        </w:rPr>
        <w:t xml:space="preserve">TrimmedMean and Median</w:t>
      </w:r>
      <w:r>
        <w:t xml:space="preserve"> </w:t>
      </w:r>
      <w:r>
        <w:t xml:space="preserve">[4] compute coordinate-wise statistics after removing extreme values. These methods have shown strong Byzantine resilience in distributed optimization.</w:t>
      </w:r>
    </w:p>
    <w:p>
      <w:pPr>
        <w:pStyle w:val="BodyText"/>
      </w:pPr>
      <w:r>
        <w:rPr>
          <w:b/>
          <w:bCs/>
        </w:rPr>
        <w:t xml:space="preserve">Bulyan</w:t>
      </w:r>
      <w:r>
        <w:t xml:space="preserve"> </w:t>
      </w:r>
      <w:r>
        <w:t xml:space="preserve">[5] combines Krum selection with coordinate-wise median computation for enhanced security.</w:t>
      </w:r>
    </w:p>
    <w:p>
      <w:pPr>
        <w:pStyle w:val="BodyText"/>
      </w:pPr>
      <w:r>
        <w:t xml:space="preserve">Despite these advances, most studies report that Byzantine-robust methods achieve lower accuracy than undefended baselines, creating a perceived trade-off between security and performance.</w:t>
      </w:r>
    </w:p>
    <w:bookmarkEnd w:id="5"/>
    <w:bookmarkStart w:id="7" w:name="blockchain-in-federated-learning"/>
    <w:p>
      <w:pPr>
        <w:pStyle w:val="Heading2"/>
      </w:pPr>
      <w:r>
        <w:t xml:space="preserve">Blockchain in Federated Learning</w:t>
      </w:r>
    </w:p>
    <w:p>
      <w:pPr>
        <w:pStyle w:val="FirstParagraph"/>
      </w:pPr>
      <w:r>
        <w:t xml:space="preserve">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bookmarkEnd w:id="6"/>
    <w:bookmarkStart w:id="8" w:name="recent-advances-20242025"/>
    <w:p>
      <w:pPr>
        <w:pStyle w:val="Heading2"/>
      </w:pPr>
      <w:r>
        <w:t xml:space="preserve">Recent Advances (2024–2025)</w:t>
      </w:r>
    </w:p>
    <w:p>
      <w:pPr>
        <w:pStyle w:val="FirstParagraph"/>
      </w:pPr>
      <w:r>
        <w:t xml:space="preserve">Several important works have advanced Byzantine-robust federated learning since 2023:</w:t>
      </w:r>
    </w:p>
    <w:p>
      <w:pPr>
        <w:pStyle w:val="BodyText"/>
      </w:pPr>
      <w:r>
        <w:rPr>
          <w:b/>
          <w:bCs/>
        </w:rPr>
        <w:t xml:space="preserve">FedSV</w:t>
      </w:r>
      <w:r>
        <w:t xml:space="preserve"> [36] introduces Shapley value-based contribution assessment, enabling fair client valuation under Byzantine attacks. Unlike our trimming approach, FedSV requires additional computation for game-theoretic valuation.</w:t>
      </w:r>
    </w:p>
    <w:p>
      <w:pPr>
        <w:pStyle w:val="BodyText"/>
      </w:pPr>
      <w:r>
        <w:rPr>
          <w:b/>
          <w:bCs/>
        </w:rPr>
        <w:t xml:space="preserve">LASA</w:t>
      </w:r>
      <w:r>
        <w:t xml:space="preserve"> [37] proposes layer-adaptive sparse aggregation, achieving robustness through sparsification rather than statistical trimming. This complements our approach by offering alternative defense mechanisms.</w:t>
      </w:r>
    </w:p>
    <w:p>
      <w:pPr>
        <w:pStyle w:val="BodyText"/>
      </w:pPr>
      <w:r>
        <w:rPr>
          <w:b/>
          <w:bCs/>
        </w:rPr>
        <w:t xml:space="preserve">FedCmp</w:t>
      </w:r>
      <w:r>
        <w:t xml:space="preserve"> [38] presents experimental comparisons of Byzantine defenses, providing valuable benchmarks. Our work extends this by integrating blockchain auditability.</w:t>
      </w:r>
    </w:p>
    <w:p>
      <w:pPr>
        <w:pStyle w:val="BodyText"/>
      </w:pPr>
      <w:r>
        <w:rPr>
          <w:b/>
          <w:bCs/>
        </w:rPr>
        <w:t xml:space="preserve">2024 Survey</w:t>
      </w:r>
      <w:r>
        <w:t xml:space="preserve"> [39] provides updated taxonomy of Byzantine attacks and defenses, categorizing methods by detection vs. tolerance approaches. Our ATMA evaluation follows their recommended adaptive defense category.</w:t>
      </w:r>
    </w:p>
    <w:p>
      <w:pPr>
        <w:pStyle w:val="BodyText"/>
      </w:pPr>
      <w:r>
        <w:t xml:space="preserve">Our work differs by achieving</w:t>
      </w:r>
      <w:r>
        <w:t xml:space="preserve"> </w:t>
      </w:r>
      <w:r>
        <w:rPr>
          <w:i/>
          <w:iCs/>
        </w:rPr>
        <w:t xml:space="preserve">higher</w:t>
      </w:r>
      <w:r>
        <w:t xml:space="preserve"> </w:t>
      </w:r>
      <w:r>
        <w:t xml:space="preserve">accuracy with Byzantine defense than undefended baselines, proving that security and performance are not mutually exclusive, while providing blockchain-based auditability absent from prior works.</w:t>
      </w:r>
    </w:p>
    <w:bookmarkEnd w:id="7"/>
    <w:bookmarkEnd w:id="8"/>
    <w:bookmarkStart w:id="9" w:name="sec:background"/>
    <w:p>
      <w:pPr>
        <w:pStyle w:val="Heading1"/>
      </w:pPr>
      <w:r>
        <w:t xml:space="preserve">Background and Problem Formulation</w:t>
      </w:r>
    </w:p>
    <w:bookmarkStart w:id="10" w:name="federated-learning-framework"/>
    <w:p>
      <w:pPr>
        <w:pStyle w:val="Heading2"/>
      </w:pPr>
      <w:r>
        <w:t xml:space="preserve">Federated Learning Framework</w:t>
      </w:r>
    </w:p>
    <w:p>
      <w:pPr>
        <w:pStyle w:val="FirstParagraph"/>
      </w:pPr>
      <w:r>
        <w:t xml:space="preserve">Consider a federated learning system with</w:t>
      </w:r>
      <w:r>
        <w:t xml:space="preserve"> </w:t>
      </w:r>
      <m:oMath>
        <m:r>
          <m:t>N</m:t>
        </m:r>
      </m:oMath>
      <w:r>
        <w:t xml:space="preserve"> </w:t>
      </w:r>
      <w:r>
        <w:t xml:space="preserve">clients, each possessing a local dataset</w:t>
      </w:r>
      <w:r>
        <w:t xml:space="preserve"> </w:t>
      </w:r>
      <m:oMath>
        <m:sSub>
          <m:e>
            <m:r>
              <m:rPr>
                <m:scr m:val="script"/>
                <m:sty m:val="p"/>
              </m:rPr>
              <m:t>D</m:t>
            </m:r>
          </m:e>
          <m:sub>
            <m:r>
              <m:t>i</m:t>
            </m:r>
          </m:sub>
        </m:sSub>
      </m:oMath>
      <w:r>
        <w:t xml:space="preserve">. The objective is to minimize the global loss function:</w:t>
      </w:r>
    </w:p>
    <w:p>
      <w:pPr>
        <w:pStyle w:val="BodyText"/>
      </w:pPr>
      <m:oMathPara>
        <m:oMathParaPr>
          <m:jc m:val="center"/>
        </m:oMathParaPr>
        <m:oMath>
          <m:limLow>
            <m:e>
              <m:r>
                <m:rPr>
                  <m:sty m:val="p"/>
                </m:rPr>
                <m:t>min</m:t>
              </m:r>
            </m:e>
            <m:lim>
              <m:r>
                <m:rPr>
                  <m:sty m:val="b"/>
                </m:rPr>
                <m:t>w</m:t>
              </m:r>
            </m:lim>
          </m:limLow>
          <m:r>
            <m:rPr>
              <m:scr m:val="script"/>
              <m:sty m:val="p"/>
            </m:rPr>
            <m:t>L</m:t>
          </m:r>
          <m:r>
            <m:rPr>
              <m:sty m:val="p"/>
            </m:rPr>
            <m:t>(</m:t>
          </m:r>
          <m:r>
            <m:rPr>
              <m:sty m:val="b"/>
            </m:rPr>
            <m:t>w</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
            <m:e>
              <m:r>
                <m:rPr>
                  <m:scr m:val="script"/>
                  <m:sty m:val="p"/>
                </m:rPr>
                <m:t>L</m:t>
              </m:r>
            </m:e>
            <m:sub>
              <m:r>
                <m:t>i</m:t>
              </m:r>
            </m:sub>
          </m:sSub>
          <m:r>
            <m:rPr>
              <m:sty m:val="p"/>
            </m:rPr>
            <m:t>(</m:t>
          </m:r>
          <m:r>
            <m:rPr>
              <m:sty m:val="b"/>
            </m:rPr>
            <m:t>w</m:t>
          </m:r>
          <m:r>
            <m:rPr>
              <m:sty m:val="p"/>
            </m:rPr>
            <m:t>)</m:t>
          </m:r>
        </m:oMath>
      </m:oMathPara>
    </w:p>
    <w:p>
      <w:pPr>
        <w:pStyle w:val="FirstParagraph"/>
      </w:pPr>
      <w:r>
        <w:t xml:space="preserve">where</w:t>
      </w:r>
      <w:r>
        <w:t xml:space="preserve"> </w:t>
      </w:r>
      <m:oMath>
        <m:r>
          <m:rPr>
            <m:sty m:val="b"/>
          </m:rPr>
          <m:t>w</m:t>
        </m:r>
      </m:oMath>
      <w:r>
        <w:t xml:space="preserve"> </w:t>
      </w:r>
      <w:r>
        <w:t xml:space="preserve">represents the model parameters,</w:t>
      </w:r>
      <w:r>
        <w:t xml:space="preserve"> </w:t>
      </w:r>
      <m:oMath>
        <m:sSub>
          <m:e>
            <m:r>
              <m:rPr>
                <m:scr m:val="script"/>
                <m:sty m:val="p"/>
              </m:rPr>
              <m:t>L</m:t>
            </m:r>
          </m:e>
          <m:sub>
            <m:r>
              <m:t>i</m:t>
            </m:r>
          </m:sub>
        </m:sSub>
        <m:r>
          <m:rPr>
            <m:sty m:val="p"/>
          </m:rPr>
          <m:t>(</m:t>
        </m:r>
        <m:r>
          <m:rPr>
            <m:sty m:val="b"/>
          </m:rPr>
          <m:t>w</m:t>
        </m:r>
        <m:r>
          <m:rPr>
            <m:sty m:val="p"/>
          </m:rPr>
          <m:t>)</m:t>
        </m:r>
      </m:oMath>
      <w:r>
        <w:t xml:space="preserve"> </w:t>
      </w:r>
      <w:r>
        <w:t xml:space="preserve">is the local loss on client</w:t>
      </w:r>
      <w:r>
        <w:t xml:space="preserve"> </w:t>
      </w:r>
      <m:oMath>
        <m:r>
          <m:t>i</m:t>
        </m:r>
      </m:oMath>
      <w:r>
        <w:t xml:space="preserve">’s data, and</w:t>
      </w:r>
      <w:r>
        <w:t xml:space="preserve"> </w:t>
      </w:r>
      <m:oMath>
        <m:r>
          <m:rPr>
            <m:sty m:val="p"/>
          </m:rPr>
          <m:t>|</m:t>
        </m:r>
        <m:r>
          <m:rPr>
            <m:scr m:val="script"/>
            <m:sty m:val="p"/>
          </m:rPr>
          <m:t>D</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rPr>
                <m:scr m:val="script"/>
                <m:sty m:val="p"/>
              </m:rPr>
              <m:t>D</m:t>
            </m:r>
          </m:e>
          <m:sub>
            <m:r>
              <m:t>i</m:t>
            </m:r>
          </m:sub>
        </m:sSub>
        <m:r>
          <m:rPr>
            <m:sty m:val="p"/>
          </m:rPr>
          <m:t>|</m:t>
        </m:r>
      </m:oMath>
      <w:r>
        <w:t xml:space="preserve"> </w:t>
      </w:r>
      <w:r>
        <w:t xml:space="preserve">is the total dataset size.</w:t>
      </w:r>
    </w:p>
    <w:bookmarkEnd w:id="9"/>
    <w:bookmarkStart w:id="11" w:name="byzantine-attack-model"/>
    <w:p>
      <w:pPr>
        <w:pStyle w:val="Heading2"/>
      </w:pPr>
      <w:r>
        <w:t xml:space="preserve">Byzantine Attack Model</w:t>
      </w:r>
    </w:p>
    <w:p>
      <w:pPr>
        <w:pStyle w:val="FirstParagraph"/>
      </w:pPr>
      <w:r>
        <w:t xml:space="preserve">We consider a threat model where a fraction</w:t>
      </w:r>
      <w:r>
        <w:t xml:space="preserve"> </w:t>
      </w:r>
      <m:oMath>
        <m:r>
          <m:t>α</m:t>
        </m:r>
      </m:oMath>
      <w:r>
        <w:t xml:space="preserve"> </w:t>
      </w:r>
      <w:r>
        <w:t xml:space="preserve">of clients are Byzantine [2], meaning they can send arbitrary model updates to disrupt training. Let</w:t>
      </w:r>
      <w:r>
        <w:t xml:space="preserve"> </w:t>
      </w:r>
      <m:oMath>
        <m:r>
          <m:rPr>
            <m:scr m:val="script"/>
            <m:sty m:val="p"/>
          </m:rPr>
          <m:t>B</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denote the set of Byzantine clients with</w:t>
      </w:r>
      <w:r>
        <w:t xml:space="preserve"> </w:t>
      </w:r>
      <m:oMath>
        <m:r>
          <m:rPr>
            <m:sty m:val="p"/>
          </m:rPr>
          <m:t>|</m:t>
        </m:r>
        <m:r>
          <m:rPr>
            <m:scr m:val="script"/>
            <m:sty m:val="p"/>
          </m:rPr>
          <m:t>B</m:t>
        </m:r>
        <m:r>
          <m:rPr>
            <m:sty m:val="p"/>
          </m:rPr>
          <m:t>|</m:t>
        </m:r>
        <m:r>
          <m:rPr>
            <m:sty m:val="p"/>
          </m:rPr>
          <m:t>=</m:t>
        </m:r>
        <m:r>
          <m:rPr>
            <m:sty m:val="p"/>
          </m:rPr>
          <m:t>⌊</m:t>
        </m:r>
        <m:r>
          <m:t>α</m:t>
        </m:r>
        <m:r>
          <m:t>N</m:t>
        </m:r>
        <m:r>
          <m:rPr>
            <m:sty m:val="p"/>
          </m:rPr>
          <m:t>⌋</m:t>
        </m:r>
      </m:oMath>
      <w:r>
        <w:t xml:space="preserve">. Byzantine clients can:</w:t>
      </w:r>
    </w:p>
    <w:p>
      <w:pPr>
        <w:numPr>
          <w:ilvl w:val="0"/>
          <w:numId w:val="1007"/>
        </w:numPr>
      </w:pPr>
      <w:r>
        <w:t xml:space="preserve">Send random or inverted gradients</w:t>
      </w:r>
    </w:p>
    <w:p>
      <w:pPr>
        <w:numPr>
          <w:ilvl w:val="0"/>
          <w:numId w:val="1007"/>
        </w:numPr>
      </w:pPr>
      <w:r>
        <w:t xml:space="preserve">Scale gradients by large factors</w:t>
      </w:r>
    </w:p>
    <w:p>
      <w:pPr>
        <w:numPr>
          <w:ilvl w:val="0"/>
          <w:numId w:val="1007"/>
        </w:numPr>
      </w:pPr>
      <w:r>
        <w:t xml:space="preserve">Coordinate attacks across multiple clients</w:t>
      </w:r>
    </w:p>
    <w:p>
      <w:pPr>
        <w:numPr>
          <w:ilvl w:val="0"/>
          <w:numId w:val="1007"/>
        </w:numPr>
      </w:pPr>
      <w:r>
        <w:t xml:space="preserve">Poison the model to reduce accuracy</w:t>
      </w:r>
    </w:p>
    <w:p>
      <w:pPr>
        <w:pStyle w:val="FirstParagraph"/>
      </w:pPr>
      <w:r>
        <w:t xml:space="preserve">In our experiments, we set</w:t>
      </w:r>
      <w:r>
        <w:t xml:space="preserve"> </w:t>
      </w:r>
      <m:oMath>
        <m:r>
          <m:t>α</m:t>
        </m:r>
        <m:r>
          <m:rPr>
            <m:sty m:val="p"/>
          </m:rPr>
          <m:t>=</m:t>
        </m:r>
        <m:r>
          <m:t>0.2</m:t>
        </m:r>
      </m:oMath>
      <w:r>
        <w:t xml:space="preserve">, meaning 4 Byzantine clients out of 20 total clients, a commonly studied attack scenario.</w:t>
      </w:r>
    </w:p>
    <w:bookmarkEnd w:id="10"/>
    <w:bookmarkStart w:id="12" w:name="aggregation-algorithms"/>
    <w:p>
      <w:pPr>
        <w:pStyle w:val="Heading2"/>
      </w:pPr>
      <w:r>
        <w:t xml:space="preserve">Aggregation Algorithms</w:t>
      </w:r>
    </w:p>
    <w:bookmarkStart w:id="13" w:name="federated-averaging-fedavg"/>
    <w:p>
      <w:pPr>
        <w:pStyle w:val="Heading3"/>
      </w:pPr>
      <w:r>
        <w:t xml:space="preserve">Federated Averaging (FedAvg)</w:t>
      </w:r>
    </w:p>
    <w:p>
      <w:pPr>
        <w:pStyle w:val="FirstParagraph"/>
      </w:pPr>
      <w:r>
        <w:t xml:space="preserve">FedAvg computes the weighted average of client updates:</w:t>
      </w:r>
    </w:p>
    <w:p>
      <w:pPr>
        <w:pStyle w:val="BodyText"/>
      </w:pPr>
      <m:oMathPara>
        <m:oMathParaPr>
          <m:jc m:val="center"/>
        </m:oMathParaPr>
        <m:oMath>
          <m:sSub>
            <m:e>
              <m:r>
                <m:rPr>
                  <m:sty m:val="b"/>
                </m:rP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Sup>
            <m:e>
              <m:r>
                <m:rPr>
                  <m:sty m:val="b"/>
                </m:rPr>
                <m:t>w</m:t>
              </m:r>
            </m:e>
            <m:sub>
              <m:r>
                <m:t>i</m:t>
              </m:r>
            </m:sub>
            <m:sup>
              <m:r>
                <m:rPr>
                  <m:sty m:val="p"/>
                </m:rPr>
                <m:t>(</m:t>
              </m:r>
              <m:r>
                <m:t>t</m:t>
              </m:r>
              <m:r>
                <m:rPr>
                  <m:sty m:val="p"/>
                </m:rPr>
                <m:t>)</m:t>
              </m:r>
            </m:sup>
          </m:sSubSup>
        </m:oMath>
      </m:oMathPara>
    </w:p>
    <w:p>
      <w:pPr>
        <w:pStyle w:val="FirstParagraph"/>
      </w:pPr>
      <w:r>
        <w:t xml:space="preserve">While simple and efficient, FedAvg offers no Byzantine defense.</w:t>
      </w:r>
    </w:p>
    <w:bookmarkEnd w:id="11"/>
    <w:bookmarkStart w:id="14" w:name="krum"/>
    <w:p>
      <w:pPr>
        <w:pStyle w:val="Heading3"/>
      </w:pPr>
      <w:r>
        <w:t xml:space="preserve">Krum</w:t>
      </w:r>
    </w:p>
    <w:p>
      <w:pPr>
        <w:pStyle w:val="FirstParagraph"/>
      </w:pPr>
      <w:r>
        <w:t xml:space="preserve">Krum selects the update that is most similar to other updates. For each client</w:t>
      </w:r>
      <w:r>
        <w:t xml:space="preserve"> </w:t>
      </w:r>
      <m:oMath>
        <m:r>
          <m:t>i</m:t>
        </m:r>
      </m:oMath>
      <w:r>
        <w:t xml:space="preserve">, compute the score:</w:t>
      </w:r>
    </w:p>
    <w:p>
      <w:pPr>
        <w:pStyle w:val="BodyText"/>
      </w:pPr>
      <m:oMathPara>
        <m:oMathParaPr>
          <m:jc m:val="center"/>
        </m:oMathParaPr>
        <m:oMath>
          <m:r>
            <m:rPr>
              <m:nor/>
              <m:sty m:val="p"/>
            </m:rPr>
            <m:t>Score</m:t>
          </m:r>
          <m:r>
            <m:rPr>
              <m:sty m:val="p"/>
            </m:rPr>
            <m:t>(</m:t>
          </m:r>
          <m:r>
            <m:t>i</m:t>
          </m:r>
          <m:r>
            <m:rPr>
              <m:sty m:val="p"/>
            </m:rPr>
            <m:t>)</m:t>
          </m:r>
          <m:r>
            <m:rPr>
              <m:sty m:val="p"/>
            </m:rPr>
            <m:t>=</m:t>
          </m:r>
          <m:nary>
            <m:naryPr>
              <m:chr m:val="∑"/>
              <m:limLoc m:val="undOvr"/>
              <m:subHide m:val="off"/>
              <m:supHide m:val="on"/>
            </m:naryPr>
            <m:sub>
              <m:r>
                <m:t>j</m:t>
              </m:r>
              <m:r>
                <m:rPr>
                  <m:sty m:val="p"/>
                </m:rPr>
                <m:t>∈</m:t>
              </m:r>
              <m:sSubSup>
                <m:e>
                  <m:r>
                    <m:rPr>
                      <m:scr m:val="script"/>
                      <m:sty m:val="p"/>
                    </m:rPr>
                    <m:t>N</m:t>
                  </m:r>
                </m:e>
                <m:sub>
                  <m:r>
                    <m:t>i</m:t>
                  </m:r>
                </m:sub>
                <m:sup>
                  <m:r>
                    <m:rPr>
                      <m:sty m:val="p"/>
                    </m:rPr>
                    <m:t>(</m:t>
                  </m:r>
                  <m:r>
                    <m:t>n</m:t>
                  </m:r>
                  <m:r>
                    <m:rPr>
                      <m:sty m:val="p"/>
                    </m:rPr>
                    <m:t>−</m:t>
                  </m:r>
                  <m:r>
                    <m:t>f</m:t>
                  </m:r>
                  <m:r>
                    <m:rPr>
                      <m:sty m:val="p"/>
                    </m:rPr>
                    <m:t>−</m:t>
                  </m:r>
                  <m:r>
                    <m:t>2</m:t>
                  </m:r>
                  <m:r>
                    <m:rPr>
                      <m:sty m:val="p"/>
                    </m:rPr>
                    <m:t>)</m:t>
                  </m:r>
                </m:sup>
              </m:sSubSup>
            </m:sub>
            <m:sup>
              <m:r>
                <m:t>​</m:t>
              </m:r>
            </m:sup>
            <m:e>
              <m:r>
                <m:rPr>
                  <m:sty m:val="p"/>
                </m:rPr>
                <m:t>∥</m:t>
              </m:r>
            </m:e>
          </m:nary>
          <m:sSub>
            <m:e>
              <m:r>
                <m:rPr>
                  <m:sty m:val="b"/>
                </m:rPr>
                <m:t>w</m:t>
              </m:r>
            </m:e>
            <m:sub>
              <m:r>
                <m:t>i</m:t>
              </m:r>
            </m:sub>
          </m:sSub>
          <m:r>
            <m:rPr>
              <m:sty m:val="p"/>
            </m:rPr>
            <m:t>−</m:t>
          </m:r>
          <m:sSub>
            <m:e>
              <m:r>
                <m:rPr>
                  <m:sty m:val="b"/>
                </m:rPr>
                <m:t>w</m:t>
              </m:r>
            </m:e>
            <m:sub>
              <m:r>
                <m:t>j</m:t>
              </m:r>
            </m:sub>
          </m:sSub>
          <m:sSup>
            <m:e>
              <m:r>
                <m:rPr>
                  <m:sty m:val="p"/>
                </m:rPr>
                <m:t>∥</m:t>
              </m:r>
            </m:e>
            <m:sup>
              <m:r>
                <m:t>2</m:t>
              </m:r>
            </m:sup>
          </m:sSup>
        </m:oMath>
      </m:oMathPara>
    </w:p>
    <w:p>
      <w:pPr>
        <w:pStyle w:val="FirstParagraph"/>
      </w:pPr>
      <w:r>
        <w:t xml:space="preserve">where</w:t>
      </w:r>
      <w:r>
        <w:t xml:space="preserve"> </w:t>
      </w:r>
      <m:oMath>
        <m:sSubSup>
          <m:e>
            <m:r>
              <m:rPr>
                <m:scr m:val="script"/>
                <m:sty m:val="p"/>
              </m:rPr>
              <m:t>N</m:t>
            </m:r>
          </m:e>
          <m:sub>
            <m:r>
              <m:t>i</m:t>
            </m:r>
          </m:sub>
          <m:sup>
            <m:r>
              <m:rPr>
                <m:sty m:val="p"/>
              </m:rPr>
              <m:t>(</m:t>
            </m:r>
            <m:r>
              <m:t>n</m:t>
            </m:r>
            <m:r>
              <m:rPr>
                <m:sty m:val="p"/>
              </m:rPr>
              <m:t>−</m:t>
            </m:r>
            <m:r>
              <m:t>f</m:t>
            </m:r>
            <m:r>
              <m:rPr>
                <m:sty m:val="p"/>
              </m:rPr>
              <m:t>−</m:t>
            </m:r>
            <m:r>
              <m:t>2</m:t>
            </m:r>
            <m:r>
              <m:rPr>
                <m:sty m:val="p"/>
              </m:rPr>
              <m:t>)</m:t>
            </m:r>
          </m:sup>
        </m:sSubSup>
      </m:oMath>
      <w:r>
        <w:t xml:space="preserve"> </w:t>
      </w:r>
      <w:r>
        <w:t xml:space="preserve">denotes the set of</w:t>
      </w:r>
      <w:r>
        <w:t xml:space="preserve"> </w:t>
      </w:r>
      <m:oMath>
        <m:r>
          <m:t>n</m:t>
        </m:r>
        <m:r>
          <m:rPr>
            <m:sty m:val="p"/>
          </m:rPr>
          <m:t>−</m:t>
        </m:r>
        <m:r>
          <m:t>f</m:t>
        </m:r>
        <m:r>
          <m:rPr>
            <m:sty m:val="p"/>
          </m:rPr>
          <m:t>−</m:t>
        </m:r>
        <m:r>
          <m:t>2</m:t>
        </m:r>
      </m:oMath>
      <w:r>
        <w:t xml:space="preserve"> </w:t>
      </w:r>
      <w:r>
        <w:t xml:space="preserve">nearest neighbors of client</w:t>
      </w:r>
      <w:r>
        <w:t xml:space="preserve"> </w:t>
      </w:r>
      <m:oMath>
        <m:r>
          <m:t>i</m:t>
        </m:r>
      </m:oMath>
      <w:r>
        <w:t xml:space="preserve">’s update (excluding</w:t>
      </w:r>
      <w:r>
        <w:t xml:space="preserve"> </w:t>
      </w:r>
      <m:oMath>
        <m:r>
          <m:t>i</m:t>
        </m:r>
      </m:oMath>
      <w:r>
        <w:t xml:space="preserve"> </w:t>
      </w:r>
      <w:r>
        <w:t xml:space="preserve">itself),</w:t>
      </w:r>
      <w:r>
        <w:t xml:space="preserve"> </w:t>
      </w:r>
      <m:oMath>
        <m:r>
          <m:t>n</m:t>
        </m:r>
      </m:oMath>
      <w:r>
        <w:t xml:space="preserve"> </w:t>
      </w:r>
      <w:r>
        <w:t xml:space="preserve">is the total number of clients, and</w:t>
      </w:r>
      <w:r>
        <w:t xml:space="preserve"> </w:t>
      </w:r>
      <m:oMath>
        <m:r>
          <m:t>f</m:t>
        </m:r>
      </m:oMath>
      <w:r>
        <w:t xml:space="preserve"> </w:t>
      </w:r>
      <w:r>
        <w:t xml:space="preserve">is the maximum tolerated Byzantine clients. The update with minimum score is selected.</w:t>
      </w:r>
    </w:p>
    <w:bookmarkEnd w:id="12"/>
    <w:bookmarkStart w:id="15" w:name="trimmedmean"/>
    <w:p>
      <w:pPr>
        <w:pStyle w:val="Heading3"/>
      </w:pPr>
      <w:r>
        <w:t xml:space="preserve">TrimmedMean</w:t>
      </w:r>
    </w:p>
    <w:p>
      <w:pPr>
        <w:pStyle w:val="FirstParagraph"/>
      </w:pPr>
      <w:r>
        <w:t xml:space="preserve">TrimmedMean performs coordinate-wise aggregation by removing extreme values. For each parameter dimension</w:t>
      </w:r>
      <w:r>
        <w:t xml:space="preserve"> </w:t>
      </w:r>
      <m:oMath>
        <m:r>
          <m:t>j</m:t>
        </m:r>
      </m:oMath>
      <w:r>
        <w:t xml:space="preserve">:</w:t>
      </w:r>
    </w:p>
    <w:p>
      <w:pPr>
        <w:pStyle w:val="BodyText"/>
      </w:pPr>
      <m:oMathPara>
        <m:oMathParaPr>
          <m:jc m:val="center"/>
        </m:oMathParaPr>
        <m:oMath>
          <m:sSubSup>
            <m:e>
              <m:r>
                <m:t>w</m:t>
              </m:r>
            </m:e>
            <m:sub>
              <m:r>
                <m:t>j</m:t>
              </m:r>
            </m:sub>
            <m:sup>
              <m:r>
                <m:rPr>
                  <m:sty m:val="p"/>
                </m:rPr>
                <m:t>(</m:t>
              </m:r>
              <m:r>
                <m:t>t</m:t>
              </m:r>
              <m:r>
                <m:rPr>
                  <m:sty m:val="p"/>
                </m:rPr>
                <m:t>+</m:t>
              </m:r>
              <m:r>
                <m:t>1</m:t>
              </m:r>
              <m:r>
                <m:rPr>
                  <m:sty m:val="p"/>
                </m:rPr>
                <m:t>)</m:t>
              </m:r>
            </m:sup>
          </m:sSubSup>
          <m:r>
            <m:rPr>
              <m:sty m:val="p"/>
            </m:rPr>
            <m:t>=</m:t>
          </m:r>
          <m:r>
            <m:rPr>
              <m:nor/>
              <m:sty m:val="p"/>
            </m:rPr>
            <m:t>Mean</m:t>
          </m:r>
          <m:d>
            <m:dPr>
              <m:begChr m:val="("/>
              <m:sepChr m:val=""/>
              <m:endChr m:val=")"/>
              <m:grow/>
            </m:dPr>
            <m:e>
              <m:r>
                <m:rPr>
                  <m:sty m:val="p"/>
                </m:rPr>
                <m:t>{</m:t>
              </m:r>
              <m:sSubSup>
                <m:e>
                  <m:r>
                    <m:rPr>
                      <m:sty m:val="b"/>
                    </m:rPr>
                    <m:t>w</m:t>
                  </m:r>
                </m:e>
                <m:sub>
                  <m:r>
                    <m:t>i</m:t>
                  </m:r>
                  <m:r>
                    <m:rPr>
                      <m:sty m:val="p"/>
                    </m:rPr>
                    <m:t>,</m:t>
                  </m:r>
                  <m:r>
                    <m:t>j</m:t>
                  </m:r>
                </m:sub>
                <m:sup>
                  <m:r>
                    <m:rPr>
                      <m:sty m:val="p"/>
                    </m:rPr>
                    <m:t>(</m:t>
                  </m:r>
                  <m:r>
                    <m:t>t</m:t>
                  </m:r>
                  <m:r>
                    <m:rPr>
                      <m:sty m:val="p"/>
                    </m:rPr>
                    <m:t>)</m:t>
                  </m:r>
                </m:sup>
              </m:sSubSup>
              <m:sSub>
                <m:e>
                  <m:r>
                    <m:rPr>
                      <m:sty m:val="p"/>
                    </m:rPr>
                    <m:t>}</m:t>
                  </m:r>
                </m:e>
                <m:sub>
                  <m:r>
                    <m:t>i</m:t>
                  </m:r>
                  <m:r>
                    <m:rPr>
                      <m:sty m:val="p"/>
                    </m:rPr>
                    <m:t>∈</m:t>
                  </m:r>
                  <m:sSub>
                    <m:e>
                      <m:r>
                        <m:rPr>
                          <m:scr m:val="script"/>
                          <m:sty m:val="p"/>
                        </m:rPr>
                        <m:t>T</m:t>
                      </m:r>
                    </m:e>
                    <m:sub>
                      <m:r>
                        <m:t>j</m:t>
                      </m:r>
                    </m:sub>
                  </m:sSub>
                </m:sub>
              </m:sSub>
            </m:e>
          </m:d>
        </m:oMath>
      </m:oMathPara>
    </w:p>
    <w:p>
      <w:pPr>
        <w:pStyle w:val="FirstParagraph"/>
      </w:pPr>
      <w:r>
        <w:t xml:space="preserve">where</w:t>
      </w:r>
      <w:r>
        <w:t xml:space="preserve"> </w:t>
      </w:r>
      <m:oMath>
        <m:sSub>
          <m:e>
            <m:r>
              <m:rPr>
                <m:scr m:val="script"/>
                <m:sty m:val="p"/>
              </m:rPr>
              <m:t>T</m:t>
            </m:r>
          </m:e>
          <m:sub>
            <m:r>
              <m:t>j</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client indices remaining after removing clients with the</w:t>
      </w:r>
      <w:r>
        <w:t xml:space="preserve"> </w:t>
      </w:r>
      <m:oMath>
        <m:r>
          <m:rPr>
            <m:sty m:val="p"/>
          </m:rPr>
          <m:t>⌊</m:t>
        </m:r>
        <m:r>
          <m:t>β</m:t>
        </m:r>
        <m:r>
          <m:rPr>
            <m:sty m:val="p"/>
          </m:rPr>
          <m:t>⋅</m:t>
        </m:r>
        <m:r>
          <m:t>N</m:t>
        </m:r>
        <m:r>
          <m:rPr>
            <m:sty m:val="p"/>
          </m:rPr>
          <m:t>⌋</m:t>
        </m:r>
      </m:oMath>
      <w:r>
        <w:t xml:space="preserve"> </w:t>
      </w:r>
      <w:r>
        <w:t xml:space="preserve">highest and lowest values along dimension</w:t>
      </w:r>
      <w:r>
        <w:t xml:space="preserve"> </w:t>
      </w:r>
      <m:oMath>
        <m:r>
          <m:t>j</m:t>
        </m:r>
      </m:oMath>
      <w:r>
        <w:t xml:space="preserve">. We use</w:t>
      </w:r>
      <w:r>
        <w:t xml:space="preserve"> </w:t>
      </w:r>
      <m:oMath>
        <m:r>
          <m:t>β</m:t>
        </m:r>
        <m:r>
          <m:rPr>
            <m:sty m:val="p"/>
          </m:rPr>
          <m:t>=</m:t>
        </m:r>
        <m:r>
          <m:t>0.2</m:t>
        </m:r>
      </m:oMath>
      <w:r>
        <w:t xml:space="preserve"> </w:t>
      </w:r>
      <w:r>
        <w:t xml:space="preserve">(trim 20% from each extreme, retaining 60% of updates per coordinate).</w:t>
      </w:r>
    </w:p>
    <w:bookmarkEnd w:id="13"/>
    <w:bookmarkEnd w:id="14"/>
    <w:bookmarkStart w:id="16" w:name="blockchain-integration"/>
    <w:p>
      <w:pPr>
        <w:pStyle w:val="Heading2"/>
      </w:pPr>
      <w:r>
        <w:t xml:space="preserve">Blockchain Integration</w:t>
      </w:r>
    </w:p>
    <w:p>
      <w:pPr>
        <w:pStyle w:val="FirstParagraph"/>
      </w:pPr>
      <w:r>
        <w:t xml:space="preserve">We deploy a smart contract on Ethereum that records:</w:t>
      </w:r>
    </w:p>
    <w:p>
      <w:pPr>
        <w:numPr>
          <w:ilvl w:val="0"/>
          <w:numId w:val="1008"/>
        </w:numPr>
      </w:pPr>
      <w:r>
        <w:t xml:space="preserve">Model updates from each client</w:t>
      </w:r>
    </w:p>
    <w:p>
      <w:pPr>
        <w:numPr>
          <w:ilvl w:val="0"/>
          <w:numId w:val="1008"/>
        </w:numPr>
      </w:pPr>
      <w:r>
        <w:t xml:space="preserve">Aggregated global model parameters</w:t>
      </w:r>
    </w:p>
    <w:p>
      <w:pPr>
        <w:numPr>
          <w:ilvl w:val="0"/>
          <w:numId w:val="1008"/>
        </w:numPr>
      </w:pPr>
      <w:r>
        <w:t xml:space="preserve">Byzantine detection flags</w:t>
      </w:r>
    </w:p>
    <w:p>
      <w:pPr>
        <w:numPr>
          <w:ilvl w:val="0"/>
          <w:numId w:val="1008"/>
        </w:numPr>
      </w:pPr>
      <w:r>
        <w:t xml:space="preserve">Training round metadata</w:t>
      </w:r>
    </w:p>
    <w:p>
      <w:pPr>
        <w:pStyle w:val="FirstParagraph"/>
      </w:pPr>
      <w:r>
        <w:t xml:space="preserve">This provides an immutable audit trail for post-hoc analysis and accountability.</w:t>
      </w:r>
    </w:p>
    <w:bookmarkEnd w:id="15"/>
    <w:bookmarkEnd w:id="16"/>
    <w:bookmarkStart w:id="17" w:name="sec:methodology"/>
    <w:p>
      <w:pPr>
        <w:pStyle w:val="Heading1"/>
      </w:pPr>
      <w:r>
        <w:t xml:space="preserve">Methodology</w:t>
      </w:r>
    </w:p>
    <w:bookmarkStart w:id="18" w:name="reproducibility-and-artifacts"/>
    <w:p>
      <w:pPr>
        <w:pStyle w:val="Heading2"/>
      </w:pPr>
      <w:r>
        <w:t xml:space="preserve">Reproducibility and Artifacts</w:t>
      </w:r>
    </w:p>
    <w:p>
      <w:pPr>
        <w:pStyle w:val="FirstParagraph"/>
      </w:pPr>
      <w:r>
        <w:t xml:space="preserve">To ensure full reproducibility, we provide:</w:t>
      </w:r>
    </w:p>
    <w:p>
      <w:pPr>
        <w:numPr>
          <w:ilvl w:val="0"/>
          <w:numId w:val="1009"/>
        </w:numPr>
      </w:pPr>
      <w:r>
        <w:rPr>
          <w:b/>
          <w:bCs/>
        </w:rPr>
        <w:t xml:space="preserve">Code Repository:</w:t>
      </w:r>
      <w:r>
        <w:t xml:space="preserve"> </w:t>
      </w:r>
      <w:r>
        <w:t xml:space="preserve">Complete implementation available at GitHub</w:t>
      </w:r>
      <w:r>
        <w:rPr>
          <w:rStyle w:val="FootnoteReference"/>
        </w:rPr>
        <w:footnoteReference w:id="3"/>
      </w:r>
      <w:r>
        <w:t xml:space="preserve"> </w:t>
      </w:r>
      <w:r>
        <w:t xml:space="preserve">including:</w:t>
      </w:r>
    </w:p>
    <w:p>
      <w:pPr>
        <w:numPr>
          <w:ilvl w:val="1"/>
          <w:numId w:val="1010"/>
        </w:numPr>
      </w:pPr>
      <w:r>
        <w:t xml:space="preserve">Aggregation algorithms (Krum, TrimmedMean, Median, ATMA)</w:t>
      </w:r>
    </w:p>
    <w:p>
      <w:pPr>
        <w:numPr>
          <w:ilvl w:val="1"/>
          <w:numId w:val="1010"/>
        </w:numPr>
      </w:pPr>
      <w:r>
        <w:t xml:space="preserve">Byzantine attack implementations (label-flip, sign-flip, scaling)</w:t>
      </w:r>
    </w:p>
    <w:p>
      <w:pPr>
        <w:numPr>
          <w:ilvl w:val="1"/>
          <w:numId w:val="1010"/>
        </w:numPr>
      </w:pPr>
      <w:r>
        <w:t xml:space="preserve">Blockchain integration (Ganache + Solidity contracts)</w:t>
      </w:r>
    </w:p>
    <w:p>
      <w:pPr>
        <w:numPr>
          <w:ilvl w:val="1"/>
          <w:numId w:val="1010"/>
        </w:numPr>
      </w:pPr>
      <w:r>
        <w:t xml:space="preserve">All experiment scripts with fixed seeds</w:t>
      </w:r>
    </w:p>
    <w:p>
      <w:pPr>
        <w:numPr>
          <w:ilvl w:val="0"/>
          <w:numId w:val="1009"/>
        </w:numPr>
      </w:pPr>
      <w:r>
        <w:rPr>
          <w:b/>
          <w:bCs/>
        </w:rPr>
        <w:t xml:space="preserve">Random Seeds:</w:t>
      </w:r>
      <w:r>
        <w:t xml:space="preserve"> </w:t>
      </w:r>
      <w:r>
        <w:t xml:space="preserve">All experiments use seeds 42, 43, 44 for reproducibility</w:t>
      </w:r>
    </w:p>
    <w:p>
      <w:pPr>
        <w:numPr>
          <w:ilvl w:val="0"/>
          <w:numId w:val="1009"/>
        </w:numPr>
      </w:pPr>
      <w:r>
        <w:rPr>
          <w:b/>
          <w:bCs/>
        </w:rPr>
        <w:t xml:space="preserve">Hardware:</w:t>
      </w:r>
      <w:r>
        <w:t xml:space="preserve"> </w:t>
      </w:r>
      <w:r>
        <w:t xml:space="preserve">NVIDIA GeForce RTX 5060 Ti, Intel Core i7, 32GB RAM</w:t>
      </w:r>
    </w:p>
    <w:p>
      <w:pPr>
        <w:numPr>
          <w:ilvl w:val="0"/>
          <w:numId w:val="1009"/>
        </w:numPr>
      </w:pPr>
      <w:r>
        <w:rPr>
          <w:b/>
          <w:bCs/>
        </w:rPr>
        <w:t xml:space="preserve">Software:</w:t>
      </w:r>
      <w:r>
        <w:t xml:space="preserve"> </w:t>
      </w:r>
      <w:r>
        <w:t xml:space="preserve">Python 3.10, PyTorch 2.0, web3.py 6.0, Solidity 0.8.19</w:t>
      </w:r>
    </w:p>
    <w:p>
      <w:pPr>
        <w:pStyle w:val="FirstParagraph"/>
      </w:pPr>
      <w:r>
        <w:rPr>
          <w:b/>
          <w:bCs/>
        </w:rPr>
        <w:t xml:space="preserve">Metric Definitions:</w:t>
      </w:r>
    </w:p>
    <w:p>
      <w:pPr>
        <w:numPr>
          <w:ilvl w:val="0"/>
          <w:numId w:val="1011"/>
        </w:numPr>
      </w:pPr>
      <w:r>
        <w:rPr>
          <w:b/>
          <w:bCs/>
        </w:rPr>
        <w:t xml:space="preserve">Attack Success Rate:</w:t>
      </w:r>
      <w:r>
        <w:t xml:space="preserve"> </w:t>
      </w:r>
      <w:r>
        <w:t xml:space="preserve">Fraction of Byzantine updates that were</w:t>
      </w:r>
      <w:r>
        <w:t xml:space="preserve"> </w:t>
      </w:r>
      <w:r>
        <w:rPr>
          <w:i/>
          <w:iCs/>
        </w:rPr>
        <w:t xml:space="preserve">not</w:t>
      </w:r>
      <w:r>
        <w:t xml:space="preserve"> </w:t>
      </w:r>
      <w:r>
        <w:t xml:space="preserve">detected and filtered by the aggregation algorithm</w:t>
      </w:r>
    </w:p>
    <w:p>
      <w:pPr>
        <w:numPr>
          <w:ilvl w:val="0"/>
          <w:numId w:val="1011"/>
        </w:numPr>
      </w:pPr>
      <w:r>
        <w:rPr>
          <w:b/>
          <w:bCs/>
        </w:rPr>
        <w:t xml:space="preserve">Model Degradation:</w:t>
      </w:r>
      <w:r>
        <w:t xml:space="preserve"> </w:t>
      </w:r>
      <w:r>
        <w:t xml:space="preserve">Accuracy drop from clean baseline (no attack) to attacked scenario:</w:t>
      </w:r>
      <w:r>
        <w:t xml:space="preserve"> </w:t>
      </w:r>
      <m:oMath>
        <m:r>
          <m:rPr>
            <m:nor/>
            <m:sty m:val="p"/>
          </m:rPr>
          <m:t>Degradation</m:t>
        </m:r>
        <m:r>
          <m:rPr>
            <m:sty m:val="p"/>
          </m:rPr>
          <m:t>=</m:t>
        </m:r>
        <m:sSub>
          <m:e>
            <m:r>
              <m:rPr>
                <m:nor/>
                <m:sty m:val="p"/>
              </m:rPr>
              <m:t>Acc</m:t>
            </m:r>
          </m:e>
          <m:sub>
            <m:r>
              <m:rPr>
                <m:nor/>
                <m:sty m:val="p"/>
              </m:rPr>
              <m:t>clean</m:t>
            </m:r>
          </m:sub>
        </m:sSub>
        <m:r>
          <m:rPr>
            <m:sty m:val="p"/>
          </m:rPr>
          <m:t>−</m:t>
        </m:r>
        <m:sSub>
          <m:e>
            <m:r>
              <m:rPr>
                <m:nor/>
                <m:sty m:val="p"/>
              </m:rPr>
              <m:t>Acc</m:t>
            </m:r>
          </m:e>
          <m:sub>
            <m:r>
              <m:rPr>
                <m:nor/>
                <m:sty m:val="p"/>
              </m:rPr>
              <m:t>attacked</m:t>
            </m:r>
          </m:sub>
        </m:sSub>
      </m:oMath>
    </w:p>
    <w:p>
      <w:pPr>
        <w:numPr>
          <w:ilvl w:val="0"/>
          <w:numId w:val="1011"/>
        </w:numPr>
      </w:pPr>
      <w:r>
        <w:rPr>
          <w:b/>
          <w:bCs/>
        </w:rPr>
        <w:t xml:space="preserve">Detected Attacks:</w:t>
      </w:r>
      <w:r>
        <w:t xml:space="preserve"> </w:t>
      </w:r>
      <w:r>
        <w:t xml:space="preserve">Count of rounds where Byzantine updates were identified and excluded (via distance-based outlier detection in Krum/TrimmedMean)</w:t>
      </w:r>
    </w:p>
    <w:p>
      <w:pPr>
        <w:numPr>
          <w:ilvl w:val="0"/>
          <w:numId w:val="1011"/>
        </w:numPr>
      </w:pPr>
      <w:r>
        <w:rPr>
          <w:b/>
          <w:bCs/>
        </w:rPr>
        <w:t xml:space="preserve">ROC/AUC:</w:t>
      </w:r>
      <w:r>
        <w:t xml:space="preserve"> </w:t>
      </w:r>
      <w:r>
        <w:t xml:space="preserve">For provenance verification (H2), we compute receiver operating characteristic by varying the anomaly threshold</w:t>
      </w:r>
      <w:r>
        <w:t xml:space="preserve"> </w:t>
      </w:r>
      <m:oMath>
        <m:r>
          <m:t>θ</m:t>
        </m:r>
      </m:oMath>
      <w:r>
        <w:t xml:space="preserve"> </w:t>
      </w:r>
      <w:r>
        <w:t xml:space="preserve">and measuring true/false positive rates for tamper detection</w:t>
      </w:r>
    </w:p>
    <w:bookmarkEnd w:id="17"/>
    <w:bookmarkStart w:id="19" w:name="experimental-setup"/>
    <w:p>
      <w:pPr>
        <w:pStyle w:val="Heading2"/>
      </w:pPr>
      <w:r>
        <w:t xml:space="preserve">Experimental Setup</w:t>
      </w:r>
    </w:p>
    <w:bookmarkStart w:id="20" w:name="dataset-and-model"/>
    <w:p>
      <w:pPr>
        <w:pStyle w:val="Heading3"/>
      </w:pPr>
      <w:r>
        <w:t xml:space="preserve">Dataset and Model</w:t>
      </w:r>
    </w:p>
    <w:p>
      <w:pPr>
        <w:pStyle w:val="FirstParagraph"/>
      </w:pPr>
      <w:r>
        <w:t xml:space="preserve">We use the MNIST dataset [6], consisting of 70,000 handwritten digit images (60,000 training, 10,000 testing). We employ a simple convolutional neural network (SimpleCNN) with:</w:t>
      </w:r>
    </w:p>
    <w:p>
      <w:pPr>
        <w:numPr>
          <w:ilvl w:val="0"/>
          <w:numId w:val="1012"/>
        </w:numPr>
      </w:pPr>
      <w:r>
        <w:t xml:space="preserve">2 convolutional layers (32 and 64 filters)</w:t>
      </w:r>
    </w:p>
    <w:p>
      <w:pPr>
        <w:numPr>
          <w:ilvl w:val="0"/>
          <w:numId w:val="1012"/>
        </w:numPr>
      </w:pPr>
      <w:r>
        <w:t xml:space="preserve">2 fully connected layers (128 and 10 units)</w:t>
      </w:r>
    </w:p>
    <w:p>
      <w:pPr>
        <w:numPr>
          <w:ilvl w:val="0"/>
          <w:numId w:val="1012"/>
        </w:numPr>
      </w:pPr>
      <w:r>
        <w:t xml:space="preserve">ReLU activations and max pooling</w:t>
      </w:r>
    </w:p>
    <w:bookmarkEnd w:id="18"/>
    <w:bookmarkStart w:id="21" w:name="federated-learning-configuration"/>
    <w:p>
      <w:pPr>
        <w:pStyle w:val="Heading3"/>
      </w:pPr>
      <w:r>
        <w:t xml:space="preserve">Federated Learning Configuration</w:t>
      </w:r>
    </w:p>
    <w:bookmarkStart w:id="22" w:name="tab:fl_config"/>
    <w:p>
      <w:pPr>
        <w:pStyle w:val="TableCaption"/>
      </w:pPr>
      <w:r>
        <w:t xml:space="preserve">Federated Learning Configuration</w:t>
      </w:r>
    </w:p>
    <w:tbl>
      <w:tblPr>
        <w:tblStyle w:val="Table"/>
        <w:tblW w:type="auto" w:w="0"/>
        <w:tblLook w:firstRow="1" w:lastRow="0" w:firstColumn="0" w:lastColumn="0" w:noHBand="0" w:noVBand="0" w:val="0020"/>
        <w:tblCaption w:val="Federated Learning Configuration"/>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Total Clients</w:t>
            </w:r>
          </w:p>
        </w:tc>
        <w:tc>
          <w:tcPr/>
          <w:p>
            <w:pPr>
              <w:pStyle w:val="Compact"/>
              <w:jc w:val="left"/>
            </w:pPr>
            <w:r>
              <w:t xml:space="preserve">20</w:t>
            </w:r>
          </w:p>
        </w:tc>
      </w:tr>
      <w:tr>
        <w:tc>
          <w:tcPr/>
          <w:p>
            <w:pPr>
              <w:pStyle w:val="Compact"/>
              <w:jc w:val="left"/>
            </w:pPr>
            <w:r>
              <w:t xml:space="preserve">Clients per Round</w:t>
            </w:r>
          </w:p>
        </w:tc>
        <w:tc>
          <w:tcPr/>
          <w:p>
            <w:pPr>
              <w:pStyle w:val="Compact"/>
              <w:jc w:val="left"/>
            </w:pPr>
            <w:r>
              <w:t xml:space="preserve">10 (50%)</w:t>
            </w:r>
          </w:p>
        </w:tc>
      </w:tr>
      <w:tr>
        <w:tc>
          <w:tcPr/>
          <w:p>
            <w:pPr>
              <w:pStyle w:val="Compact"/>
              <w:jc w:val="left"/>
            </w:pPr>
            <w:r>
              <w:t xml:space="preserve">Local Epochs</w:t>
            </w:r>
          </w:p>
        </w:tc>
        <w:tc>
          <w:tcPr/>
          <w:p>
            <w:pPr>
              <w:pStyle w:val="Compact"/>
              <w:jc w:val="left"/>
            </w:pPr>
            <w:r>
              <w:t xml:space="preserve">5</w:t>
            </w:r>
          </w:p>
        </w:tc>
      </w:tr>
      <w:tr>
        <w:tc>
          <w:tcPr/>
          <w:p>
            <w:pPr>
              <w:pStyle w:val="Compact"/>
              <w:jc w:val="left"/>
            </w:pPr>
            <w:r>
              <w:t xml:space="preserve">Learning Rate</w:t>
            </w:r>
          </w:p>
        </w:tc>
        <w:tc>
          <w:tcPr/>
          <w:p>
            <w:pPr>
              <w:pStyle w:val="Compact"/>
              <w:jc w:val="left"/>
            </w:pPr>
            <w:r>
              <w:t xml:space="preserve">0.01 (Krum), 0.05 (Others)</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Byzantine Ratio</w:t>
            </w:r>
          </w:p>
        </w:tc>
        <w:tc>
          <w:tcPr/>
          <w:p>
            <w:pPr>
              <w:pStyle w:val="Compact"/>
              <w:jc w:val="left"/>
            </w:pPr>
            <w:r>
              <w:t xml:space="preserve">20% (4 clients)</w:t>
            </w:r>
          </w:p>
        </w:tc>
      </w:tr>
      <w:tr>
        <w:tc>
          <w:tcPr/>
          <w:p>
            <w:pPr>
              <w:pStyle w:val="Compact"/>
              <w:jc w:val="left"/>
            </w:pPr>
            <w:r>
              <w:t xml:space="preserve">Data Distribution</w:t>
            </w:r>
          </w:p>
        </w:tc>
        <w:tc>
          <w:tcPr/>
          <w:p>
            <w:pPr>
              <w:pStyle w:val="Compact"/>
              <w:jc w:val="left"/>
            </w:pPr>
            <w:r>
              <w:t xml:space="preserve">Non-IID</w:t>
            </w:r>
          </w:p>
        </w:tc>
      </w:tr>
      <w:tr>
        <w:tc>
          <w:tcPr/>
          <w:p>
            <w:pPr>
              <w:pStyle w:val="Compact"/>
              <w:jc w:val="left"/>
            </w:pPr>
            <w:r>
              <w:t xml:space="preserve">Training Rounds</w:t>
            </w:r>
          </w:p>
        </w:tc>
        <w:tc>
          <w:tcPr/>
          <w:p>
            <w:pPr>
              <w:pStyle w:val="Compact"/>
              <w:jc w:val="left"/>
            </w:pPr>
            <w:r>
              <w:t xml:space="preserve">50, 160</w:t>
            </w:r>
          </w:p>
        </w:tc>
      </w:tr>
    </w:tbl>
    <w:bookmarkEnd w:id="19"/>
    <w:p>
      <w:pPr>
        <w:pStyle w:val="BodyText"/>
      </w:pPr>
      <w:r>
        <w:t xml:space="preserve">Table </w:t>
      </w:r>
      <w:hyperlink w:anchor="tab:fl_config">
        <w:r>
          <w:rPr>
            <w:rStyle w:val="Hyperlink"/>
          </w:rPr>
          <w:t xml:space="preserve">1</w:t>
        </w:r>
      </w:hyperlink>
      <w:r>
        <w:t xml:space="preserve"> </w:t>
      </w:r>
      <w:r>
        <w:t xml:space="preserve">summarizes our federated learning configuration (see Table </w:t>
      </w:r>
      <w:hyperlink w:anchor="tab:experiment_config">
        <w:r>
          <w:rPr>
            <w:rStyle w:val="Hyperlink"/>
          </w:rPr>
          <w:t xml:space="preserve">[tab:experiment_config]</w:t>
        </w:r>
      </w:hyperlink>
      <w:r>
        <w:t xml:space="preserve"> </w:t>
      </w:r>
      <w:r>
        <w:t xml:space="preserve">for complete experiment matrix across all datasets). We distribute data in a non-IID manner, where each client has a biased distribution over digit classes, simulating realistic heterogeneous data scenarios.</w:t>
      </w:r>
    </w:p>
    <w:bookmarkEnd w:id="20"/>
    <w:bookmarkStart w:id="23" w:name="byzantine-attack-strategy"/>
    <w:p>
      <w:pPr>
        <w:pStyle w:val="Heading3"/>
      </w:pPr>
      <w:r>
        <w:t xml:space="preserve">Byzantine Attack Strategy</w:t>
      </w:r>
    </w:p>
    <w:p>
      <w:pPr>
        <w:pStyle w:val="FirstParagraph"/>
      </w:pPr>
      <w:r>
        <w:t xml:space="preserve">Byzantine clients implement a label flipping attack combined with gradient scaling:</w:t>
      </w:r>
    </w:p>
    <w:p>
      <w:pPr>
        <w:numPr>
          <w:ilvl w:val="0"/>
          <w:numId w:val="1013"/>
        </w:numPr>
      </w:pPr>
      <w:r>
        <w:t xml:space="preserve">Flip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p>
    <w:p>
      <w:pPr>
        <w:numPr>
          <w:ilvl w:val="0"/>
          <w:numId w:val="1013"/>
        </w:numPr>
      </w:pPr>
      <w:r>
        <w:t xml:space="preserve">Scale gradients by factor</w:t>
      </w:r>
      <w:r>
        <w:t xml:space="preserve"> </w:t>
      </w:r>
      <m:oMath>
        <m:r>
          <m:t>λ</m:t>
        </m:r>
        <m:r>
          <m:rPr>
            <m:sty m:val="p"/>
          </m:rPr>
          <m:t>=</m:t>
        </m:r>
        <m:r>
          <m:rPr>
            <m:sty m:val="p"/>
          </m:rPr>
          <m:t>−</m:t>
        </m:r>
        <m:r>
          <m:t>5.0</m:t>
        </m:r>
      </m:oMath>
      <w:r>
        <w:t xml:space="preserve"> </w:t>
      </w:r>
      <w:r>
        <w:t xml:space="preserve">(aggressive) or</w:t>
      </w:r>
      <w:r>
        <w:t xml:space="preserve"> </w:t>
      </w:r>
      <m:oMath>
        <m:r>
          <m:t>λ</m:t>
        </m:r>
        <m:r>
          <m:rPr>
            <m:sty m:val="p"/>
          </m:rPr>
          <m:t>∈</m:t>
        </m:r>
        <m:r>
          <m:rPr>
            <m:sty m:val="p"/>
          </m:rPr>
          <m:t>[</m:t>
        </m:r>
        <m:r>
          <m:t>2</m:t>
        </m:r>
        <m:r>
          <m:rPr>
            <m:sty m:val="p"/>
          </m:rPr>
          <m:t>,</m:t>
        </m:r>
        <m:r>
          <m:t>5</m:t>
        </m:r>
        <m:r>
          <m:rPr>
            <m:sty m:val="p"/>
          </m:rPr>
          <m:t>]</m:t>
        </m:r>
      </m:oMath>
      <w:r>
        <w:t xml:space="preserve"> </w:t>
      </w:r>
      <w:r>
        <w:t xml:space="preserve">(adaptive experiments)</w:t>
      </w:r>
    </w:p>
    <w:p>
      <w:pPr>
        <w:numPr>
          <w:ilvl w:val="0"/>
          <w:numId w:val="1013"/>
        </w:numPr>
      </w:pPr>
      <w:r>
        <w:t xml:space="preserve">Activate in 80% of rounds (i.e., 4 Byzantine clients</w:t>
      </w:r>
      <w:r>
        <w:t xml:space="preserve"> </w:t>
      </w:r>
      <m:oMath>
        <m:r>
          <m:rPr>
            <m:sty m:val="p"/>
          </m:rPr>
          <m:t>×</m:t>
        </m:r>
      </m:oMath>
      <w:r>
        <w:t xml:space="preserve"> </w:t>
      </w:r>
      <w:r>
        <w:t xml:space="preserve">80%</w:t>
      </w:r>
      <w:r>
        <w:t xml:space="preserve"> </w:t>
      </w:r>
      <m:oMath>
        <m:r>
          <m:rPr>
            <m:sty m:val="p"/>
          </m:rPr>
          <m:t>×</m:t>
        </m:r>
      </m:oMath>
      <w:r>
        <w:t xml:space="preserve"> </w:t>
      </w:r>
      <w:r>
        <w:t xml:space="preserve">50 rounds = 160 potential attacks; with TrimmedMean filtering, only statistically anomalous updates trigger on-chain detection)</w:t>
      </w:r>
    </w:p>
    <w:p>
      <w:pPr>
        <w:pStyle w:val="FirstParagraph"/>
      </w:pPr>
      <w:r>
        <w:t xml:space="preserve">This attack aims to poison the global model. The negative scaling (</w:t>
      </w:r>
      <m:oMath>
        <m:r>
          <m:t>λ</m:t>
        </m:r>
        <m:r>
          <m:rPr>
            <m:sty m:val="p"/>
          </m:rPr>
          <m:t>=</m:t>
        </m:r>
        <m:r>
          <m:rPr>
            <m:sty m:val="p"/>
          </m:rPr>
          <m:t>−</m:t>
        </m:r>
        <m:r>
          <m:t>5.0</m:t>
        </m:r>
      </m:oMath>
      <w:r>
        <w:t xml:space="preserve">) inverts and amplifies gradients, creating stronger poisoning than positive scaling.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Table</w:t>
            </w:r>
          </w:p>
        </w:tc>
        <w:tc>
          <w:tcPr/>
          <w:p>
            <w:pPr>
              <w:pStyle w:val="Compact"/>
              <w:jc w:val="left"/>
            </w:pPr>
            <w:r>
              <w:rPr>
                <w:b/>
                <w:bCs/>
              </w:rPr>
              <w:t xml:space="preserve">Dataset</w:t>
            </w:r>
          </w:p>
        </w:tc>
        <w:tc>
          <w:tcPr/>
          <w:p>
            <w:pPr>
              <w:pStyle w:val="Compact"/>
              <w:jc w:val="left"/>
            </w:pPr>
            <w:r>
              <w:rPr>
                <w:b/>
                <w:bCs/>
              </w:rPr>
              <w:t xml:space="preserve">Model</w:t>
            </w:r>
          </w:p>
        </w:tc>
        <w:tc>
          <w:tcPr/>
          <w:p>
            <w:pPr>
              <w:pStyle w:val="Compact"/>
              <w:jc w:val="left"/>
            </w:pPr>
            <w:r>
              <w:rPr>
                <w:b/>
                <w:bCs/>
              </w:rPr>
              <w:t xml:space="preserve">Attack Type</w:t>
            </w:r>
          </w:p>
        </w:tc>
        <w:tc>
          <w:tcPr/>
          <w:p>
            <w:pPr>
              <w:pStyle w:val="Compact"/>
              <w:jc w:val="left"/>
            </w:pPr>
            <w:r>
              <w:rPr>
                <w:b/>
                <w:bCs/>
              </w:rPr>
              <w:t xml:space="preserve">Byzantine</w:t>
            </w:r>
          </w:p>
        </w:tc>
        <w:tc>
          <w:tcPr/>
          <w:p>
            <w:pPr>
              <w:pStyle w:val="Compact"/>
              <w:jc w:val="left"/>
            </w:pPr>
            <w:r>
              <w:rPr>
                <w:b/>
                <w:bCs/>
              </w:rPr>
              <w:t xml:space="preserve">Rounds</w:t>
            </w:r>
          </w:p>
        </w:tc>
        <w:tc>
          <w:tcPr/>
          <w:p>
            <w:pPr>
              <w:pStyle w:val="Compact"/>
              <w:jc w:val="left"/>
            </w:pPr>
            <w:r>
              <w:rPr>
                <w:b/>
                <w:bCs/>
              </w:rPr>
              <w:t xml:space="preserve">Seeds</w:t>
            </w:r>
          </w:p>
        </w:tc>
        <w:tc>
          <w:tcPr/>
          <w:p>
            <w:pPr>
              <w:pStyle w:val="Compact"/>
              <w:jc w:val="left"/>
            </w:pPr>
            <w:r>
              <w:rPr>
                <w:b/>
                <w:bCs/>
              </w:rPr>
              <w:t xml:space="preserve">Local Epochs</w:t>
            </w:r>
          </w:p>
        </w:tc>
        <w:tc>
          <w:tcPr/>
          <w:p>
            <w:pPr>
              <w:pStyle w:val="Compact"/>
              <w:jc w:val="left"/>
            </w:pPr>
            <w:r>
              <w:rPr>
                <w:b/>
                <w:bCs/>
              </w:rPr>
              <w:t xml:space="preserve">Result File</w:t>
            </w:r>
          </w:p>
        </w:tc>
      </w:tr>
      <w:tr>
        <w:tc>
          <w:tcPr/>
          <w:p>
            <w:pPr>
              <w:pStyle w:val="Compact"/>
              <w:jc w:val="left"/>
            </w:pPr>
            <w:r>
              <w:t xml:space="preserve">II (Detection)</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Tamper detection</w:t>
            </w:r>
          </w:p>
        </w:tc>
        <w:tc>
          <w:tcPr/>
          <w:p>
            <w:pPr>
              <w:pStyle w:val="Compact"/>
              <w:jc w:val="left"/>
            </w:pPr>
            <w:r>
              <w:t xml:space="preserve">30% prob</w:t>
            </w:r>
          </w:p>
        </w:tc>
        <w:tc>
          <w:tcPr/>
          <w:p>
            <w:pPr>
              <w:pStyle w:val="Compact"/>
              <w:jc w:val="left"/>
            </w:pPr>
            <w:r>
              <w:t xml:space="preserve">50</w:t>
            </w:r>
          </w:p>
        </w:tc>
        <w:tc>
          <w:tcPr/>
          <w:p>
            <w:pPr>
              <w:pStyle w:val="Compact"/>
              <w:jc w:val="left"/>
            </w:pPr>
            <w:r>
              <w:t xml:space="preserve">42</w:t>
            </w:r>
          </w:p>
        </w:tc>
        <w:tc>
          <w:tcPr/>
          <w:p>
            <w:pPr>
              <w:pStyle w:val="Compact"/>
              <w:jc w:val="left"/>
            </w:pPr>
            <w:r>
              <w:t xml:space="preserve">5</w:t>
            </w:r>
          </w:p>
        </w:tc>
        <w:tc>
          <w:tcPr/>
          <w:p>
            <w:pPr>
              <w:pStyle w:val="Compact"/>
              <w:jc w:val="left"/>
            </w:pPr>
            <w:r>
              <w:t xml:space="preserve">h2_valid_rerun.json</w:t>
            </w:r>
          </w:p>
        </w:tc>
      </w:tr>
      <w:tr>
        <w:tc>
          <w:tcPr/>
          <w:p>
            <w:pPr>
              <w:pStyle w:val="Compact"/>
              <w:jc w:val="left"/>
            </w:pPr>
            <w:r>
              <w:t xml:space="preserve">III (Overall)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Label-flip+scale</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mnist_results.json</w:t>
            </w:r>
          </w:p>
        </w:tc>
      </w:tr>
      <w:tr>
        <w:tc>
          <w:tcPr/>
          <w:p>
            <w:pPr>
              <w:pStyle w:val="Compact"/>
              <w:jc w:val="left"/>
            </w:pPr>
            <w:r>
              <w:t xml:space="preserve">VI (Real FL)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Sign-flip</w:t>
            </w:r>
          </w:p>
        </w:tc>
        <w:tc>
          <w:tcPr/>
          <w:p>
            <w:pPr>
              <w:pStyle w:val="Compact"/>
              <w:jc w:val="left"/>
            </w:pPr>
            <w:r>
              <w:t xml:space="preserve">4/20 (20%)</w:t>
            </w:r>
          </w:p>
        </w:tc>
        <w:tc>
          <w:tcPr/>
          <w:p>
            <w:pPr>
              <w:pStyle w:val="Compact"/>
              <w:jc w:val="left"/>
            </w:pPr>
            <w:r>
              <w:t xml:space="preserve">20</w:t>
            </w:r>
          </w:p>
        </w:tc>
        <w:tc>
          <w:tcPr/>
          <w:p>
            <w:pPr>
              <w:pStyle w:val="Compact"/>
              <w:jc w:val="left"/>
            </w:pPr>
            <w:r>
              <w:t xml:space="preserve">42-44</w:t>
            </w:r>
          </w:p>
        </w:tc>
        <w:tc>
          <w:tcPr/>
          <w:p>
            <w:pPr>
              <w:pStyle w:val="Compact"/>
              <w:jc w:val="left"/>
            </w:pPr>
            <w:r>
              <w:t xml:space="preserve">5</w:t>
            </w:r>
          </w:p>
        </w:tc>
        <w:tc>
          <w:tcPr/>
          <w:p>
            <w:pPr>
              <w:pStyle w:val="Compact"/>
              <w:jc w:val="left"/>
            </w:pPr>
            <w:r>
              <w:t xml:space="preserve">real_fl_FIXED.json</w:t>
            </w:r>
          </w:p>
        </w:tc>
      </w:tr>
      <w:tr>
        <w:tc>
          <w:tcPr/>
          <w:p>
            <w:pPr>
              <w:pStyle w:val="Compact"/>
              <w:jc w:val="left"/>
            </w:pPr>
            <w:r>
              <w:t xml:space="preserve">(CIFAR-10)</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cifar10_simple.json</w:t>
            </w:r>
          </w:p>
        </w:tc>
      </w:tr>
      <w:tr>
        <w:tc>
          <w:tcPr/>
          <w:p>
            <w:pPr>
              <w:pStyle w:val="Compact"/>
              <w:jc w:val="left"/>
            </w:pPr>
            <w:r>
              <w:t xml:space="preserve">(Multi-seed)</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w:t>
            </w:r>
          </w:p>
        </w:tc>
        <w:tc>
          <w:tcPr/>
          <w:p>
            <w:pPr>
              <w:pStyle w:val="Compact"/>
              <w:jc w:val="left"/>
            </w:pPr>
            <w:r>
              <w:t xml:space="preserve">42-44</w:t>
            </w:r>
            <m:oMath>
              <m:sSup>
                <m:e>
                  <m:r>
                    <m:t>​</m:t>
                  </m:r>
                </m:e>
                <m:sup>
                  <m:r>
                    <m:rPr>
                      <m:sty m:val="p"/>
                    </m:rPr>
                    <m:t>*</m:t>
                  </m:r>
                </m:sup>
              </m:sSup>
            </m:oMath>
          </w:p>
        </w:tc>
        <w:tc>
          <w:tcPr/>
          <w:p>
            <w:pPr>
              <w:pStyle w:val="Compact"/>
              <w:jc w:val="left"/>
            </w:pPr>
            <w:r>
              <w:t xml:space="preserve">3</w:t>
            </w:r>
            <m:oMath>
              <m:sSup>
                <m:e>
                  <m:r>
                    <m:t>​</m:t>
                  </m:r>
                </m:e>
                <m:sup>
                  <m:r>
                    <m:rPr>
                      <m:sty m:val="p"/>
                    </m:rPr>
                    <m:t>†</m:t>
                  </m:r>
                </m:sup>
              </m:sSup>
            </m:oMath>
          </w:p>
        </w:tc>
        <w:tc>
          <w:tcPr/>
          <w:p>
            <w:pPr>
              <w:pStyle w:val="Compact"/>
              <w:jc w:val="left"/>
            </w:pPr>
            <w:r>
              <w:t xml:space="preserve">multiseed.json</w:t>
            </w:r>
          </w:p>
        </w:tc>
      </w:tr>
      <w:tr>
        <w:tc>
          <w:tcPr/>
          <w:p>
            <w:pPr>
              <w:pStyle w:val="Compact"/>
              <w:jc w:val="left"/>
            </w:pPr>
            <w:r>
              <w:t xml:space="preserve">(Gas Cost)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blockchain_cost.json</w:t>
            </w:r>
          </w:p>
        </w:tc>
      </w:tr>
    </w:tbl>
    <w:p>
      <w:pPr>
        <w:pStyle w:val="BodyText"/>
      </w:pPr>
      <w:r>
        <w:br/>
      </w:r>
      <m:oMath>
        <m:sSup>
          <m:e>
            <m:r>
              <m:t>​</m:t>
            </m:r>
          </m:e>
          <m:sup>
            <m:r>
              <m:rPr>
                <m:sty m:val="p"/>
              </m:rPr>
              <m:t>*</m:t>
            </m:r>
          </m:sup>
        </m:sSup>
      </m:oMath>
      <w:r>
        <w:t xml:space="preserve">Multi-seed CI uses seeds 42, 43, 44.</w:t>
      </w:r>
      <w:r>
        <w:t xml:space="preserve"> </w:t>
      </w:r>
      <m:oMath>
        <m:sSup>
          <m:e>
            <m:r>
              <m:t>​</m:t>
            </m:r>
          </m:e>
          <m:sup>
            <m:r>
              <m:rPr>
                <m:sty m:val="p"/>
              </m:rPr>
              <m:t>†</m:t>
            </m:r>
          </m:sup>
        </m:sSup>
      </m:oMath>
      <w:r>
        <w:t xml:space="preserve">Multi-seed table uses reduced local_epochs=3, batch=256 for rapid evaluation (explains 34.62% vs 66.38% in CIFAR-10 table).</w:t>
      </w:r>
    </w:p>
    <w:bookmarkEnd w:id="21"/>
    <w:bookmarkEnd w:id="22"/>
    <w:bookmarkStart w:id="24" w:name="blockchain-infrastructure"/>
    <w:p>
      <w:pPr>
        <w:pStyle w:val="Heading2"/>
      </w:pPr>
      <w:r>
        <w:t xml:space="preserve">Blockchain Infrastructure</w:t>
      </w:r>
    </w:p>
    <w:bookmarkStart w:id="25" w:name="local-network-topology-b"/>
    <w:p>
      <w:pPr>
        <w:pStyle w:val="Heading3"/>
      </w:pPr>
      <w:r>
        <w:t xml:space="preserve">Local Network (Topology B)</w:t>
      </w:r>
    </w:p>
    <w:p>
      <w:pPr>
        <w:pStyle w:val="FirstParagraph"/>
      </w:pPr>
      <w:r>
        <w:t xml:space="preserve">We use Ganache (Truffle Suite) to simulate a local Ethereum network with:</w:t>
      </w:r>
    </w:p>
    <w:p>
      <w:pPr>
        <w:numPr>
          <w:ilvl w:val="0"/>
          <w:numId w:val="1014"/>
        </w:numPr>
      </w:pPr>
      <w:r>
        <w:t xml:space="preserve">Chain ID: 1337 (default Ganache)</w:t>
      </w:r>
    </w:p>
    <w:p>
      <w:pPr>
        <w:numPr>
          <w:ilvl w:val="0"/>
          <w:numId w:val="1014"/>
        </w:numPr>
      </w:pPr>
      <w:r>
        <w:t xml:space="preserve">RPC URL:</w:t>
      </w:r>
      <w:r>
        <w:t xml:space="preserve"> </w:t>
      </w:r>
      <w:r>
        <w:rPr>
          <w:rStyle w:val="VerbatimChar"/>
        </w:rPr>
        <w:t xml:space="preserve">http://127.0.0.1:8545</w:t>
      </w:r>
    </w:p>
    <w:p>
      <w:pPr>
        <w:numPr>
          <w:ilvl w:val="0"/>
          <w:numId w:val="1014"/>
        </w:numPr>
      </w:pPr>
      <w:r>
        <w:t xml:space="preserve">Block time: Instant (development mode)</w:t>
      </w:r>
    </w:p>
    <w:p>
      <w:pPr>
        <w:numPr>
          <w:ilvl w:val="0"/>
          <w:numId w:val="1014"/>
        </w:numPr>
      </w:pPr>
      <w:r>
        <w:t xml:space="preserve">Gas limit: Unlimited</w:t>
      </w:r>
    </w:p>
    <w:p>
      <w:pPr>
        <w:numPr>
          <w:ilvl w:val="0"/>
          <w:numId w:val="1014"/>
        </w:numPr>
      </w:pPr>
      <w:r>
        <w:t xml:space="preserve">Consensus: Single-node authority</w:t>
      </w:r>
    </w:p>
    <w:bookmarkEnd w:id="23"/>
    <w:bookmarkStart w:id="26" w:name="simulated-layer-2-network-topology-c"/>
    <w:p>
      <w:pPr>
        <w:pStyle w:val="Heading3"/>
      </w:pPr>
      <w:r>
        <w:t xml:space="preserve">Simulated Layer-2 Network (Topology C)</w:t>
      </w:r>
    </w:p>
    <w:p>
      <w:pPr>
        <w:pStyle w:val="FirstParagraph"/>
      </w:pPr>
      <w:r>
        <w:t xml:space="preserve">We extend experiments to a simulated Layer-2 network with:</w:t>
      </w:r>
    </w:p>
    <w:p>
      <w:pPr>
        <w:numPr>
          <w:ilvl w:val="0"/>
          <w:numId w:val="1015"/>
        </w:numPr>
      </w:pPr>
      <w:r>
        <w:t xml:space="preserve">Optimistic rollup architecture</w:t>
      </w:r>
    </w:p>
    <w:p>
      <w:pPr>
        <w:numPr>
          <w:ilvl w:val="0"/>
          <w:numId w:val="1015"/>
        </w:numPr>
      </w:pPr>
      <w:r>
        <w:t xml:space="preserve">Batch transaction submission</w:t>
      </w:r>
    </w:p>
    <w:p>
      <w:pPr>
        <w:numPr>
          <w:ilvl w:val="0"/>
          <w:numId w:val="1015"/>
        </w:numPr>
      </w:pPr>
      <w:r>
        <w:t xml:space="preserve">Reduced gas costs</w:t>
      </w:r>
    </w:p>
    <w:p>
      <w:pPr>
        <w:numPr>
          <w:ilvl w:val="0"/>
          <w:numId w:val="1015"/>
        </w:numPr>
      </w:pPr>
      <w:r>
        <w:t xml:space="preserve">Layer-1 anchoring for security</w:t>
      </w:r>
    </w:p>
    <w:bookmarkEnd w:id="24"/>
    <w:bookmarkEnd w:id="25"/>
    <w:bookmarkStart w:id="27" w:name="smart-contract-design"/>
    <w:p>
      <w:pPr>
        <w:pStyle w:val="Heading2"/>
      </w:pPr>
      <w:r>
        <w:t xml:space="preserve">Smart Contract Design</w:t>
      </w:r>
    </w:p>
    <w:p>
      <w:pPr>
        <w:pStyle w:val="FirstParagraph"/>
      </w:pPr>
      <w:r>
        <w:t xml:space="preserve">Our</w:t>
      </w:r>
      <w:r>
        <w:t xml:space="preserve"> </w:t>
      </w:r>
      <w:r>
        <w:rPr>
          <w:rStyle w:val="VerbatimChar"/>
        </w:rPr>
        <w:t xml:space="preserve">FederatedLearningAggregator</w:t>
      </w:r>
      <w:r>
        <w:t xml:space="preserve"> </w:t>
      </w:r>
      <w:r>
        <w:t xml:space="preserve">smart contract implements:</w:t>
      </w:r>
    </w:p>
    <w:p>
      <w:pPr>
        <w:pStyle w:val="BodyText"/>
      </w:pPr>
      <w:r>
        <w:rPr>
          <w:b/>
          <w:bCs/>
        </w:rPr>
        <w:t xml:space="preserve">function</w:t>
      </w:r>
      <w:r>
        <w:t xml:space="preserve"> </w:t>
      </w:r>
      <w:r>
        <w:rPr>
          <w:rStyle w:val="VerbatimChar"/>
        </w:rPr>
        <w:t xml:space="preserve">submitUpdate</w:t>
      </w:r>
      <w:r>
        <w:t xml:space="preserve">(</w:t>
      </w:r>
      <m:oMath>
        <m:r>
          <m:t>c</m:t>
        </m:r>
        <m:r>
          <m:t>l</m:t>
        </m:r>
        <m:r>
          <m:t>i</m:t>
        </m:r>
        <m:r>
          <m:t>e</m:t>
        </m:r>
        <m:r>
          <m:t>n</m:t>
        </m:r>
        <m:r>
          <m:t>t</m:t>
        </m:r>
        <m:r>
          <m:t>I</m:t>
        </m:r>
        <m:r>
          <m:t>d</m:t>
        </m:r>
      </m:oMath>
      <w:r>
        <w:t xml:space="preserve">,</w:t>
      </w:r>
      <w:r>
        <w:t xml:space="preserve"> </w:t>
      </w:r>
      <m:oMath>
        <m:r>
          <m:t>m</m:t>
        </m:r>
        <m:r>
          <m:t>o</m:t>
        </m:r>
        <m:r>
          <m:t>d</m:t>
        </m:r>
        <m:r>
          <m:t>e</m:t>
        </m:r>
        <m:r>
          <m:t>l</m:t>
        </m:r>
        <m:r>
          <m:t>H</m:t>
        </m:r>
        <m:r>
          <m:t>a</m:t>
        </m:r>
        <m:r>
          <m:t>s</m:t>
        </m:r>
        <m:r>
          <m:t>h</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m:oMath>
        <m:r>
          <m:t>r</m:t>
        </m:r>
        <m:r>
          <m:t>o</m:t>
        </m:r>
        <m:r>
          <m:t>u</m:t>
        </m:r>
        <m:r>
          <m:t>n</m:t>
        </m:r>
        <m:r>
          <m:t>d</m:t>
        </m:r>
        <m:r>
          <m:rPr>
            <m:sty m:val="p"/>
          </m:rPr>
          <m:t>=</m:t>
        </m:r>
        <m:r>
          <m:t>c</m:t>
        </m:r>
        <m:r>
          <m:t>u</m:t>
        </m:r>
        <m:r>
          <m:t>r</m:t>
        </m:r>
        <m:r>
          <m:t>r</m:t>
        </m:r>
        <m:r>
          <m:t>e</m:t>
        </m:r>
        <m:r>
          <m:t>n</m:t>
        </m:r>
        <m:r>
          <m:t>t</m:t>
        </m:r>
        <m:r>
          <m:t>R</m:t>
        </m:r>
        <m:r>
          <m:t>o</m:t>
        </m:r>
        <m:r>
          <m:t>u</m:t>
        </m:r>
        <m:r>
          <m:t>n</m:t>
        </m:r>
        <m:r>
          <m:t>d</m:t>
        </m:r>
      </m:oMath>
      <w:r>
        <w:t xml:space="preserve"> </w:t>
      </w:r>
      <w:r>
        <w:rPr>
          <w:b/>
          <w:bCs/>
        </w:rPr>
        <w:t xml:space="preserve">require</w:t>
      </w:r>
      <w:r>
        <w:t xml:space="preserve"> </w:t>
      </w:r>
      <m:oMath>
        <m:r>
          <m:t>c</m:t>
        </m:r>
        <m:r>
          <m:t>l</m:t>
        </m:r>
        <m:r>
          <m:t>i</m:t>
        </m:r>
        <m:r>
          <m:t>e</m:t>
        </m:r>
        <m:r>
          <m:t>n</m:t>
        </m:r>
        <m:r>
          <m:t>t</m:t>
        </m:r>
        <m:r>
          <m:t>I</m:t>
        </m:r>
        <m:r>
          <m:t>d</m:t>
        </m:r>
      </m:oMath>
      <w:r>
        <w:t xml:space="preserve"> </w:t>
      </w:r>
      <w:r>
        <w:t xml:space="preserve">is registered</w:t>
      </w:r>
      <w:r>
        <w:t xml:space="preserve"> </w:t>
      </w:r>
      <m:oMath>
        <m:r>
          <m:t>u</m:t>
        </m:r>
        <m:r>
          <m:t>p</m:t>
        </m:r>
        <m:r>
          <m:t>d</m:t>
        </m:r>
        <m:r>
          <m:t>a</m:t>
        </m:r>
        <m:r>
          <m:t>t</m:t>
        </m:r>
        <m:r>
          <m:t>e</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r>
          <m:t>m</m:t>
        </m:r>
        <m:r>
          <m:t>o</m:t>
        </m:r>
        <m:r>
          <m:t>d</m:t>
        </m:r>
        <m:r>
          <m:t>e</m:t>
        </m:r>
        <m:r>
          <m:t>l</m:t>
        </m:r>
        <m:r>
          <m:t>H</m:t>
        </m:r>
        <m:r>
          <m:t>a</m:t>
        </m:r>
        <m:r>
          <m:t>s</m:t>
        </m:r>
        <m:r>
          <m:t>h</m:t>
        </m:r>
      </m:oMath>
      <w:r>
        <w:t xml:space="preserve"> </w:t>
      </w:r>
      <m:oMath>
        <m:r>
          <m:t>u</m:t>
        </m:r>
        <m:r>
          <m:t>p</m:t>
        </m:r>
        <m:r>
          <m:t>d</m:t>
        </m:r>
        <m:r>
          <m:t>a</m:t>
        </m:r>
        <m:r>
          <m:t>t</m:t>
        </m:r>
        <m:r>
          <m:t>e</m:t>
        </m:r>
        <m:r>
          <m:t>T</m:t>
        </m:r>
        <m:r>
          <m:t>i</m:t>
        </m:r>
        <m:r>
          <m:t>m</m:t>
        </m:r>
        <m:r>
          <m:t>e</m:t>
        </m:r>
        <m:r>
          <m:t>s</m:t>
        </m:r>
        <m:r>
          <m:t>t</m:t>
        </m:r>
        <m:r>
          <m:t>a</m:t>
        </m:r>
        <m:r>
          <m:t>m</m:t>
        </m:r>
        <m:r>
          <m:t>p</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oMath>
      <w:r>
        <w:t xml:space="preserve"> </w:t>
      </w:r>
      <w:r>
        <w:t xml:space="preserve">block.timestamp</w:t>
      </w:r>
      <w:r>
        <w:t xml:space="preserve"> </w:t>
      </w:r>
      <w:r>
        <w:rPr>
          <w:b/>
          <w:bCs/>
        </w:rPr>
        <w:t xml:space="preserve">emit</w:t>
      </w:r>
      <w:r>
        <w:t xml:space="preserve"> </w:t>
      </w:r>
      <w:r>
        <w:t xml:space="preserve">UpdateSubmitted(</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m:oMath>
        <m:r>
          <m:t>m</m:t>
        </m:r>
        <m:r>
          <m:t>o</m:t>
        </m:r>
        <m:r>
          <m:t>d</m:t>
        </m:r>
        <m:r>
          <m:t>e</m:t>
        </m:r>
        <m:r>
          <m:t>l</m:t>
        </m:r>
        <m:r>
          <m:t>H</m:t>
        </m:r>
        <m:r>
          <m:t>a</m:t>
        </m:r>
        <m:r>
          <m:t>s</m:t>
        </m:r>
        <m:r>
          <m:t>h</m:t>
        </m:r>
      </m:oMath>
      <w:r>
        <w:t xml:space="preserve">)</w:t>
      </w:r>
      <w:r>
        <w:t xml:space="preserve"> </w:t>
      </w:r>
      <w:r>
        <w:rPr>
          <w:b/>
          <w:bCs/>
        </w:rPr>
        <w:t xml:space="preserve">if</w:t>
      </w:r>
      <w:r>
        <w:t xml:space="preserve"> </w:t>
      </w:r>
      <w:r>
        <w:t xml:space="preserve">all expected updates received</w:t>
      </w:r>
      <w:r>
        <w:t xml:space="preserve"> </w:t>
      </w:r>
      <w:r>
        <w:rPr>
          <w:b/>
          <w:bCs/>
        </w:rPr>
        <w:t xml:space="preserve">then</w:t>
      </w:r>
      <w:r>
        <w:t xml:space="preserve"> </w:t>
      </w:r>
      <w:r>
        <w:t xml:space="preserve">trigger aggregation</w:t>
      </w:r>
      <w:r>
        <w:t xml:space="preserve"> </w:t>
      </w:r>
      <w:r>
        <w:rPr>
          <w:b/>
          <w:bCs/>
        </w:rPr>
        <w:t xml:space="preserve">end if</w:t>
      </w:r>
    </w:p>
    <w:p>
      <w:pPr>
        <w:pStyle w:val="BodyText"/>
      </w:pPr>
      <w:r>
        <w:rPr>
          <w:b/>
          <w:bCs/>
        </w:rPr>
        <w:t xml:space="preserve">function</w:t>
      </w:r>
      <w:r>
        <w:t xml:space="preserve"> </w:t>
      </w:r>
      <w:r>
        <w:rPr>
          <w:rStyle w:val="VerbatimChar"/>
        </w:rPr>
        <w:t xml:space="preserve">recordByzantineDetection</w:t>
      </w:r>
      <w:r>
        <w:t xml:space="preserve">(</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w:r>
        <w:t xml:space="preserve">sender is aggregator</w:t>
      </w:r>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oMath>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r>
          <m:rPr>
            <m:sty m:val="p"/>
          </m:rPr>
          <m:t>{</m:t>
        </m:r>
        <m:r>
          <m:t>c</m:t>
        </m:r>
        <m:r>
          <m:t>l</m:t>
        </m:r>
        <m:r>
          <m:t>i</m:t>
        </m:r>
        <m:r>
          <m:t>e</m:t>
        </m:r>
        <m:r>
          <m:t>n</m:t>
        </m:r>
        <m:r>
          <m:t>t</m:t>
        </m:r>
        <m:r>
          <m:t>I</m:t>
        </m:r>
        <m:r>
          <m:t>d</m:t>
        </m:r>
        <m:r>
          <m:rPr>
            <m:sty m:val="p"/>
          </m:rPr>
          <m:t>}</m:t>
        </m:r>
      </m:oMath>
      <w:r>
        <w:t xml:space="preserve"> </w:t>
      </w:r>
      <m:oMath>
        <m:r>
          <m:t>t</m:t>
        </m:r>
        <m:r>
          <m:t>o</m:t>
        </m:r>
        <m:r>
          <m:t>t</m:t>
        </m:r>
        <m:r>
          <m:t>a</m:t>
        </m:r>
        <m:r>
          <m:t>l</m:t>
        </m:r>
        <m:r>
          <m:t>B</m:t>
        </m:r>
        <m:r>
          <m:t>y</m:t>
        </m:r>
        <m:r>
          <m:t>z</m:t>
        </m:r>
        <m:r>
          <m:t>a</m:t>
        </m:r>
        <m:r>
          <m:t>n</m:t>
        </m:r>
        <m:r>
          <m:t>t</m:t>
        </m:r>
        <m:r>
          <m:t>i</m:t>
        </m:r>
        <m:r>
          <m:t>n</m:t>
        </m:r>
        <m:r>
          <m:t>e</m:t>
        </m:r>
        <m:r>
          <m:t>C</m:t>
        </m:r>
        <m:r>
          <m:t>o</m:t>
        </m:r>
        <m:r>
          <m:t>u</m:t>
        </m:r>
        <m:r>
          <m:t>n</m:t>
        </m:r>
        <m:r>
          <m:t>t</m:t>
        </m:r>
        <m:r>
          <m:rPr>
            <m:sty m:val="p"/>
          </m:rPr>
          <m:t>←</m:t>
        </m:r>
        <m:r>
          <m:t>t</m:t>
        </m:r>
        <m:r>
          <m:t>o</m:t>
        </m:r>
        <m:r>
          <m:t>t</m:t>
        </m:r>
        <m:r>
          <m:t>a</m:t>
        </m:r>
        <m:r>
          <m:t>l</m:t>
        </m:r>
        <m:r>
          <m:t>B</m:t>
        </m:r>
        <m:r>
          <m:t>y</m:t>
        </m:r>
        <m:r>
          <m:t>z</m:t>
        </m:r>
        <m:r>
          <m:t>a</m:t>
        </m:r>
        <m:r>
          <m:t>n</m:t>
        </m:r>
        <m:r>
          <m:t>t</m:t>
        </m:r>
        <m:r>
          <m:t>i</m:t>
        </m:r>
        <m:r>
          <m:t>n</m:t>
        </m:r>
        <m:r>
          <m:t>e</m:t>
        </m:r>
        <m:r>
          <m:t>C</m:t>
        </m:r>
        <m:r>
          <m:t>o</m:t>
        </m:r>
        <m:r>
          <m:t>u</m:t>
        </m:r>
        <m:r>
          <m:t>n</m:t>
        </m:r>
        <m:r>
          <m:t>t</m:t>
        </m:r>
        <m:r>
          <m:rPr>
            <m:sty m:val="p"/>
          </m:rPr>
          <m:t>+</m:t>
        </m:r>
        <m:r>
          <m:t>1</m:t>
        </m:r>
      </m:oMath>
      <w:r>
        <w:t xml:space="preserve"> </w:t>
      </w:r>
      <w:r>
        <w:rPr>
          <w:b/>
          <w:bCs/>
        </w:rPr>
        <w:t xml:space="preserve">emit</w:t>
      </w:r>
      <w:r>
        <w:t xml:space="preserve"> </w:t>
      </w:r>
      <w:r>
        <w:t xml:space="preserve">ByzantineDetected(</w:t>
      </w:r>
      <m:oMath>
        <m:r>
          <m:t>c</m:t>
        </m:r>
        <m:r>
          <m:t>l</m:t>
        </m:r>
        <m:r>
          <m:t>i</m:t>
        </m:r>
        <m:r>
          <m:t>e</m:t>
        </m:r>
        <m:r>
          <m:t>n</m:t>
        </m:r>
        <m:r>
          <m:t>t</m:t>
        </m:r>
        <m:r>
          <m:t>I</m:t>
        </m:r>
        <m:r>
          <m:t>d</m:t>
        </m:r>
      </m:oMath>
      <w:r>
        <w:t xml:space="preserve">,</w:t>
      </w:r>
      <w:r>
        <w:t xml:space="preserve"> </w:t>
      </w:r>
      <m:oMath>
        <m:r>
          <m:t>r</m:t>
        </m:r>
        <m:r>
          <m:t>o</m:t>
        </m:r>
        <m:r>
          <m:t>u</m:t>
        </m:r>
        <m:r>
          <m:t>n</m:t>
        </m:r>
        <m:r>
          <m:t>d</m:t>
        </m:r>
      </m:oMath>
      <w:r>
        <w:t xml:space="preserve">)</w:t>
      </w:r>
    </w:p>
    <w:p>
      <w:pPr>
        <w:pStyle w:val="BodyText"/>
      </w:pPr>
      <w:r>
        <w:t xml:space="preserve">Algorithms </w:t>
      </w:r>
      <w:hyperlink w:anchor="alg:contract_update">
        <w:r>
          <w:rPr>
            <w:rStyle w:val="Hyperlink"/>
          </w:rPr>
          <w:t xml:space="preserve">[alg:contract_update]</w:t>
        </w:r>
      </w:hyperlink>
      <w:r>
        <w:t xml:space="preserve"> </w:t>
      </w:r>
      <w:r>
        <w:t xml:space="preserve">and</w:t>
      </w:r>
      <w:r>
        <w:t xml:space="preserve"> </w:t>
      </w:r>
      <w:hyperlink w:anchor="alg:byzantine_detection">
        <w:r>
          <w:rPr>
            <w:rStyle w:val="Hyperlink"/>
          </w:rPr>
          <w:t xml:space="preserve">[alg:byzantine_detection]</w:t>
        </w:r>
      </w:hyperlink>
      <w:r>
        <w:t xml:space="preserve"> </w:t>
      </w:r>
      <w:r>
        <w:t xml:space="preserve">show the core smart contract functions for update submission and Byzantine detection recording.</w:t>
      </w:r>
    </w:p>
    <w:bookmarkEnd w:id="26"/>
    <w:bookmarkStart w:id="28" w:name="experimental-procedure"/>
    <w:p>
      <w:pPr>
        <w:pStyle w:val="Heading2"/>
      </w:pPr>
      <w:r>
        <w:t xml:space="preserve">Experimental Procedure</w:t>
      </w:r>
    </w:p>
    <w:p>
      <w:pPr>
        <w:pStyle w:val="FirstParagraph"/>
      </w:pPr>
      <w:r>
        <w:t xml:space="preserve">We conduct five comprehensive experiments:</w:t>
      </w:r>
    </w:p>
    <w:p>
      <w:pPr>
        <w:numPr>
          <w:ilvl w:val="0"/>
          <w:numId w:val="1016"/>
        </w:numPr>
      </w:pPr>
      <w:r>
        <w:rPr>
          <w:b/>
          <w:bCs/>
        </w:rPr>
        <w:t xml:space="preserve">Krum (50 rounds):</w:t>
      </w:r>
      <w:r>
        <w:t xml:space="preserve"> </w:t>
      </w:r>
      <w:r>
        <w:t xml:space="preserve">Evaluate Krum’s conservative selection strategy</w:t>
      </w:r>
    </w:p>
    <w:p>
      <w:pPr>
        <w:numPr>
          <w:ilvl w:val="0"/>
          <w:numId w:val="1016"/>
        </w:numPr>
      </w:pPr>
      <w:r>
        <w:rPr>
          <w:b/>
          <w:bCs/>
        </w:rPr>
        <w:t xml:space="preserve">FedAvg (50 rounds):</w:t>
      </w:r>
      <w:r>
        <w:t xml:space="preserve"> </w:t>
      </w:r>
      <w:r>
        <w:t xml:space="preserve">Establish undefended baseline</w:t>
      </w:r>
    </w:p>
    <w:p>
      <w:pPr>
        <w:numPr>
          <w:ilvl w:val="0"/>
          <w:numId w:val="1016"/>
        </w:numPr>
      </w:pPr>
      <w:r>
        <w:rPr>
          <w:b/>
          <w:bCs/>
        </w:rPr>
        <w:t xml:space="preserve">TrimmedMean (50 rounds):</w:t>
      </w:r>
      <w:r>
        <w:t xml:space="preserve"> </w:t>
      </w:r>
      <w:r>
        <w:t xml:space="preserve">Test Byzantine-robust aggregation</w:t>
      </w:r>
    </w:p>
    <w:p>
      <w:pPr>
        <w:numPr>
          <w:ilvl w:val="0"/>
          <w:numId w:val="1016"/>
        </w:numPr>
      </w:pPr>
      <w:r>
        <w:rPr>
          <w:b/>
          <w:bCs/>
        </w:rPr>
        <w:t xml:space="preserve">TrimmedMean (160 rounds):</w:t>
      </w:r>
      <w:r>
        <w:t xml:space="preserve"> </w:t>
      </w:r>
      <w:r>
        <w:t xml:space="preserve">Analyze extended training convergence</w:t>
      </w:r>
    </w:p>
    <w:p>
      <w:pPr>
        <w:numPr>
          <w:ilvl w:val="0"/>
          <w:numId w:val="1016"/>
        </w:numPr>
      </w:pPr>
      <w:r>
        <w:rPr>
          <w:b/>
          <w:bCs/>
        </w:rPr>
        <w:t xml:space="preserve">TrimmedMean on Layer-2 (50 rounds):</w:t>
      </w:r>
      <w:r>
        <w:t xml:space="preserve"> </w:t>
      </w:r>
      <w:r>
        <w:t xml:space="preserve">Validate blockchain scalability</w:t>
      </w:r>
    </w:p>
    <w:p>
      <w:pPr>
        <w:pStyle w:val="FirstParagraph"/>
      </w:pPr>
      <w:r>
        <w:t xml:space="preserve">Each experiment records:</w:t>
      </w:r>
    </w:p>
    <w:p>
      <w:pPr>
        <w:numPr>
          <w:ilvl w:val="0"/>
          <w:numId w:val="1017"/>
        </w:numPr>
      </w:pPr>
      <w:r>
        <w:t xml:space="preserve">Per-round training/test accuracy and loss</w:t>
      </w:r>
    </w:p>
    <w:p>
      <w:pPr>
        <w:numPr>
          <w:ilvl w:val="0"/>
          <w:numId w:val="1017"/>
        </w:numPr>
      </w:pPr>
      <w:r>
        <w:t xml:space="preserve">Gas consumption per transaction</w:t>
      </w:r>
    </w:p>
    <w:p>
      <w:pPr>
        <w:numPr>
          <w:ilvl w:val="0"/>
          <w:numId w:val="1017"/>
        </w:numPr>
      </w:pPr>
      <w:r>
        <w:t xml:space="preserve">Byzantine attacks detected</w:t>
      </w:r>
    </w:p>
    <w:p>
      <w:pPr>
        <w:numPr>
          <w:ilvl w:val="0"/>
          <w:numId w:val="1017"/>
        </w:numPr>
      </w:pPr>
      <w:r>
        <w:t xml:space="preserve">Training duration</w:t>
      </w:r>
    </w:p>
    <w:p>
      <w:pPr>
        <w:numPr>
          <w:ilvl w:val="0"/>
          <w:numId w:val="1017"/>
        </w:numPr>
      </w:pPr>
      <w:r>
        <w:t xml:space="preserve">Blockchain transaction logs</w:t>
      </w:r>
    </w:p>
    <w:bookmarkEnd w:id="27"/>
    <w:bookmarkStart w:id="29" w:name="sec:step_by_step"/>
    <w:p>
      <w:pPr>
        <w:pStyle w:val="Heading2"/>
      </w:pPr>
      <w:r>
        <w:t xml:space="preserve">Step-by-Step Experimental Procedure</w:t>
      </w:r>
    </w:p>
    <w:p>
      <w:pPr>
        <w:pStyle w:val="FirstParagraph"/>
      </w:pPr>
      <w:r>
        <w:t xml:space="preserve">To ensure clarity and reproducibility, we describe the exact procedure executed in each experiment:</w:t>
      </w:r>
    </w:p>
    <w:p>
      <w:pPr>
        <w:numPr>
          <w:ilvl w:val="0"/>
          <w:numId w:val="1018"/>
        </w:numPr>
      </w:pPr>
      <w:r>
        <w:rPr>
          <w:b/>
          <w:bCs/>
        </w:rPr>
        <w:t xml:space="preserve">Data Loading and Preprocessing.</w:t>
      </w:r>
      <w:r>
        <w:t xml:space="preserve"> </w:t>
      </w:r>
      <w:r>
        <w:t xml:space="preserve">We download MNIST (via</w:t>
      </w:r>
      <w:r>
        <w:t xml:space="preserve"> </w:t>
      </w:r>
      <w:r>
        <w:rPr>
          <w:rStyle w:val="VerbatimChar"/>
        </w:rPr>
        <w:t xml:space="preserve">torchvision.datasets.MNIST</w:t>
      </w:r>
      <w:r>
        <w:t xml:space="preserve">) and CIFAR-10 (via</w:t>
      </w:r>
      <w:r>
        <w:t xml:space="preserve"> </w:t>
      </w:r>
      <w:r>
        <w:rPr>
          <w:rStyle w:val="VerbatimChar"/>
        </w:rPr>
        <w:t xml:space="preserve">torchvision.datasets.CIFAR10</w:t>
      </w:r>
      <w:r>
        <w:t xml:space="preserve">). MNIST images are normalized with</w:t>
      </w:r>
      <w:r>
        <w:t xml:space="preserve"> </w:t>
      </w:r>
      <m:oMath>
        <m:r>
          <m:t>μ</m:t>
        </m:r>
        <m:r>
          <m:rPr>
            <m:sty m:val="p"/>
          </m:rPr>
          <m:t>=</m:t>
        </m:r>
        <m:r>
          <m:t>0.1307</m:t>
        </m:r>
      </m:oMath>
      <w:r>
        <w:t xml:space="preserve">,</w:t>
      </w:r>
      <w:r>
        <w:t xml:space="preserve"> </w:t>
      </w:r>
      <m:oMath>
        <m:r>
          <m:t>σ</m:t>
        </m:r>
        <m:r>
          <m:rPr>
            <m:sty m:val="p"/>
          </m:rPr>
          <m:t>=</m:t>
        </m:r>
        <m:r>
          <m:t>0.3081</m:t>
        </m:r>
      </m:oMath>
      <w:r>
        <w:t xml:space="preserve">. CIFAR-10 images are normalized per-channel (</w:t>
      </w:r>
      <m:oMath>
        <m:r>
          <m:t>μ</m:t>
        </m:r>
        <m:r>
          <m:rPr>
            <m:sty m:val="p"/>
          </m:rPr>
          <m:t>=</m:t>
        </m:r>
        <m:r>
          <m:rPr>
            <m:sty m:val="p"/>
          </m:rPr>
          <m:t>[</m:t>
        </m:r>
        <m:r>
          <m:t>0.4914</m:t>
        </m:r>
        <m:r>
          <m:rPr>
            <m:sty m:val="p"/>
          </m:rPr>
          <m:t>,</m:t>
        </m:r>
        <m:r>
          <m:t>0.4822</m:t>
        </m:r>
        <m:r>
          <m:rPr>
            <m:sty m:val="p"/>
          </m:rPr>
          <m:t>,</m:t>
        </m:r>
        <m:r>
          <m:t>0.4465</m:t>
        </m:r>
        <m:r>
          <m:rPr>
            <m:sty m:val="p"/>
          </m:rPr>
          <m:t>]</m:t>
        </m:r>
      </m:oMath>
      <w:r>
        <w:t xml:space="preserve">,</w:t>
      </w:r>
      <w:r>
        <w:t xml:space="preserve"> </w:t>
      </w:r>
      <m:oMath>
        <m:r>
          <m:t>σ</m:t>
        </m:r>
        <m:r>
          <m:rPr>
            <m:sty m:val="p"/>
          </m:rPr>
          <m:t>=</m:t>
        </m:r>
        <m:r>
          <m:rPr>
            <m:sty m:val="p"/>
          </m:rPr>
          <m:t>[</m:t>
        </m:r>
        <m:r>
          <m:t>0.2470</m:t>
        </m:r>
        <m:r>
          <m:rPr>
            <m:sty m:val="p"/>
          </m:rPr>
          <m:t>,</m:t>
        </m:r>
        <m:r>
          <m:t>0.2435</m:t>
        </m:r>
        <m:r>
          <m:rPr>
            <m:sty m:val="p"/>
          </m:rPr>
          <m:t>,</m:t>
        </m:r>
        <m:r>
          <m:t>0.2616</m:t>
        </m:r>
        <m:r>
          <m:rPr>
            <m:sty m:val="p"/>
          </m:rPr>
          <m:t>]</m:t>
        </m:r>
      </m:oMath>
      <w:r>
        <w:t xml:space="preserve">).</w:t>
      </w:r>
    </w:p>
    <w:p>
      <w:pPr>
        <w:numPr>
          <w:ilvl w:val="0"/>
          <w:numId w:val="1018"/>
        </w:numPr>
      </w:pPr>
      <w:r>
        <w:rPr>
          <w:b/>
          <w:bCs/>
        </w:rPr>
        <w:t xml:space="preserve">Non-IID Data Partitioning.</w:t>
      </w:r>
      <w:r>
        <w:t xml:space="preserve"> </w:t>
      </w:r>
      <w:r>
        <w:t xml:space="preserve">For each of the 10 classes, we sample client proportions from a Dirichlet distribution with</w:t>
      </w:r>
      <w:r>
        <w:t xml:space="preserve"> </w:t>
      </w:r>
      <m:oMath>
        <m:r>
          <m:t>α</m:t>
        </m:r>
        <m:r>
          <m:rPr>
            <m:sty m:val="p"/>
          </m:rPr>
          <m:t>=</m:t>
        </m:r>
        <m:r>
          <m:t>0.5</m:t>
        </m:r>
      </m:oMath>
      <w:r>
        <w:t xml:space="preserve">. Each client</w:t>
      </w:r>
      <w:r>
        <w:t xml:space="preserve"> </w:t>
      </w:r>
      <m:oMath>
        <m:r>
          <m:t>i</m:t>
        </m:r>
      </m:oMath>
      <w:r>
        <w:t xml:space="preserve"> </w:t>
      </w:r>
      <w:r>
        <w:t xml:space="preserve">receives data indices proportional to these drawn proportions, resulting in heterogeneous label distributions across clients. For example, one client may receive 60% images of digit</w:t>
      </w:r>
      <w:r>
        <w:t xml:space="preserve"> </w:t>
      </w:r>
      <w:r>
        <w:t xml:space="preserve">“3”</w:t>
      </w:r>
      <w:r>
        <w:t xml:space="preserve"> </w:t>
      </w:r>
      <w:r>
        <w:t xml:space="preserve">and few images of digit</w:t>
      </w:r>
      <w:r>
        <w:t xml:space="preserve"> </w:t>
      </w:r>
      <w:r>
        <w:t xml:space="preserve">“7”</w:t>
      </w:r>
      <w:r>
        <w:t xml:space="preserve">, while another client has the opposite distribution. This is implemented using</w:t>
      </w:r>
      <w:r>
        <w:t xml:space="preserve"> </w:t>
      </w:r>
      <w:r>
        <w:rPr>
          <w:rStyle w:val="VerbatimChar"/>
        </w:rPr>
        <w:t xml:space="preserve">numpy.random.dirichlet</w:t>
      </w:r>
      <w:r>
        <w:t xml:space="preserve">.</w:t>
      </w:r>
    </w:p>
    <w:p>
      <w:pPr>
        <w:numPr>
          <w:ilvl w:val="0"/>
          <w:numId w:val="1018"/>
        </w:numPr>
      </w:pPr>
      <w:r>
        <w:rPr>
          <w:b/>
          <w:bCs/>
        </w:rPr>
        <w:t xml:space="preserve">Model Initialization.</w:t>
      </w:r>
      <w:r>
        <w:t xml:space="preserve"> </w:t>
      </w:r>
      <w:r>
        <w:t xml:space="preserve">For MNIST, we use SimpleMNISTNet: two convolutional layers (16 and 32 filters,</w:t>
      </w:r>
      <w:r>
        <w:t xml:space="preserve"> </w:t>
      </w:r>
      <m:oMath>
        <m:r>
          <m:t>3</m:t>
        </m:r>
        <m:r>
          <m:rPr>
            <m:sty m:val="p"/>
          </m:rPr>
          <m:t>×</m:t>
        </m:r>
        <m:r>
          <m:t>3</m:t>
        </m:r>
      </m:oMath>
      <w:r>
        <w:t xml:space="preserve"> </w:t>
      </w:r>
      <w:r>
        <w:t xml:space="preserve">kernels, ReLU,</w:t>
      </w:r>
      <w:r>
        <w:t xml:space="preserve"> </w:t>
      </w:r>
      <m:oMath>
        <m:r>
          <m:t>2</m:t>
        </m:r>
        <m:r>
          <m:rPr>
            <m:sty m:val="p"/>
          </m:rPr>
          <m:t>×</m:t>
        </m:r>
        <m:r>
          <m:t>2</m:t>
        </m:r>
      </m:oMath>
      <w:r>
        <w:t xml:space="preserve"> </w:t>
      </w:r>
      <w:r>
        <w:t xml:space="preserve">max-pool) followed by two fully connected layers (128 and 10 units). For CIFAR-10, we use ResNet-18 adapted for</w:t>
      </w:r>
      <w:r>
        <w:t xml:space="preserve"> </w:t>
      </w:r>
      <m:oMath>
        <m:r>
          <m:t>32</m:t>
        </m:r>
        <m:r>
          <m:rPr>
            <m:sty m:val="p"/>
          </m:rPr>
          <m:t>×</m:t>
        </m:r>
        <m:r>
          <m:t>32</m:t>
        </m:r>
      </m:oMath>
      <w:r>
        <w:t xml:space="preserve"> </w:t>
      </w:r>
      <w:r>
        <w:t xml:space="preserve">input. All model weights are initialized identically on all clients using the same random seed (42).</w:t>
      </w:r>
    </w:p>
    <w:p>
      <w:pPr>
        <w:numPr>
          <w:ilvl w:val="0"/>
          <w:numId w:val="1018"/>
        </w:numPr>
      </w:pPr>
      <w:r>
        <w:rPr>
          <w:b/>
          <w:bCs/>
        </w:rPr>
        <w:t xml:space="preserve">Byzantine Client Selection.</w:t>
      </w:r>
      <w:r>
        <w:t xml:space="preserve"> </w:t>
      </w:r>
      <w:r>
        <w:t xml:space="preserve">We randomly select 4 out of 20 clients as Byzantine (20% ratio). Byzantine client IDs are fixed throughout training for each seed.</w:t>
      </w:r>
    </w:p>
    <w:p>
      <w:pPr>
        <w:numPr>
          <w:ilvl w:val="0"/>
          <w:numId w:val="1018"/>
        </w:numPr>
      </w:pPr>
      <w:r>
        <w:rPr>
          <w:b/>
          <w:bCs/>
        </w:rPr>
        <w:t xml:space="preserve">Blockchain Contract Deployment.</w:t>
      </w:r>
      <w:r>
        <w:t xml:space="preserve"> </w:t>
      </w:r>
      <w:r>
        <w:t xml:space="preserve">Before training begins, we deploy our</w:t>
      </w:r>
      <w:r>
        <w:t xml:space="preserve"> </w:t>
      </w:r>
      <w:r>
        <w:rPr>
          <w:rStyle w:val="VerbatimChar"/>
        </w:rPr>
        <w:t xml:space="preserve">FederatedLearningAggregator</w:t>
      </w:r>
      <w:r>
        <w:t xml:space="preserve"> </w:t>
      </w:r>
      <w:r>
        <w:t xml:space="preserve">Solidity smart contract to Ganache (local Ethereum network) using</w:t>
      </w:r>
      <w:r>
        <w:t xml:space="preserve"> </w:t>
      </w:r>
      <w:r>
        <w:rPr>
          <w:rStyle w:val="VerbatimChar"/>
        </w:rPr>
        <w:t xml:space="preserve">solcx</w:t>
      </w:r>
      <w:r>
        <w:t xml:space="preserve"> </w:t>
      </w:r>
      <w:r>
        <w:t xml:space="preserve">compiler (Solidity 0.8.19). The contract address, ABI, and deployment gas cost (1,724,238 gas) are recorded.</w:t>
      </w:r>
    </w:p>
    <w:p>
      <w:pPr>
        <w:numPr>
          <w:ilvl w:val="0"/>
          <w:numId w:val="1018"/>
        </w:numPr>
      </w:pPr>
      <w:r>
        <w:rPr>
          <w:b/>
          <w:bCs/>
        </w:rPr>
        <w:t xml:space="preserve">Training Loop (repeated for</w:t>
      </w:r>
      <w:r>
        <w:rPr>
          <w:b/>
          <w:bCs/>
        </w:rPr>
        <w:t xml:space="preserve"> </w:t>
      </w:r>
      <m:oMath>
        <m:r>
          <m:t>T</m:t>
        </m:r>
        <m:r>
          <m:rPr>
            <m:sty m:val="p"/>
          </m:rPr>
          <m:t>=</m:t>
        </m:r>
        <m:r>
          <m:t>50</m:t>
        </m:r>
      </m:oMath>
      <w:r>
        <w:rPr>
          <w:b/>
          <w:bCs/>
        </w:rPr>
        <w:t xml:space="preserve"> </w:t>
      </w:r>
      <w:r>
        <w:rPr>
          <w:b/>
          <w:bCs/>
        </w:rPr>
        <w:t xml:space="preserve">or</w:t>
      </w:r>
      <w:r>
        <w:rPr>
          <w:b/>
          <w:bCs/>
        </w:rPr>
        <w:t xml:space="preserve"> </w:t>
      </w:r>
      <m:oMath>
        <m:r>
          <m:t>T</m:t>
        </m:r>
        <m:r>
          <m:rPr>
            <m:sty m:val="p"/>
          </m:rPr>
          <m:t>=</m:t>
        </m:r>
        <m:r>
          <m:t>160</m:t>
        </m:r>
      </m:oMath>
      <w:r>
        <w:rPr>
          <w:b/>
          <w:bCs/>
        </w:rPr>
        <w:t xml:space="preserve"> </w:t>
      </w:r>
      <w:r>
        <w:rPr>
          <w:b/>
          <w:bCs/>
        </w:rPr>
        <w:t xml:space="preserve">rounds):</w:t>
      </w:r>
    </w:p>
    <w:p>
      <w:pPr>
        <w:numPr>
          <w:ilvl w:val="1"/>
          <w:numId w:val="1019"/>
        </w:numPr>
      </w:pPr>
      <w:r>
        <w:rPr>
          <w:b/>
          <w:bCs/>
        </w:rPr>
        <w:t xml:space="preserve">Client Selection:</w:t>
      </w:r>
      <w:r>
        <w:t xml:space="preserve"> </w:t>
      </w:r>
      <w:r>
        <w:t xml:space="preserve">Randomly select 10 of 20 clients (50% participation) for this round.</w:t>
      </w:r>
    </w:p>
    <w:p>
      <w:pPr>
        <w:numPr>
          <w:ilvl w:val="1"/>
          <w:numId w:val="1019"/>
        </w:numPr>
      </w:pPr>
      <w:r>
        <w:rPr>
          <w:b/>
          <w:bCs/>
        </w:rPr>
        <w:t xml:space="preserve">Local Training:</w:t>
      </w:r>
      <w:r>
        <w:t xml:space="preserve"> </w:t>
      </w:r>
      <w:r>
        <w:t xml:space="preserve">Each selected client receives a copy of the current global model, then trains locally using SGD (learning rate 0.01 for MNIST, 0.01 for CIFAR-10) for 5 local epochs on its private data partition (batch size 32). The client computes its model update as</w:t>
      </w:r>
      <w:r>
        <w:t xml:space="preserve"> </w:t>
      </w:r>
      <m:oMath>
        <m:r>
          <m:rPr>
            <m:sty m:val="p"/>
          </m:rPr>
          <m:t>Δ</m:t>
        </m:r>
        <m:sSub>
          <m:e>
            <m:r>
              <m:rPr>
                <m:sty m:val="b"/>
              </m:rPr>
              <m:t>w</m:t>
            </m:r>
          </m:e>
          <m:sub>
            <m:r>
              <m:t>i</m:t>
            </m:r>
          </m:sub>
        </m:sSub>
        <m:r>
          <m:rPr>
            <m:sty m:val="p"/>
          </m:rPr>
          <m:t>=</m:t>
        </m:r>
        <m:sSub>
          <m:e>
            <m:r>
              <m:rPr>
                <m:sty m:val="b"/>
              </m:rPr>
              <m:t>w</m:t>
            </m:r>
          </m:e>
          <m:sub>
            <m:r>
              <m:rPr>
                <m:nor/>
                <m:sty m:val="p"/>
              </m:rPr>
              <m:t>local</m:t>
            </m:r>
          </m:sub>
        </m:sSub>
        <m:r>
          <m:rPr>
            <m:sty m:val="p"/>
          </m:rPr>
          <m:t>−</m:t>
        </m:r>
        <m:sSub>
          <m:e>
            <m:r>
              <m:rPr>
                <m:sty m:val="b"/>
              </m:rPr>
              <m:t>w</m:t>
            </m:r>
          </m:e>
          <m:sub>
            <m:r>
              <m:rPr>
                <m:nor/>
                <m:sty m:val="p"/>
              </m:rPr>
              <m:t>global</m:t>
            </m:r>
          </m:sub>
        </m:sSub>
      </m:oMath>
      <w:r>
        <w:t xml:space="preserve">.</w:t>
      </w:r>
    </w:p>
    <w:p>
      <w:pPr>
        <w:numPr>
          <w:ilvl w:val="1"/>
          <w:numId w:val="1019"/>
        </w:numPr>
      </w:pPr>
      <w:r>
        <w:rPr>
          <w:b/>
          <w:bCs/>
        </w:rPr>
        <w:t xml:space="preserve">Byzantine Attack Injection:</w:t>
      </w:r>
      <w:r>
        <w:t xml:space="preserve"> </w:t>
      </w:r>
      <w:r>
        <w:t xml:space="preserve">Each Byzantine client (if selected this round) modifies its update: (a) flips training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r>
        <w:t xml:space="preserve"> </w:t>
      </w:r>
      <w:r>
        <w:t xml:space="preserve">during local training, and (b) scales the resulting gradient by</w:t>
      </w:r>
      <w:r>
        <w:t xml:space="preserve"> </w:t>
      </w:r>
      <m:oMath>
        <m:r>
          <m:t>λ</m:t>
        </m:r>
        <m:r>
          <m:rPr>
            <m:sty m:val="p"/>
          </m:rPr>
          <m:t>=</m:t>
        </m:r>
        <m:r>
          <m:rPr>
            <m:sty m:val="p"/>
          </m:rPr>
          <m:t>−</m:t>
        </m:r>
        <m:r>
          <m:t>5.0</m:t>
        </m:r>
      </m:oMath>
      <w:r>
        <w:t xml:space="preserve">, producing</w:t>
      </w:r>
      <w:r>
        <w:t xml:space="preserve"> </w:t>
      </w:r>
      <m:oMath>
        <m:r>
          <m:rPr>
            <m:sty m:val="p"/>
          </m:rPr>
          <m:t>Δ</m:t>
        </m:r>
        <m:sSub>
          <m:e>
            <m:r>
              <m:rPr>
                <m:sty m:val="b"/>
              </m:rPr>
              <m:t>w</m:t>
            </m:r>
          </m:e>
          <m:sub>
            <m:r>
              <m:rPr>
                <m:nor/>
                <m:sty m:val="p"/>
              </m:rPr>
              <m:t>byz</m:t>
            </m:r>
          </m:sub>
        </m:sSub>
        <m:r>
          <m:rPr>
            <m:sty m:val="p"/>
          </m:rPr>
          <m:t>=</m:t>
        </m:r>
        <m:r>
          <m:rPr>
            <m:sty m:val="p"/>
          </m:rPr>
          <m:t>−</m:t>
        </m:r>
        <m:r>
          <m:t>5.0</m:t>
        </m:r>
        <m:r>
          <m:rPr>
            <m:sty m:val="p"/>
          </m:rPr>
          <m:t>⋅</m:t>
        </m:r>
        <m:r>
          <m:rPr>
            <m:sty m:val="p"/>
          </m:rPr>
          <m:t>Δ</m:t>
        </m:r>
        <m:sSub>
          <m:e>
            <m:r>
              <m:rPr>
                <m:sty m:val="b"/>
              </m:rPr>
              <m:t>w</m:t>
            </m:r>
          </m:e>
          <m:sub>
            <m:r>
              <m:t>i</m:t>
            </m:r>
          </m:sub>
        </m:sSub>
      </m:oMath>
      <w:r>
        <w:t xml:space="preserve">. Byzantine clients activate with 80% probability per round.</w:t>
      </w:r>
    </w:p>
    <w:p>
      <w:pPr>
        <w:numPr>
          <w:ilvl w:val="1"/>
          <w:numId w:val="1019"/>
        </w:numPr>
      </w:pPr>
      <w:r>
        <w:rPr>
          <w:b/>
          <w:bCs/>
        </w:rPr>
        <w:t xml:space="preserve">Blockchain Submission:</w:t>
      </w:r>
      <w:r>
        <w:t xml:space="preserve"> </w:t>
      </w:r>
      <w:r>
        <w:t xml:space="preserve">Each client submits a SHA-256 hash of its model update to the smart contract via</w:t>
      </w:r>
      <w:r>
        <w:t xml:space="preserve"> </w:t>
      </w:r>
      <w:r>
        <w:rPr>
          <w:rStyle w:val="VerbatimChar"/>
        </w:rPr>
        <w:t xml:space="preserve">submitUpdate(clientId, modelHash, round)</w:t>
      </w:r>
      <w:r>
        <w:t xml:space="preserve">. Gas usage per submission (</w:t>
      </w:r>
      <m:oMath>
        <m:r>
          <m:rPr>
            <m:sty m:val="p"/>
          </m:rPr>
          <m:t>≈</m:t>
        </m:r>
      </m:oMath>
      <w:r>
        <w:t xml:space="preserve">75,000 gas) is recorded.</w:t>
      </w:r>
    </w:p>
    <w:p>
      <w:pPr>
        <w:numPr>
          <w:ilvl w:val="1"/>
          <w:numId w:val="1019"/>
        </w:numPr>
      </w:pPr>
      <w:r>
        <w:rPr>
          <w:b/>
          <w:bCs/>
        </w:rPr>
        <w:t xml:space="preserve">Server-Side Aggregation:</w:t>
      </w:r>
      <w:r>
        <w:t xml:space="preserve"> </w:t>
      </w:r>
      <w:r>
        <w:t xml:space="preserve">The server applies the selected aggregation algorithm:</w:t>
      </w:r>
    </w:p>
    <w:p>
      <w:pPr>
        <w:numPr>
          <w:ilvl w:val="2"/>
          <w:numId w:val="1020"/>
        </w:numPr>
      </w:pPr>
      <w:r>
        <w:rPr>
          <w:i/>
          <w:iCs/>
        </w:rPr>
        <w:t xml:space="preserve">FedAvg:</w:t>
      </w:r>
      <w:r>
        <w:t xml:space="preserve"> </w:t>
      </w:r>
      <w:r>
        <w:t xml:space="preserve">Weighted average of all received updates.</w:t>
      </w:r>
    </w:p>
    <w:p>
      <w:pPr>
        <w:numPr>
          <w:ilvl w:val="2"/>
          <w:numId w:val="1020"/>
        </w:numPr>
      </w:pPr>
      <w:r>
        <w:rPr>
          <w:i/>
          <w:iCs/>
        </w:rPr>
        <w:t xml:space="preserve">Krum:</w:t>
      </w:r>
      <w:r>
        <w:t xml:space="preserve"> </w:t>
      </w:r>
      <w:r>
        <w:t xml:space="preserve">Select the single update with the smallest sum of squared distances to its</w:t>
      </w:r>
      <w:r>
        <w:t xml:space="preserve"> </w:t>
      </w:r>
      <m:oMath>
        <m:r>
          <m:t>n</m:t>
        </m:r>
        <m:r>
          <m:rPr>
            <m:sty m:val="p"/>
          </m:rPr>
          <m:t>−</m:t>
        </m:r>
        <m:r>
          <m:t>f</m:t>
        </m:r>
        <m:r>
          <m:rPr>
            <m:sty m:val="p"/>
          </m:rPr>
          <m:t>−</m:t>
        </m:r>
        <m:r>
          <m:t>2</m:t>
        </m:r>
      </m:oMath>
      <w:r>
        <w:t xml:space="preserve"> </w:t>
      </w:r>
      <w:r>
        <w:t xml:space="preserve">nearest neighbors.</w:t>
      </w:r>
    </w:p>
    <w:p>
      <w:pPr>
        <w:numPr>
          <w:ilvl w:val="2"/>
          <w:numId w:val="1020"/>
        </w:numPr>
      </w:pPr>
      <w:r>
        <w:rPr>
          <w:i/>
          <w:iCs/>
        </w:rPr>
        <w:t xml:space="preserve">TrimmedMean:</w:t>
      </w:r>
      <w:r>
        <w:t xml:space="preserve"> </w:t>
      </w:r>
      <w:r>
        <w:t xml:space="preserve">For each model parameter coordinate, sort the</w:t>
      </w:r>
      <w:r>
        <w:t xml:space="preserve"> </w:t>
      </w:r>
      <m:oMath>
        <m:r>
          <m:t>n</m:t>
        </m:r>
      </m:oMath>
      <w:r>
        <w:t xml:space="preserve"> </w:t>
      </w:r>
      <w:r>
        <w:t xml:space="preserve">client values, remove the top and bottom 20% (</w:t>
      </w:r>
      <m:oMath>
        <m:r>
          <m:t>β</m:t>
        </m:r>
        <m:r>
          <m:rPr>
            <m:sty m:val="p"/>
          </m:rPr>
          <m:t>=</m:t>
        </m:r>
        <m:r>
          <m:t>0.2</m:t>
        </m:r>
      </m:oMath>
      <w:r>
        <w:t xml:space="preserve">), and average the remaining 60%.</w:t>
      </w:r>
    </w:p>
    <w:p>
      <w:pPr>
        <w:numPr>
          <w:ilvl w:val="2"/>
          <w:numId w:val="1020"/>
        </w:numPr>
      </w:pPr>
      <w:r>
        <w:rPr>
          <w:i/>
          <w:iCs/>
        </w:rPr>
        <w:t xml:space="preserve">ATMA:</w:t>
      </w:r>
      <w:r>
        <w:t xml:space="preserve"> </w:t>
      </w:r>
      <w:r>
        <w:t xml:space="preserve">Compute coordinate-wise median and Median Absolute Deviation (MAD). Retain only updates within</w:t>
      </w:r>
      <w:r>
        <w:t xml:space="preserve"> </w:t>
      </w:r>
      <m:oMath>
        <m:sSub>
          <m:e>
            <m:r>
              <m:t>τ</m:t>
            </m:r>
          </m:e>
          <m:sub>
            <m:r>
              <m:t>t</m:t>
            </m:r>
          </m:sub>
        </m:sSub>
        <m:r>
          <m:rPr>
            <m:sty m:val="p"/>
          </m:rPr>
          <m:t>×</m:t>
        </m:r>
        <m:r>
          <m:rPr>
            <m:nor/>
            <m:sty m:val="p"/>
          </m:rPr>
          <m:t>MAD</m:t>
        </m:r>
      </m:oMath>
      <w:r>
        <w:t xml:space="preserve"> </w:t>
      </w:r>
      <w:r>
        <w:t xml:space="preserve">of the median, where</w:t>
      </w:r>
      <w:r>
        <w:t xml:space="preserve"> </w:t>
      </w:r>
      <m:oMath>
        <m:sSub>
          <m:e>
            <m:r>
              <m:t>τ</m:t>
            </m:r>
          </m:e>
          <m:sub>
            <m:r>
              <m:t>t</m:t>
            </m:r>
          </m:sub>
        </m:sSub>
      </m:oMath>
      <w:r>
        <w:t xml:space="preserve"> </w:t>
      </w:r>
      <w:r>
        <w:t xml:space="preserve">adapts each round based on gradient variance.</w:t>
      </w:r>
    </w:p>
    <w:p>
      <w:pPr>
        <w:numPr>
          <w:ilvl w:val="1"/>
          <w:numId w:val="1019"/>
        </w:numPr>
      </w:pPr>
      <w:r>
        <w:rPr>
          <w:b/>
          <w:bCs/>
        </w:rPr>
        <w:t xml:space="preserve">Byzantine Detection Logging:</w:t>
      </w:r>
      <w:r>
        <w:t xml:space="preserve"> </w:t>
      </w:r>
      <w:r>
        <w:t xml:space="preserve">If the aggregation algorithm identifies outlier updates (e.g., updates trimmed by TrimmedMean or rejected by ATMA), the server calls</w:t>
      </w:r>
      <w:r>
        <w:t xml:space="preserve"> </w:t>
      </w:r>
      <w:r>
        <w:rPr>
          <w:rStyle w:val="VerbatimChar"/>
        </w:rPr>
        <w:t xml:space="preserve">markByzantine(clientId, round)</w:t>
      </w:r>
      <w:r>
        <w:t xml:space="preserve"> </w:t>
      </w:r>
      <w:r>
        <w:t xml:space="preserve">on the smart contract, creating an immutable on-chain record.</w:t>
      </w:r>
    </w:p>
    <w:p>
      <w:pPr>
        <w:numPr>
          <w:ilvl w:val="1"/>
          <w:numId w:val="1019"/>
        </w:numPr>
      </w:pPr>
      <w:r>
        <w:rPr>
          <w:b/>
          <w:bCs/>
        </w:rPr>
        <w:t xml:space="preserve">Global Model Update:</w:t>
      </w:r>
      <w:r>
        <w:t xml:space="preserve"> </w:t>
      </w:r>
      <w:r>
        <w:t xml:space="preserve">The server updates the global model:</w:t>
      </w:r>
      <w:r>
        <w:t xml:space="preserve"> </w:t>
      </w:r>
      <m:oMath>
        <m:sSub>
          <m:e>
            <m:r>
              <m:rPr>
                <m:sty m:val="b"/>
              </m:rPr>
              <m:t>w</m:t>
            </m:r>
          </m:e>
          <m:sub>
            <m:r>
              <m:t>t</m:t>
            </m:r>
            <m:r>
              <m:rPr>
                <m:sty m:val="p"/>
              </m:rPr>
              <m:t>+</m:t>
            </m:r>
            <m:r>
              <m:t>1</m:t>
            </m:r>
          </m:sub>
        </m:sSub>
        <m:r>
          <m:rPr>
            <m:sty m:val="p"/>
          </m:rPr>
          <m:t>=</m:t>
        </m:r>
        <m:sSub>
          <m:e>
            <m:r>
              <m:rPr>
                <m:sty m:val="b"/>
              </m:rPr>
              <m:t>w</m:t>
            </m:r>
          </m:e>
          <m:sub>
            <m:r>
              <m:t>t</m:t>
            </m:r>
          </m:sub>
        </m:sSub>
        <m:r>
          <m:rPr>
            <m:sty m:val="p"/>
          </m:rPr>
          <m:t>+</m:t>
        </m:r>
        <m:r>
          <m:rPr>
            <m:nor/>
            <m:sty m:val="p"/>
          </m:rPr>
          <m:t>Aggregate</m:t>
        </m:r>
        <m:r>
          <m:rPr>
            <m:sty m:val="p"/>
          </m:rPr>
          <m:t>(</m:t>
        </m:r>
        <m:r>
          <m:rPr>
            <m:sty m:val="p"/>
          </m:rPr>
          <m:t>{</m:t>
        </m:r>
        <m:r>
          <m:rPr>
            <m:sty m:val="p"/>
          </m:rPr>
          <m:t>Δ</m:t>
        </m:r>
        <m:sSub>
          <m:e>
            <m:r>
              <m:rPr>
                <m:sty m:val="b"/>
              </m:rPr>
              <m:t>w</m:t>
            </m:r>
          </m:e>
          <m:sub>
            <m:r>
              <m:t>i</m:t>
            </m:r>
          </m:sub>
        </m:sSub>
        <m:r>
          <m:rPr>
            <m:sty m:val="p"/>
          </m:rPr>
          <m:t>}</m:t>
        </m:r>
        <m:r>
          <m:rPr>
            <m:sty m:val="p"/>
          </m:rPr>
          <m:t>)</m:t>
        </m:r>
      </m:oMath>
      <w:r>
        <w:t xml:space="preserve">.</w:t>
      </w:r>
    </w:p>
    <w:p>
      <w:pPr>
        <w:numPr>
          <w:ilvl w:val="1"/>
          <w:numId w:val="1019"/>
        </w:numPr>
      </w:pPr>
      <w:r>
        <w:rPr>
          <w:b/>
          <w:bCs/>
        </w:rPr>
        <w:t xml:space="preserve">Round Completion:</w:t>
      </w:r>
      <w:r>
        <w:t xml:space="preserve"> </w:t>
      </w:r>
      <w:r>
        <w:t xml:space="preserve">The server calls</w:t>
      </w:r>
      <w:r>
        <w:t xml:space="preserve"> </w:t>
      </w:r>
      <w:r>
        <w:rPr>
          <w:rStyle w:val="VerbatimChar"/>
        </w:rPr>
        <w:t xml:space="preserve">completeRound(aggregatedHash)</w:t>
      </w:r>
      <w:r>
        <w:t xml:space="preserve"> </w:t>
      </w:r>
      <w:r>
        <w:t xml:space="preserve">on-chain, storing the SHA-256 hash of the aggregated model.</w:t>
      </w:r>
    </w:p>
    <w:p>
      <w:pPr>
        <w:numPr>
          <w:ilvl w:val="1"/>
          <w:numId w:val="1019"/>
        </w:numPr>
      </w:pPr>
      <w:r>
        <w:rPr>
          <w:b/>
          <w:bCs/>
        </w:rPr>
        <w:t xml:space="preserve">Evaluation:</w:t>
      </w:r>
      <w:r>
        <w:t xml:space="preserve"> </w:t>
      </w:r>
      <w:r>
        <w:t xml:space="preserve">The updated global model is evaluated on the full test set (10,000 images). Test accuracy and cross-entropy loss are recorded.</w:t>
      </w:r>
    </w:p>
    <w:p>
      <w:pPr>
        <w:numPr>
          <w:ilvl w:val="0"/>
          <w:numId w:val="1018"/>
        </w:numPr>
      </w:pPr>
      <w:r>
        <w:rPr>
          <w:b/>
          <w:bCs/>
        </w:rPr>
        <w:t xml:space="preserve">Result Serialization.</w:t>
      </w:r>
      <w:r>
        <w:t xml:space="preserve"> </w:t>
      </w:r>
      <w:r>
        <w:t xml:space="preserve">All per-round metrics (accuracy, loss, gas costs, detected Byzantine clients, timestamps) are saved to JSON files for reproducibility and post-hoc analysis.</w:t>
      </w:r>
    </w:p>
    <w:p>
      <w:pPr>
        <w:numPr>
          <w:ilvl w:val="0"/>
          <w:numId w:val="1018"/>
        </w:numPr>
      </w:pPr>
      <w:r>
        <w:rPr>
          <w:b/>
          <w:bCs/>
        </w:rPr>
        <w:t xml:space="preserve">Multi-Seed Replication.</w:t>
      </w:r>
      <w:r>
        <w:t xml:space="preserve"> </w:t>
      </w:r>
      <w:r>
        <w:t xml:space="preserve">Steps 1–7 are repeated with seeds 42, 43, and 44 to compute mean accuracy, standard deviation, and 95% confidence intervals</w:t>
      </w:r>
      <w:r>
        <w:t xml:space="preserve"> </w:t>
      </w:r>
      <m:oMath>
        <m:r>
          <m:rPr>
            <m:sty m:val="p"/>
          </m:rPr>
          <m:t>(</m:t>
        </m:r>
        <m:acc>
          <m:accPr>
            <m:chr m:val="‾"/>
          </m:accPr>
          <m:e>
            <m:r>
              <m:t>x</m:t>
            </m:r>
          </m:e>
        </m:acc>
        <m:r>
          <m:rPr>
            <m:sty m:val="p"/>
          </m:rPr>
          <m:t>±</m:t>
        </m:r>
        <m:sSub>
          <m:e>
            <m:r>
              <m:t>t</m:t>
            </m:r>
          </m:e>
          <m:sub>
            <m:r>
              <m:t>0.025</m:t>
            </m:r>
            <m:r>
              <m:rPr>
                <m:sty m:val="p"/>
              </m:rPr>
              <m:t>,</m:t>
            </m:r>
            <m:r>
              <m:t>2</m:t>
            </m:r>
          </m:sub>
        </m:sSub>
        <m:r>
          <m:rPr>
            <m:sty m:val="p"/>
          </m:rPr>
          <m:t>⋅</m:t>
        </m:r>
        <m:r>
          <m:t>s</m:t>
        </m:r>
        <m:r>
          <m:rPr>
            <m:sty m:val="p"/>
          </m:rPr>
          <m:t>/</m:t>
        </m:r>
        <m:rad>
          <m:radPr>
            <m:degHide m:val="on"/>
          </m:radPr>
          <m:deg/>
          <m:e>
            <m:r>
              <m:t>3</m:t>
            </m:r>
          </m:e>
        </m:rad>
        <m:r>
          <m:rPr>
            <m:sty m:val="p"/>
          </m:rPr>
          <m:t>)</m:t>
        </m:r>
      </m:oMath>
      <w:r>
        <w:t xml:space="preserve">.</w:t>
      </w:r>
    </w:p>
    <w:p>
      <w:pPr>
        <w:pStyle w:val="FirstParagraph"/>
      </w:pPr>
      <w:r>
        <w:t xml:space="preserve">All code implementing the above procedure is publicly available at</w:t>
      </w:r>
      <w:r>
        <w:t xml:space="preserve"> </w:t>
      </w:r>
      <w:hyperlink r:id="rId9">
        <w:r>
          <w:rPr>
            <w:rStyle w:val="Hyperlink"/>
          </w:rPr>
          <w:t xml:space="preserve">https://github.com/vokasitibrawijaya/byzantine-robust-fl-blockchain</w:t>
        </w:r>
      </w:hyperlink>
      <w:r>
        <w:t xml:space="preserve">.</w:t>
      </w:r>
    </w:p>
    <w:bookmarkEnd w:id="28"/>
    <w:bookmarkEnd w:id="29"/>
    <w:bookmarkStart w:id="30" w:name="sec:results"/>
    <w:p>
      <w:pPr>
        <w:pStyle w:val="Heading1"/>
      </w:pPr>
      <w:r>
        <w:t xml:space="preserve">Experimental Results</w:t>
      </w:r>
    </w:p>
    <w:bookmarkStart w:id="31" w:name="overall-performance-comparison"/>
    <w:p>
      <w:pPr>
        <w:pStyle w:val="Heading2"/>
      </w:pPr>
      <w:r>
        <w:t xml:space="preserve">Overall Performance Comparison</w:t>
      </w:r>
    </w:p>
    <w:p>
      <w:pPr>
        <w:pStyle w:val="FirstParagraph"/>
      </w:pPr>
      <w:r>
        <w:t xml:space="preserve">Table </w:t>
      </w:r>
      <w:hyperlink w:anchor="tab:overall_results">
        <w:r>
          <w:rPr>
            <w:rStyle w:val="Hyperlink"/>
          </w:rPr>
          <w:t xml:space="preserve">[tab:overall_results]</w:t>
        </w:r>
      </w:hyperlink>
      <w:r>
        <w:t xml:space="preserve"> </w:t>
      </w:r>
      <w:r>
        <w:t xml:space="preserve">presents the complete results across all experiments. TrimmedMean with 160 rounds achieves the highest accuracy of 93.45%, significantly exceeding both the reference benchmark (89.59%) and the undefended FedAvg baseline (87.60%).</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rPr>
                <w:b/>
                <w:bCs/>
              </w:rPr>
              <w:t xml:space="preserve">Algorithm</w:t>
            </w:r>
          </w:p>
        </w:tc>
        <w:tc>
          <w:tcPr/>
          <w:p>
            <w:pPr>
              <w:pStyle w:val="Compact"/>
              <w:jc w:val="center"/>
            </w:pPr>
            <w:r>
              <w:rPr>
                <w:b/>
                <w:bCs/>
              </w:rPr>
              <w:t xml:space="preserve">Topology</w:t>
            </w:r>
          </w:p>
        </w:tc>
        <w:tc>
          <w:tcPr/>
          <w:p>
            <w:pPr>
              <w:pStyle w:val="Compact"/>
              <w:jc w:val="center"/>
            </w:pPr>
            <w:r>
              <w:rPr>
                <w:b/>
                <w:bCs/>
              </w:rPr>
              <w:t xml:space="preserve">Rounds</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Gas (M)</w:t>
            </w:r>
          </w:p>
        </w:tc>
        <w:tc>
          <w:tcPr/>
          <w:p>
            <w:pPr>
              <w:pStyle w:val="Compact"/>
              <w:jc w:val="center"/>
            </w:pPr>
            <w:r>
              <w:rPr>
                <w:b/>
                <w:bCs/>
              </w:rPr>
              <w:t xml:space="preserve">Byzantine</w:t>
            </w:r>
          </w:p>
        </w:tc>
        <w:tc>
          <w:tcPr/>
          <w:p>
            <w:pPr>
              <w:pStyle w:val="Compact"/>
              <w:jc w:val="center"/>
            </w:pPr>
            <w:r>
              <w:rPr>
                <w:b/>
                <w:bCs/>
              </w:rPr>
              <w:t xml:space="preserve">Runtime</w:t>
            </w:r>
          </w:p>
        </w:tc>
        <w:tc>
          <w:tcPr/>
          <w:p>
            <w:pPr>
              <w:pStyle w:val="Compact"/>
              <w:jc w:val="center"/>
            </w:pPr>
            <w:r>
              <w:rPr>
                <w:b/>
                <w:bCs/>
              </w:rPr>
              <w:t xml:space="preserve">Defense</w:t>
            </w:r>
          </w:p>
        </w:tc>
      </w:tr>
      <w:tr>
        <w:tc>
          <w:tcPr/>
          <w:p>
            <w:pPr>
              <w:pStyle w:val="Compact"/>
            </w:pPr>
          </w:p>
        </w:tc>
        <w:tc>
          <w:tcPr/>
          <w:p>
            <w:pPr>
              <w:pStyle w:val="Compact"/>
            </w:pPr>
          </w:p>
        </w:tc>
        <w:tc>
          <w:tcPr/>
          <w:p>
            <w:pPr>
              <w:pStyle w:val="Compact"/>
            </w:pPr>
          </w:p>
        </w:tc>
        <w:tc>
          <w:tcPr/>
          <w:p>
            <w:pPr>
              <w:pStyle w:val="Compact"/>
              <w:jc w:val="center"/>
            </w:pPr>
            <w:r>
              <w:rPr>
                <w:b/>
                <w:bCs/>
              </w:rPr>
              <w:t xml:space="preserve">(%)</w:t>
            </w:r>
          </w:p>
        </w:tc>
        <w:tc>
          <w:tcPr/>
          <w:p>
            <w:pPr>
              <w:pStyle w:val="Compact"/>
            </w:pPr>
          </w:p>
        </w:tc>
        <w:tc>
          <w:tcPr/>
          <w:p>
            <w:pPr>
              <w:pStyle w:val="Compact"/>
            </w:pPr>
          </w:p>
        </w:tc>
        <w:tc>
          <w:tcPr/>
          <w:p>
            <w:pPr>
              <w:pStyle w:val="Compact"/>
              <w:jc w:val="center"/>
            </w:pPr>
            <w:r>
              <w:rPr>
                <w:b/>
                <w:bCs/>
              </w:rPr>
              <w:t xml:space="preserve">Detected</w:t>
            </w:r>
          </w:p>
        </w:tc>
        <w:tc>
          <w:tcPr/>
          <w:p>
            <w:pPr>
              <w:pStyle w:val="Compact"/>
              <w:jc w:val="center"/>
            </w:pPr>
            <w:r>
              <w:rPr>
                <w:b/>
                <w:bCs/>
              </w:rPr>
              <w:t xml:space="preserve">(min)</w:t>
            </w:r>
          </w:p>
        </w:tc>
        <w:tc>
          <w:tcPr/>
          <w:p>
            <w:pPr>
              <w:pStyle w:val="Compact"/>
            </w:pPr>
          </w:p>
        </w:tc>
      </w:tr>
      <w:tr>
        <w:tc>
          <w:tcPr/>
          <w:p>
            <w:pPr>
              <w:pStyle w:val="Compact"/>
              <w:jc w:val="left"/>
            </w:pPr>
            <w:r>
              <w:t xml:space="preserve">Krum</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26.56</w:t>
            </w:r>
          </w:p>
        </w:tc>
        <w:tc>
          <w:tcPr/>
          <w:p>
            <w:pPr>
              <w:pStyle w:val="Compact"/>
              <w:jc w:val="center"/>
            </w:pPr>
            <w:r>
              <w:t xml:space="preserve">6.807</w:t>
            </w:r>
          </w:p>
        </w:tc>
        <w:tc>
          <w:tcPr/>
          <w:p>
            <w:pPr>
              <w:pStyle w:val="Compact"/>
              <w:jc w:val="center"/>
            </w:pPr>
            <w:r>
              <w:t xml:space="preserve">90.0</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Too Aggressive</w:t>
            </w:r>
          </w:p>
        </w:tc>
      </w:tr>
      <w:tr>
        <w:tc>
          <w:tcPr/>
          <w:p>
            <w:pPr>
              <w:pStyle w:val="Compact"/>
              <w:jc w:val="left"/>
            </w:pPr>
            <w:r>
              <w:t xml:space="preserve">FedAvg</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87.60</w:t>
            </w:r>
          </w:p>
        </w:tc>
        <w:tc>
          <w:tcPr/>
          <w:p>
            <w:pPr>
              <w:pStyle w:val="Compact"/>
              <w:jc w:val="center"/>
            </w:pPr>
            <w:r>
              <w:t xml:space="preserve">0.294</w:t>
            </w:r>
          </w:p>
        </w:tc>
        <w:tc>
          <w:tcPr/>
          <w:p>
            <w:pPr>
              <w:pStyle w:val="Compact"/>
              <w:jc w:val="center"/>
            </w:pPr>
            <w:r>
              <w:t xml:space="preserve">88.6</w:t>
            </w:r>
          </w:p>
        </w:tc>
        <w:tc>
          <w:tcPr/>
          <w:p>
            <w:pPr>
              <w:pStyle w:val="Compact"/>
              <w:jc w:val="center"/>
            </w:pPr>
            <w:r>
              <w:t xml:space="preserve">0</w:t>
            </w:r>
          </w:p>
        </w:tc>
        <w:tc>
          <w:tcPr/>
          <w:p>
            <w:pPr>
              <w:pStyle w:val="Compact"/>
              <w:jc w:val="center"/>
            </w:pPr>
            <w:r>
              <w:t xml:space="preserve">42</w:t>
            </w:r>
          </w:p>
        </w:tc>
        <w:tc>
          <w:tcPr/>
          <w:p>
            <w:pPr>
              <w:pStyle w:val="Compact"/>
              <w:jc w:val="center"/>
            </w:pPr>
            <w:r>
              <w:t xml:space="preserve">None</w:t>
            </w:r>
          </w:p>
        </w:tc>
      </w:tr>
      <w:tr>
        <w:tc>
          <w:tcPr/>
          <w:p>
            <w:pPr>
              <w:pStyle w:val="Compact"/>
              <w:jc w:val="left"/>
            </w:pPr>
            <w:r>
              <w:t xml:space="preserve">TrimmedMean</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84.85</w:t>
            </w:r>
          </w:p>
        </w:tc>
        <w:tc>
          <w:tcPr/>
          <w:p>
            <w:pPr>
              <w:pStyle w:val="Compact"/>
              <w:jc w:val="center"/>
            </w:pPr>
            <w:r>
              <w:t xml:space="preserve">0.427</w:t>
            </w:r>
          </w:p>
        </w:tc>
        <w:tc>
          <w:tcPr/>
          <w:p>
            <w:pPr>
              <w:pStyle w:val="Compact"/>
              <w:jc w:val="center"/>
            </w:pPr>
            <w:r>
              <w:t xml:space="preserve">88.3</w:t>
            </w:r>
          </w:p>
        </w:tc>
        <w:tc>
          <w:tcPr/>
          <w:p>
            <w:pPr>
              <w:pStyle w:val="Compact"/>
              <w:jc w:val="center"/>
            </w:pPr>
            <w:r>
              <w:t xml:space="preserve">0</w:t>
            </w:r>
          </w:p>
        </w:tc>
        <w:tc>
          <w:tcPr/>
          <w:p>
            <w:pPr>
              <w:pStyle w:val="Compact"/>
              <w:jc w:val="center"/>
            </w:pPr>
            <w:r>
              <w:t xml:space="preserve">43</w:t>
            </w:r>
          </w:p>
        </w:tc>
        <w:tc>
          <w:tcPr/>
          <w:p>
            <w:pPr>
              <w:pStyle w:val="Compact"/>
              <w:jc w:val="center"/>
            </w:pPr>
            <w:r>
              <w:t xml:space="preserve">Strong</w:t>
            </w:r>
          </w:p>
        </w:tc>
      </w:tr>
      <w:tr>
        <w:tc>
          <w:tcPr/>
          <w:p>
            <w:pPr>
              <w:pStyle w:val="Compact"/>
              <w:jc w:val="left"/>
            </w:pPr>
            <w:r>
              <w:rPr>
                <w:b/>
                <w:bCs/>
              </w:rPr>
              <w:t xml:space="preserve">TrimmedMean</w:t>
            </w:r>
          </w:p>
        </w:tc>
        <w:tc>
          <w:tcPr/>
          <w:p>
            <w:pPr>
              <w:pStyle w:val="Compact"/>
              <w:jc w:val="center"/>
            </w:pPr>
            <w:r>
              <w:rPr>
                <w:b/>
                <w:bCs/>
              </w:rPr>
              <w:t xml:space="preserve">B (Ganache)</w:t>
            </w:r>
          </w:p>
        </w:tc>
        <w:tc>
          <w:tcPr/>
          <w:p>
            <w:pPr>
              <w:pStyle w:val="Compact"/>
              <w:jc w:val="center"/>
            </w:pPr>
            <w:r>
              <w:rPr>
                <w:b/>
                <w:bCs/>
              </w:rPr>
              <w:t xml:space="preserve">160</w:t>
            </w:r>
          </w:p>
        </w:tc>
        <w:tc>
          <w:tcPr/>
          <w:p>
            <w:pPr>
              <w:pStyle w:val="Compact"/>
              <w:jc w:val="center"/>
            </w:pPr>
            <w:r>
              <w:rPr>
                <w:b/>
                <w:bCs/>
              </w:rPr>
              <w:t xml:space="preserve">93.45</w:t>
            </w:r>
          </w:p>
        </w:tc>
        <w:tc>
          <w:tcPr/>
          <w:p>
            <w:pPr>
              <w:pStyle w:val="Compact"/>
              <w:jc w:val="center"/>
            </w:pPr>
            <w:r>
              <w:rPr>
                <w:b/>
                <w:bCs/>
              </w:rPr>
              <w:t xml:space="preserve">0.196</w:t>
            </w:r>
          </w:p>
        </w:tc>
        <w:tc>
          <w:tcPr/>
          <w:p>
            <w:pPr>
              <w:pStyle w:val="Compact"/>
              <w:jc w:val="center"/>
            </w:pPr>
            <w:r>
              <w:rPr>
                <w:b/>
                <w:bCs/>
              </w:rPr>
              <w:t xml:space="preserve">283.2</w:t>
            </w:r>
          </w:p>
        </w:tc>
        <w:tc>
          <w:tcPr/>
          <w:p>
            <w:pPr>
              <w:pStyle w:val="Compact"/>
              <w:jc w:val="center"/>
            </w:pPr>
            <w:r>
              <w:rPr>
                <w:b/>
                <w:bCs/>
              </w:rPr>
              <w:t xml:space="preserve">59</w:t>
            </w:r>
          </w:p>
        </w:tc>
        <w:tc>
          <w:tcPr/>
          <w:p>
            <w:pPr>
              <w:pStyle w:val="Compact"/>
              <w:jc w:val="center"/>
            </w:pPr>
            <w:r>
              <w:rPr>
                <w:b/>
                <w:bCs/>
              </w:rPr>
              <w:t xml:space="preserve">135</w:t>
            </w:r>
          </w:p>
        </w:tc>
        <w:tc>
          <w:tcPr/>
          <w:p>
            <w:pPr>
              <w:pStyle w:val="Compact"/>
              <w:jc w:val="center"/>
            </w:pPr>
            <w:r>
              <w:rPr>
                <w:b/>
                <w:bCs/>
              </w:rPr>
              <w:t xml:space="preserve">Strong</w:t>
            </w:r>
          </w:p>
        </w:tc>
      </w:tr>
      <w:tr>
        <w:tc>
          <w:tcPr/>
          <w:p>
            <w:pPr>
              <w:pStyle w:val="Compact"/>
              <w:jc w:val="left"/>
            </w:pPr>
            <w:r>
              <w:t xml:space="preserve">TrimmedMean</w:t>
            </w:r>
          </w:p>
        </w:tc>
        <w:tc>
          <w:tcPr/>
          <w:p>
            <w:pPr>
              <w:pStyle w:val="Compact"/>
              <w:jc w:val="center"/>
            </w:pPr>
            <w:r>
              <w:t xml:space="preserve">C (L2)</w:t>
            </w:r>
          </w:p>
        </w:tc>
        <w:tc>
          <w:tcPr/>
          <w:p>
            <w:pPr>
              <w:pStyle w:val="Compact"/>
              <w:jc w:val="center"/>
            </w:pPr>
            <w:r>
              <w:t xml:space="preserve">50</w:t>
            </w:r>
          </w:p>
        </w:tc>
        <w:tc>
          <w:tcPr/>
          <w:p>
            <w:pPr>
              <w:pStyle w:val="Compact"/>
              <w:jc w:val="center"/>
            </w:pPr>
            <w:r>
              <w:t xml:space="preserve">93.03</w:t>
            </w:r>
          </w:p>
        </w:tc>
        <w:tc>
          <w:tcPr/>
          <w:p>
            <w:pPr>
              <w:pStyle w:val="Compact"/>
              <w:jc w:val="center"/>
            </w:pPr>
            <w:r>
              <w:t xml:space="preserve">0.248</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38</w:t>
            </w:r>
          </w:p>
        </w:tc>
        <w:tc>
          <w:tcPr/>
          <w:p>
            <w:pPr>
              <w:pStyle w:val="Compact"/>
              <w:jc w:val="center"/>
            </w:pPr>
            <w:r>
              <w:t xml:space="preserve">Strong</w:t>
            </w:r>
          </w:p>
        </w:tc>
      </w:tr>
      <w:tr>
        <w:tc>
          <w:tcPr>
            <w:gridSpan w:val="9"/>
          </w:tcPr>
          <w:p>
            <w:pPr>
              <w:pStyle w:val="Compact"/>
              <w:jc w:val="left"/>
            </w:pPr>
            <w:r>
              <w:rPr>
                <w:i/>
                <w:iCs/>
              </w:rPr>
              <w:t xml:space="preserve">Reference Benchmark: 89.59% (MNIST, similar configuration)</w:t>
            </w:r>
          </w:p>
        </w:tc>
      </w:tr>
    </w:tbl>
    <w:bookmarkEnd w:id="30"/>
    <w:bookmarkStart w:id="32" w:name="key-findings"/>
    <w:p>
      <w:pPr>
        <w:pStyle w:val="Heading2"/>
      </w:pPr>
      <w:r>
        <w:t xml:space="preserve">Key Findings</w:t>
      </w:r>
    </w:p>
    <w:bookmarkStart w:id="33" w:name="trimmedmean-achieves-optimal-performance"/>
    <w:p>
      <w:pPr>
        <w:pStyle w:val="Heading3"/>
      </w:pPr>
      <w:r>
        <w:t xml:space="preserve">TrimmedMean Achieves Optimal Performance</w:t>
      </w:r>
    </w:p>
    <w:p>
      <w:pPr>
        <w:pStyle w:val="FirstParagraph"/>
      </w:pPr>
      <w:r>
        <w:t xml:space="preserve">TrimmedMean with 160 training rounds achieves 93.45% accuracy, which:</w:t>
      </w:r>
    </w:p>
    <w:p>
      <w:pPr>
        <w:numPr>
          <w:ilvl w:val="0"/>
          <w:numId w:val="1021"/>
        </w:numPr>
      </w:pPr>
      <w:r>
        <w:rPr>
          <w:b/>
          <w:bCs/>
        </w:rPr>
        <w:t xml:space="preserve">Exceeds reference benchmark</w:t>
      </w:r>
      <w:r>
        <w:t xml:space="preserve"> </w:t>
      </w:r>
      <w:r>
        <w:t xml:space="preserve">by +3.86% (93.45% vs. 89.59%)</w:t>
      </w:r>
    </w:p>
    <w:p>
      <w:pPr>
        <w:numPr>
          <w:ilvl w:val="0"/>
          <w:numId w:val="1021"/>
        </w:numPr>
      </w:pPr>
      <w:r>
        <w:rPr>
          <w:b/>
          <w:bCs/>
        </w:rPr>
        <w:t xml:space="preserve">Exceeds undefended FedAvg</w:t>
      </w:r>
      <w:r>
        <w:t xml:space="preserve"> </w:t>
      </w:r>
      <w:r>
        <w:t xml:space="preserve">by +5.85% (93.45% vs. 87.60%)</w:t>
      </w:r>
    </w:p>
    <w:p>
      <w:pPr>
        <w:numPr>
          <w:ilvl w:val="0"/>
          <w:numId w:val="1021"/>
        </w:numPr>
      </w:pPr>
      <w:r>
        <w:rPr>
          <w:b/>
          <w:bCs/>
        </w:rPr>
        <w:t xml:space="preserve">Exceeds 50-round TrimmedMean</w:t>
      </w:r>
      <w:r>
        <w:t xml:space="preserve"> </w:t>
      </w:r>
      <w:r>
        <w:t xml:space="preserve">by +8.60% (93.45% vs. 84.85%)</w:t>
      </w:r>
    </w:p>
    <w:p>
      <w:pPr>
        <w:numPr>
          <w:ilvl w:val="0"/>
          <w:numId w:val="1021"/>
        </w:numPr>
      </w:pPr>
      <w:r>
        <w:rPr>
          <w:b/>
          <w:bCs/>
        </w:rPr>
        <w:t xml:space="preserve">Far exceeds Krum</w:t>
      </w:r>
      <w:r>
        <w:t xml:space="preserve"> </w:t>
      </w:r>
      <w:r>
        <w:t xml:space="preserve">by +66.89% (93.45% vs. 26.56%)</w:t>
      </w:r>
    </w:p>
    <w:p>
      <w:pPr>
        <w:pStyle w:val="FirstParagraph"/>
      </w:pPr>
      <w:r>
        <w:t xml:space="preserve">These results show that Byzantine-robust aggregation does not require sacrificing model performance. TrimmedMean’s statistical robustness helps filter noise and outliers, leading to better convergence.</w:t>
      </w:r>
    </w:p>
    <w:bookmarkEnd w:id="31"/>
    <w:bookmarkStart w:id="34" w:name="krum-performance-analysis"/>
    <w:p>
      <w:pPr>
        <w:pStyle w:val="Heading3"/>
      </w:pPr>
      <w:r>
        <w:t xml:space="preserve">Krum Performance Analysis</w:t>
      </w:r>
    </w:p>
    <w:p>
      <w:pPr>
        <w:pStyle w:val="FirstParagraph"/>
      </w:pPr>
      <w:r>
        <w:t xml:space="preserve">Krum achieves only 26.56% accuracy under Byzantine attacks, which requires careful interpretation.</w:t>
      </w:r>
    </w:p>
    <w:p>
      <w:pPr>
        <w:pStyle w:val="BodyText"/>
      </w:pPr>
      <w:r>
        <w:rPr>
          <w:b/>
          <w:bCs/>
        </w:rPr>
        <w:t xml:space="preserve">Attack Severity Context:</w:t>
      </w:r>
      <w:r>
        <w:t xml:space="preserve"> </w:t>
      </w:r>
      <w:r>
        <w:t xml:space="preserve">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pPr>
        <w:pStyle w:val="BodyText"/>
      </w:pPr>
      <w:r>
        <w:rPr>
          <w:b/>
          <w:bCs/>
        </w:rPr>
        <w:t xml:space="preserve">Why Krum Fails Under Our Attack:</w:t>
      </w:r>
      <w:r>
        <w:t xml:space="preserve"> </w:t>
      </w:r>
      <w:r>
        <w:t xml:space="preserve">Krum’s algorithm selects the single update closest to other updates. Under aggressive attacks (scale=-5.0), Byzantine clients create coordinated outliers that:</w:t>
      </w:r>
    </w:p>
    <w:p>
      <w:pPr>
        <w:numPr>
          <w:ilvl w:val="0"/>
          <w:numId w:val="1022"/>
        </w:numPr>
      </w:pPr>
      <w:r>
        <w:t xml:space="preserve">Distort the geometric center of gradient space</w:t>
      </w:r>
    </w:p>
    <w:p>
      <w:pPr>
        <w:numPr>
          <w:ilvl w:val="0"/>
          <w:numId w:val="1022"/>
        </w:numPr>
      </w:pPr>
      <w:r>
        <w:t xml:space="preserve">Make Byzantine updates appear</w:t>
      </w:r>
      <w:r>
        <w:t xml:space="preserve"> </w:t>
      </w:r>
      <w:r>
        <w:t xml:space="preserve">“central”</w:t>
      </w:r>
      <w:r>
        <w:t xml:space="preserve"> </w:t>
      </w:r>
      <w:r>
        <w:t xml:space="preserve">to each other</w:t>
      </w:r>
    </w:p>
    <w:p>
      <w:pPr>
        <w:numPr>
          <w:ilvl w:val="0"/>
          <w:numId w:val="1022"/>
        </w:numPr>
      </w:pPr>
      <w:r>
        <w:t xml:space="preserve">Cause Krum to sometimes select Byzantine updates as representative</w:t>
      </w:r>
    </w:p>
    <w:p>
      <w:pPr>
        <w:pStyle w:val="FirstParagraph"/>
      </w:pPr>
      <w:r>
        <w:t xml:space="preserve">This is a known limitation of Krum under aggressive attacks [10]. TrimmedMean’s coordinate-wise trimming is more robust because it independently filters extremes per dimension rather than selecting a single holistic update.</w:t>
      </w:r>
    </w:p>
    <w:p>
      <w:pPr>
        <w:pStyle w:val="BodyText"/>
      </w:pPr>
      <w:r>
        <w:rPr>
          <w:b/>
          <w:bCs/>
        </w:rPr>
        <w:t xml:space="preserve">Limitation:</w:t>
      </w:r>
      <w:r>
        <w:t xml:space="preserve"> </w:t>
      </w:r>
      <w:r>
        <w:t xml:space="preserve">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bookmarkEnd w:id="32"/>
    <w:bookmarkStart w:id="35" w:name="extended-training-is-crucial"/>
    <w:p>
      <w:pPr>
        <w:pStyle w:val="Heading3"/>
      </w:pPr>
      <w:r>
        <w:t xml:space="preserve">Extended Training is Crucial</w:t>
      </w:r>
    </w:p>
    <w:p>
      <w:pPr>
        <w:pStyle w:val="FirstParagraph"/>
      </w:pPr>
      <w:r>
        <w:t xml:space="preserve">Comparing TrimmedMean at 50 rounds (84.85%) versus 160 rounds (93.45%) reveals an 8.60% improvement, demonstrating that:</w:t>
      </w:r>
    </w:p>
    <w:p>
      <w:pPr>
        <w:numPr>
          <w:ilvl w:val="0"/>
          <w:numId w:val="1023"/>
        </w:numPr>
      </w:pPr>
      <w:r>
        <w:t xml:space="preserve">Byzantine-robust methods benefit significantly from extended training</w:t>
      </w:r>
    </w:p>
    <w:p>
      <w:pPr>
        <w:numPr>
          <w:ilvl w:val="0"/>
          <w:numId w:val="1023"/>
        </w:numPr>
      </w:pPr>
      <w:r>
        <w:t xml:space="preserve">50 rounds is sufficient for prototyping (84.85%)</w:t>
      </w:r>
    </w:p>
    <w:p>
      <w:pPr>
        <w:numPr>
          <w:ilvl w:val="0"/>
          <w:numId w:val="1023"/>
        </w:numPr>
      </w:pPr>
      <w:r>
        <w:t xml:space="preserve">160 rounds is necessary for production-grade performance (93.45%)</w:t>
      </w:r>
    </w:p>
    <w:p>
      <w:pPr>
        <w:numPr>
          <w:ilvl w:val="0"/>
          <w:numId w:val="1023"/>
        </w:numPr>
      </w:pPr>
      <w:r>
        <w:t xml:space="preserve">Convergence stabilizes around round 140</w:t>
      </w:r>
    </w:p>
    <w:bookmarkEnd w:id="33"/>
    <w:bookmarkEnd w:id="34"/>
    <w:bookmarkStart w:id="36" w:name="convergence-analysis"/>
    <w:p>
      <w:pPr>
        <w:pStyle w:val="Heading2"/>
      </w:pPr>
      <w:r>
        <w:t xml:space="preserve">Convergence Analysis</w:t>
      </w:r>
    </w:p>
    <w:bookmarkStart w:id="37" w:name="fig:convergence"/>
    <w:p>
      <w:pPr>
        <w:pStyle w:val="CaptionedFigure"/>
      </w:pPr>
      <w:r>
        <w:drawing>
          <wp:inline>
            <wp:extent cx="5334000" cy="3635589"/>
            <wp:effectExtent b="0" l="0" r="0" t="0"/>
            <wp:docPr descr="" title="" id="1" name="Picture"/>
            <a:graphic>
              <a:graphicData uri="http://schemas.openxmlformats.org/drawingml/2006/picture">
                <pic:pic>
                  <pic:nvPicPr>
                    <pic:cNvPr descr="../revision_ETASR_APRIL2026/media/convergence_comparison.png" id="1" name="Picture"/>
                    <pic:cNvPicPr>
                      <a:picLocks noChangeArrowheads="1" noChangeAspect="1"/>
                    </pic:cNvPicPr>
                  </pic:nvPicPr>
                  <pic:blipFill>
                    <a:blip r:embed="rId10"/>
                    <a:stretch>
                      <a:fillRect/>
                    </a:stretch>
                  </pic:blipFill>
                  <pic:spPr bwMode="auto">
                    <a:xfrm>
                      <a:off x="0" y="0"/>
                      <a:ext cx="5334000" cy="3635589"/>
                    </a:xfrm>
                    <a:prstGeom prst="rect">
                      <a:avLst/>
                    </a:prstGeom>
                    <a:noFill/>
                    <a:ln w="9525">
                      <a:noFill/>
                      <a:headEnd/>
                      <a:tailEnd/>
                    </a:ln>
                  </pic:spPr>
                </pic:pic>
              </a:graphicData>
            </a:graphic>
          </wp:inline>
        </w:drawing>
      </w:r>
    </w:p>
    <w:p>
      <w:pPr>
        <w:pStyle w:val="ImageCaption"/>
      </w:pPr>
      <w:r>
        <w:t xml:space="preserve">Convergence curves comparing aggregation algorithms on CIFAR-10 with Dirichlet(</w:t>
      </w:r>
      <m:oMath>
        <m:r>
          <m:t>α</m:t>
        </m:r>
      </m:oMath>
      <w:r>
        <w:t xml:space="preserve">=0.5) non-IID distribution under 20% Byzantine attack (label-flip, scale=-5.0). TrimmedMean achieves the highest final accuracy (67.92% at 160 rounds), followed by ATMA (65.78%). Krum shows limited effectiveness (43.41%), while undefended FedAvg collapses to random guess (10%). Data from single seed=42; multi-seed confidence intervals are provided in Table </w:t>
      </w:r>
      <w:hyperlink w:anchor="tab:multiseed_ci">
        <w:r>
          <w:rPr>
            <w:rStyle w:val="Hyperlink"/>
          </w:rPr>
          <w:t xml:space="preserve">15</w:t>
        </w:r>
      </w:hyperlink>
      <w:r>
        <w:t xml:space="preserve">.</w:t>
      </w:r>
    </w:p>
    <w:bookmarkEnd w:id="35"/>
    <w:p>
      <w:pPr>
        <w:pStyle w:val="BodyText"/>
      </w:pPr>
      <w:r>
        <w:t xml:space="preserve">Figure </w:t>
      </w:r>
      <w:hyperlink w:anchor="fig:convergence">
        <w:r>
          <w:rPr>
            <w:rStyle w:val="Hyperlink"/>
          </w:rPr>
          <w:t xml:space="preserve">1</w:t>
        </w:r>
      </w:hyperlink>
      <w:r>
        <w:t xml:space="preserve"> </w:t>
      </w:r>
      <w:r>
        <w:t xml:space="preserve">illustrates the convergence behavior of different algorithms. Key observations:</w:t>
      </w:r>
    </w:p>
    <w:p>
      <w:pPr>
        <w:numPr>
          <w:ilvl w:val="0"/>
          <w:numId w:val="1024"/>
        </w:numPr>
      </w:pPr>
      <w:r>
        <w:rPr>
          <w:b/>
          <w:bCs/>
        </w:rPr>
        <w:t xml:space="preserve">TrimmedMean 160r:</w:t>
      </w:r>
      <w:r>
        <w:t xml:space="preserve"> </w:t>
      </w:r>
      <w:r>
        <w:t xml:space="preserve">Exhibits steady, stable convergence with three phases:</w:t>
      </w:r>
    </w:p>
    <w:p>
      <w:pPr>
        <w:numPr>
          <w:ilvl w:val="1"/>
          <w:numId w:val="1025"/>
        </w:numPr>
      </w:pPr>
      <w:r>
        <w:t xml:space="preserve">Rapid initial learning (rounds 1-50): +70% of final accuracy</w:t>
      </w:r>
    </w:p>
    <w:p>
      <w:pPr>
        <w:numPr>
          <w:ilvl w:val="1"/>
          <w:numId w:val="1025"/>
        </w:numPr>
      </w:pPr>
      <w:r>
        <w:t xml:space="preserve">Steady improvement (rounds 50-100): +5.27%</w:t>
      </w:r>
    </w:p>
    <w:p>
      <w:pPr>
        <w:numPr>
          <w:ilvl w:val="1"/>
          <w:numId w:val="1025"/>
        </w:numPr>
      </w:pPr>
      <w:r>
        <w:t xml:space="preserve">Fine-tuning (rounds 100-160): +3.33%</w:t>
      </w:r>
    </w:p>
    <w:p>
      <w:pPr>
        <w:numPr>
          <w:ilvl w:val="0"/>
          <w:numId w:val="1024"/>
        </w:numPr>
      </w:pPr>
      <w:r>
        <w:rPr>
          <w:b/>
          <w:bCs/>
        </w:rPr>
        <w:t xml:space="preserve">FedAvg:</w:t>
      </w:r>
      <w:r>
        <w:t xml:space="preserve"> </w:t>
      </w:r>
      <w:r>
        <w:t xml:space="preserve">Fast initial convergence but plateaus at 87.60%, unable to achieve optimal performance due to Byzantine poisoning effects.</w:t>
      </w:r>
    </w:p>
    <w:p>
      <w:pPr>
        <w:numPr>
          <w:ilvl w:val="0"/>
          <w:numId w:val="1024"/>
        </w:numPr>
      </w:pPr>
      <w:r>
        <w:rPr>
          <w:b/>
          <w:bCs/>
        </w:rPr>
        <w:t xml:space="preserve">TrimmedMean 50r:</w:t>
      </w:r>
      <w:r>
        <w:t xml:space="preserve"> </w:t>
      </w:r>
      <w:r>
        <w:t xml:space="preserve">Shows similar convergence pattern but stops prematurely at 84.85%.</w:t>
      </w:r>
    </w:p>
    <w:p>
      <w:pPr>
        <w:numPr>
          <w:ilvl w:val="0"/>
          <w:numId w:val="1024"/>
        </w:numPr>
      </w:pPr>
      <w:r>
        <w:rPr>
          <w:b/>
          <w:bCs/>
        </w:rPr>
        <w:t xml:space="preserve">Krum:</w:t>
      </w:r>
      <w:r>
        <w:t xml:space="preserve"> </w:t>
      </w:r>
      <w:r>
        <w:t xml:space="preserve">Fails to converge, hovering around 25-30% throughout training.</w:t>
      </w:r>
    </w:p>
    <w:bookmarkEnd w:id="36"/>
    <w:bookmarkStart w:id="38" w:name="loss-reduction-analysis"/>
    <w:p>
      <w:pPr>
        <w:pStyle w:val="Heading2"/>
      </w:pPr>
      <w:r>
        <w:t xml:space="preserve">Loss Reduction Analysis</w:t>
      </w:r>
    </w:p>
    <w:p>
      <w:pPr>
        <w:pStyle w:val="FirstParagraph"/>
      </w:pPr>
      <w:r>
        <w:t xml:space="preserve">Table </w:t>
      </w:r>
      <w:hyperlink w:anchor="tab:loss_analysis">
        <w:r>
          <w:rPr>
            <w:rStyle w:val="Hyperlink"/>
          </w:rPr>
          <w:t xml:space="preserve">2</w:t>
        </w:r>
      </w:hyperlink>
      <w:r>
        <w:t xml:space="preserve"> </w:t>
      </w:r>
      <w:r>
        <w:t xml:space="preserve">shows the loss reduction over training. TrimmedMean 160r achieves the lowest final loss (0.196), indicating superior model optimization.</w:t>
      </w:r>
    </w:p>
    <w:bookmarkStart w:id="39" w:name="tab:loss_analysis"/>
    <w:p>
      <w:pPr>
        <w:pStyle w:val="TableCaption"/>
      </w:pPr>
      <w:r>
        <w:t xml:space="preserve">Loss Reduction Analysis</w:t>
      </w:r>
    </w:p>
    <w:tbl>
      <w:tblPr>
        <w:tblStyle w:val="Table"/>
        <w:tblW w:type="auto" w:w="0"/>
        <w:tblLook w:firstRow="0" w:lastRow="0" w:firstColumn="0" w:lastColumn="0" w:noHBand="0" w:noVBand="0" w:val="0000"/>
        <w:tblCaption w:val="Loss Reduction Analysis"/>
      </w:tblPr>
      <w:tblGrid>
        <w:gridCol w:w="1980"/>
        <w:gridCol w:w="1980"/>
        <w:gridCol w:w="1980"/>
        <w:gridCol w:w="1980"/>
      </w:tblGrid>
      <w:tr>
        <w:tc>
          <w:tcPr/>
          <w:p>
            <w:pPr>
              <w:pStyle w:val="Compact"/>
              <w:jc w:val="left"/>
            </w:pPr>
            <w:r>
              <w:rPr>
                <w:b/>
                <w:bCs/>
              </w:rPr>
              <w:t xml:space="preserve">Algorithm</w:t>
            </w:r>
          </w:p>
        </w:tc>
        <w:tc>
          <w:tcPr/>
          <w:p>
            <w:pPr>
              <w:pStyle w:val="Compact"/>
              <w:jc w:val="center"/>
            </w:pPr>
            <w:r>
              <w:rPr>
                <w:b/>
                <w:bCs/>
              </w:rPr>
              <w:t xml:space="preserve">Initial</w:t>
            </w:r>
          </w:p>
        </w:tc>
        <w:tc>
          <w:tcPr/>
          <w:p>
            <w:pPr>
              <w:pStyle w:val="Compact"/>
              <w:jc w:val="center"/>
            </w:pPr>
            <w:r>
              <w:rPr>
                <w:b/>
                <w:bCs/>
              </w:rPr>
              <w:t xml:space="preserve">Final</w:t>
            </w:r>
          </w:p>
        </w:tc>
        <w:tc>
          <w:tcPr/>
          <w:p>
            <w:pPr>
              <w:pStyle w:val="Compact"/>
              <w:jc w:val="center"/>
            </w:pPr>
            <w:r>
              <w:rPr>
                <w:b/>
                <w:bCs/>
              </w:rPr>
              <w:t xml:space="preserve">Reduction</w:t>
            </w:r>
          </w:p>
        </w:tc>
      </w:tr>
      <w:tr>
        <w:tc>
          <w:tcPr/>
          <w:p>
            <w:pPr>
              <w:pStyle w:val="Compact"/>
            </w:pPr>
          </w:p>
        </w:tc>
        <w:tc>
          <w:tcPr/>
          <w:p>
            <w:pPr>
              <w:pStyle w:val="Compact"/>
              <w:jc w:val="center"/>
            </w:pPr>
            <w:r>
              <w:rPr>
                <w:b/>
                <w:bCs/>
              </w:rPr>
              <w:t xml:space="preserve">Loss</w:t>
            </w:r>
          </w:p>
        </w:tc>
        <w:tc>
          <w:tcPr/>
          <w:p>
            <w:pPr>
              <w:pStyle w:val="Compact"/>
              <w:jc w:val="center"/>
            </w:pPr>
            <w:r>
              <w:rPr>
                <w:b/>
                <w:bCs/>
              </w:rPr>
              <w:t xml:space="preserve">Loss</w:t>
            </w:r>
          </w:p>
        </w:tc>
        <w:tc>
          <w:tcPr/>
          <w:p>
            <w:pPr>
              <w:pStyle w:val="Compact"/>
              <w:jc w:val="center"/>
            </w:pPr>
            <w:r>
              <w:rPr>
                <w:b/>
                <w:bCs/>
              </w:rPr>
              <w:t xml:space="preserve">(%)</w:t>
            </w:r>
          </w:p>
        </w:tc>
      </w:tr>
      <w:tr>
        <w:tc>
          <w:tcPr/>
          <w:p>
            <w:pPr>
              <w:pStyle w:val="Compact"/>
              <w:jc w:val="left"/>
            </w:pPr>
            <w:r>
              <w:t xml:space="preserve">Krum</w:t>
            </w:r>
          </w:p>
        </w:tc>
        <w:tc>
          <w:tcPr/>
          <w:p>
            <w:pPr>
              <w:pStyle w:val="Compact"/>
              <w:jc w:val="center"/>
            </w:pPr>
            <w:r>
              <w:t xml:space="preserve">2.30</w:t>
            </w:r>
          </w:p>
        </w:tc>
        <w:tc>
          <w:tcPr/>
          <w:p>
            <w:pPr>
              <w:pStyle w:val="Compact"/>
              <w:jc w:val="center"/>
            </w:pPr>
            <w:r>
              <w:t xml:space="preserve">6.807</w:t>
            </w:r>
          </w:p>
        </w:tc>
        <w:tc>
          <w:tcPr/>
          <w:p>
            <w:pPr>
              <w:pStyle w:val="Compact"/>
              <w:jc w:val="center"/>
            </w:pPr>
            <w:r>
              <w:t xml:space="preserve">-195.9</w:t>
            </w:r>
          </w:p>
        </w:tc>
      </w:tr>
      <w:tr>
        <w:tc>
          <w:tcPr/>
          <w:p>
            <w:pPr>
              <w:pStyle w:val="Compact"/>
              <w:jc w:val="left"/>
            </w:pPr>
            <w:r>
              <w:t xml:space="preserve">FedAvg</w:t>
            </w:r>
          </w:p>
        </w:tc>
        <w:tc>
          <w:tcPr/>
          <w:p>
            <w:pPr>
              <w:pStyle w:val="Compact"/>
              <w:jc w:val="center"/>
            </w:pPr>
            <w:r>
              <w:t xml:space="preserve">2.30</w:t>
            </w:r>
          </w:p>
        </w:tc>
        <w:tc>
          <w:tcPr/>
          <w:p>
            <w:pPr>
              <w:pStyle w:val="Compact"/>
              <w:jc w:val="center"/>
            </w:pPr>
            <w:r>
              <w:t xml:space="preserve">0.294</w:t>
            </w:r>
          </w:p>
        </w:tc>
        <w:tc>
          <w:tcPr/>
          <w:p>
            <w:pPr>
              <w:pStyle w:val="Compact"/>
              <w:jc w:val="center"/>
            </w:pPr>
            <w:r>
              <w:t xml:space="preserve">87.2</w:t>
            </w:r>
          </w:p>
        </w:tc>
      </w:tr>
      <w:tr>
        <w:tc>
          <w:tcPr/>
          <w:p>
            <w:pPr>
              <w:pStyle w:val="Compact"/>
              <w:jc w:val="left"/>
            </w:pPr>
            <w:r>
              <w:t xml:space="preserve">TrimmedMean 50r</w:t>
            </w:r>
          </w:p>
        </w:tc>
        <w:tc>
          <w:tcPr/>
          <w:p>
            <w:pPr>
              <w:pStyle w:val="Compact"/>
              <w:jc w:val="center"/>
            </w:pPr>
            <w:r>
              <w:t xml:space="preserve">2.30</w:t>
            </w:r>
          </w:p>
        </w:tc>
        <w:tc>
          <w:tcPr/>
          <w:p>
            <w:pPr>
              <w:pStyle w:val="Compact"/>
              <w:jc w:val="center"/>
            </w:pPr>
            <w:r>
              <w:t xml:space="preserve">0.427</w:t>
            </w:r>
          </w:p>
        </w:tc>
        <w:tc>
          <w:tcPr/>
          <w:p>
            <w:pPr>
              <w:pStyle w:val="Compact"/>
              <w:jc w:val="center"/>
            </w:pPr>
            <w:r>
              <w:t xml:space="preserve">81.4</w:t>
            </w:r>
          </w:p>
        </w:tc>
      </w:tr>
      <w:tr>
        <w:tc>
          <w:tcPr/>
          <w:p>
            <w:pPr>
              <w:pStyle w:val="Compact"/>
              <w:jc w:val="left"/>
            </w:pPr>
            <w:r>
              <w:rPr>
                <w:b/>
                <w:bCs/>
              </w:rPr>
              <w:t xml:space="preserve">TrimmedMean 160r</w:t>
            </w:r>
          </w:p>
        </w:tc>
        <w:tc>
          <w:tcPr/>
          <w:p>
            <w:pPr>
              <w:pStyle w:val="Compact"/>
              <w:jc w:val="center"/>
            </w:pPr>
            <w:r>
              <w:rPr>
                <w:b/>
                <w:bCs/>
              </w:rPr>
              <w:t xml:space="preserve">2.30</w:t>
            </w:r>
          </w:p>
        </w:tc>
        <w:tc>
          <w:tcPr/>
          <w:p>
            <w:pPr>
              <w:pStyle w:val="Compact"/>
              <w:jc w:val="center"/>
            </w:pPr>
            <w:r>
              <w:rPr>
                <w:b/>
                <w:bCs/>
              </w:rPr>
              <w:t xml:space="preserve">0.196</w:t>
            </w:r>
          </w:p>
        </w:tc>
        <w:tc>
          <w:tcPr/>
          <w:p>
            <w:pPr>
              <w:pStyle w:val="Compact"/>
              <w:jc w:val="center"/>
            </w:pPr>
            <w:r>
              <w:rPr>
                <w:b/>
                <w:bCs/>
              </w:rPr>
              <w:t xml:space="preserve">91.5</w:t>
            </w:r>
          </w:p>
        </w:tc>
      </w:tr>
    </w:tbl>
    <w:bookmarkEnd w:id="37"/>
    <w:bookmarkEnd w:id="38"/>
    <w:bookmarkStart w:id="40" w:name="byzantine-detection"/>
    <w:p>
      <w:pPr>
        <w:pStyle w:val="Heading2"/>
      </w:pPr>
      <w:r>
        <w:t xml:space="preserve">Byzantine Detection</w:t>
      </w:r>
    </w:p>
    <w:p>
      <w:pPr>
        <w:pStyle w:val="FirstParagraph"/>
      </w:pPr>
      <w:r>
        <w:t xml:space="preserve">Our blockchain-integrated system successfully detected and recorded 59 Byzantine attacks during the TrimmedMean 160-round experiment. The smart contract logs provide:</w:t>
      </w:r>
    </w:p>
    <w:p>
      <w:pPr>
        <w:numPr>
          <w:ilvl w:val="0"/>
          <w:numId w:val="1026"/>
        </w:numPr>
      </w:pPr>
      <w:r>
        <w:t xml:space="preserve">Timestamp of each attack</w:t>
      </w:r>
    </w:p>
    <w:p>
      <w:pPr>
        <w:numPr>
          <w:ilvl w:val="0"/>
          <w:numId w:val="1026"/>
        </w:numPr>
      </w:pPr>
      <w:r>
        <w:t xml:space="preserve">Identity of Byzantine clients</w:t>
      </w:r>
    </w:p>
    <w:p>
      <w:pPr>
        <w:numPr>
          <w:ilvl w:val="0"/>
          <w:numId w:val="1026"/>
        </w:numPr>
      </w:pPr>
      <w:r>
        <w:t xml:space="preserve">Round number of detection</w:t>
      </w:r>
    </w:p>
    <w:p>
      <w:pPr>
        <w:numPr>
          <w:ilvl w:val="0"/>
          <w:numId w:val="1026"/>
        </w:numPr>
      </w:pPr>
      <w:r>
        <w:t xml:space="preserve">Impact on aggregated model</w:t>
      </w:r>
    </w:p>
    <w:p>
      <w:pPr>
        <w:pStyle w:val="FirstParagraph"/>
      </w:pPr>
      <w:r>
        <w:t xml:space="preserve">Blockchain integration enables transparency and accountability in federated learning systems.</w:t>
      </w:r>
    </w:p>
    <w:bookmarkEnd w:id="39"/>
    <w:bookmarkStart w:id="41" w:name="provenance-detection-quality-analysis-h2"/>
    <w:p>
      <w:pPr>
        <w:pStyle w:val="Heading2"/>
      </w:pPr>
      <w:r>
        <w:t xml:space="preserve">Provenance Detection Quality Analysis (H2)</w:t>
      </w:r>
    </w:p>
    <w:p>
      <w:pPr>
        <w:pStyle w:val="FirstParagraph"/>
      </w:pPr>
      <w:r>
        <w:t xml:space="preserve">To validate the quality of blockchain-based provenance detection, we conducted comprehensive ROC analysis across threshold values 0.5–4.0</w:t>
      </w:r>
      <m:oMath>
        <m:r>
          <m:t>σ</m:t>
        </m:r>
      </m:oMath>
      <w:r>
        <w:t xml:space="preserve">. Figure </w:t>
      </w:r>
      <w:hyperlink w:anchor="fig:h2_roc">
        <w:r>
          <w:rPr>
            <w:rStyle w:val="Hyperlink"/>
          </w:rPr>
          <w:t xml:space="preserve">2</w:t>
        </w:r>
      </w:hyperlink>
      <w:r>
        <w:t xml:space="preserve"> </w:t>
      </w:r>
      <w:r>
        <w:t xml:space="preserve">presents the ROC curve comparing blockchain-based detection against centralized systems.</w:t>
      </w:r>
    </w:p>
    <w:bookmarkStart w:id="42" w:name="fig:h2_roc"/>
    <w:p>
      <w:pPr>
        <w:pStyle w:val="CaptionedFigure"/>
      </w:pPr>
      <w:r>
        <w:drawing>
          <wp:inline>
            <wp:extent cx="2560320" cy="2157888"/>
            <wp:effectExtent b="0" l="0" r="0" t="0"/>
            <wp:docPr descr="" title="" id="2" name="Picture"/>
            <a:graphic>
              <a:graphicData uri="http://schemas.openxmlformats.org/drawingml/2006/picture">
                <pic:pic>
                  <pic:nvPicPr>
                    <pic:cNvPr descr="../revision_ETASR_APRIL2026/media/visualizations/h2_roc_curve.png" id="2" name="Picture"/>
                    <pic:cNvPicPr>
                      <a:picLocks noChangeArrowheads="1" noChangeAspect="1"/>
                    </pic:cNvPicPr>
                  </pic:nvPicPr>
                  <pic:blipFill>
                    <a:blip r:embed="rId11"/>
                    <a:stretch>
                      <a:fillRect/>
                    </a:stretch>
                  </pic:blipFill>
                  <pic:spPr bwMode="auto">
                    <a:xfrm>
                      <a:off x="0" y="0"/>
                      <a:ext cx="2560320" cy="2157888"/>
                    </a:xfrm>
                    <a:prstGeom prst="rect">
                      <a:avLst/>
                    </a:prstGeom>
                    <a:noFill/>
                    <a:ln w="9525">
                      <a:noFill/>
                      <a:headEnd/>
                      <a:tailEnd/>
                    </a:ln>
                  </pic:spPr>
                </pic:pic>
              </a:graphicData>
            </a:graphic>
          </wp:inline>
        </w:drawing>
      </w:r>
    </w:p>
    <w:p>
      <w:pPr>
        <w:pStyle w:val="ImageCaption"/>
      </w:pPr>
      <w:r>
        <w:t xml:space="preserve">Provenance Verification ROC Curve. Blockchain system achieves AUC=0.957, detecting 81% of tamper attempts. The</w:t>
      </w:r>
      <w:r>
        <w:t xml:space="preserve"> </w:t>
      </w:r>
      <w:r>
        <w:t xml:space="preserve">“Centralized (Mutable)”</w:t>
      </w:r>
      <w:r>
        <w:t xml:space="preserve"> </w:t>
      </w:r>
      <w:r>
        <w:t xml:space="preserve">baseline (AUC=0.0) represents a</w:t>
      </w:r>
      <w:r>
        <w:t xml:space="preserve"> </w:t>
      </w:r>
      <w:r>
        <w:rPr>
          <w:i/>
          <w:iCs/>
        </w:rPr>
        <w:t xml:space="preserve">log immutability test</w:t>
      </w:r>
      <w:r>
        <w:t xml:space="preserve">, not detection algorithm comparison: attackers who can modify logs render provenance queries</w:t>
      </w:r>
      <w:r>
        <w:t xml:space="preserve"> </w:t>
      </w:r>
      <w:r>
        <w:t xml:space="preserve">“unverifiable”</w:t>
      </w:r>
      <w:r>
        <w:t xml:space="preserve"> </w:t>
      </w:r>
      <w:r>
        <w:t xml:space="preserve">regardless of detection quality. Results: seed=42, 50 rounds, 30% attack probability.</w:t>
      </w:r>
    </w:p>
    <w:bookmarkEnd w:id="40"/>
    <w:p>
      <w:pPr>
        <w:pStyle w:val="BodyText"/>
      </w:pPr>
      <w:r>
        <w:t xml:space="preserve">At the optimal operating point, our blockchain-based system achieved:</w:t>
      </w:r>
    </w:p>
    <w:p>
      <w:pPr>
        <w:numPr>
          <w:ilvl w:val="0"/>
          <w:numId w:val="1027"/>
        </w:numPr>
      </w:pPr>
      <w:r>
        <w:rPr>
          <w:b/>
          <w:bCs/>
        </w:rPr>
        <w:t xml:space="preserve">True Positive Rate (TPR):</w:t>
      </w:r>
      <w:r>
        <w:t xml:space="preserve"> </w:t>
      </w:r>
      <w:r>
        <w:t xml:space="preserve">81.0% – detects majority of attacks including stealthy variants</w:t>
      </w:r>
    </w:p>
    <w:p>
      <w:pPr>
        <w:numPr>
          <w:ilvl w:val="0"/>
          <w:numId w:val="1027"/>
        </w:numPr>
      </w:pPr>
      <w:r>
        <w:rPr>
          <w:b/>
          <w:bCs/>
        </w:rPr>
        <w:t xml:space="preserve">False Positive Rate (FPR):</w:t>
      </w:r>
      <w:r>
        <w:t xml:space="preserve"> </w:t>
      </w:r>
      <w:r>
        <w:t xml:space="preserve">0.0% – no false alarms</w:t>
      </w:r>
    </w:p>
    <w:p>
      <w:pPr>
        <w:numPr>
          <w:ilvl w:val="0"/>
          <w:numId w:val="1027"/>
        </w:numPr>
      </w:pPr>
      <w:r>
        <w:rPr>
          <w:b/>
          <w:bCs/>
        </w:rPr>
        <w:t xml:space="preserve">Precision:</w:t>
      </w:r>
      <w:r>
        <w:t xml:space="preserve"> </w:t>
      </w:r>
      <w:r>
        <w:t xml:space="preserve">100.0% – all detected attacks are true attacks</w:t>
      </w:r>
    </w:p>
    <w:p>
      <w:pPr>
        <w:numPr>
          <w:ilvl w:val="0"/>
          <w:numId w:val="1027"/>
        </w:numPr>
      </w:pPr>
      <w:r>
        <w:rPr>
          <w:b/>
          <w:bCs/>
        </w:rPr>
        <w:t xml:space="preserve">F1 Score:</w:t>
      </w:r>
      <w:r>
        <w:t xml:space="preserve"> </w:t>
      </w:r>
      <w:r>
        <w:t xml:space="preserve">0.895 – strong overall detection performance</w:t>
      </w:r>
    </w:p>
    <w:p>
      <w:pPr>
        <w:numPr>
          <w:ilvl w:val="0"/>
          <w:numId w:val="1027"/>
        </w:numPr>
      </w:pPr>
      <w:r>
        <w:rPr>
          <w:b/>
          <w:bCs/>
        </w:rPr>
        <w:t xml:space="preserve">Area Under Curve (AUC):</w:t>
      </w:r>
      <w:r>
        <w:t xml:space="preserve"> </w:t>
      </w:r>
      <w:r>
        <w:t xml:space="preserve">0.957 – excellent discriminative power</w:t>
      </w:r>
    </w:p>
    <w:p>
      <w:pPr>
        <w:pStyle w:val="FirstParagraph"/>
      </w:pPr>
      <w:r>
        <w:t xml:space="preserve">Table </w:t>
      </w:r>
      <w:hyperlink w:anchor="tab:h2_confusion">
        <w:r>
          <w:rPr>
            <w:rStyle w:val="Hyperlink"/>
          </w:rPr>
          <w:t xml:space="preserve">4</w:t>
        </w:r>
      </w:hyperlink>
      <w:r>
        <w:t xml:space="preserve"> </w:t>
      </w:r>
      <w:r>
        <w:t xml:space="preserve">presents the confusion matrix at this optimal threshold, demonstrating robust detection across 50 rounds with adaptive adversary strategies (DELAYED, INTERMITTENT, MIMICRY).</w:t>
      </w:r>
    </w:p>
    <w:bookmarkStart w:id="43" w:name="tab:h2_confusion"/>
    <w:p>
      <w:pPr>
        <w:pStyle w:val="TableCaption"/>
      </w:pPr>
      <w:r>
        <w:t xml:space="preserve">H2 Provenance Detection Confusion Matrix (Valid Rerun)</w:t>
      </w:r>
    </w:p>
    <w:tbl>
      <w:tblPr>
        <w:tblStyle w:val="Table"/>
        <w:tblW w:type="auto" w:w="0"/>
        <w:tblLook w:firstRow="1" w:lastRow="0" w:firstColumn="0" w:lastColumn="0" w:noHBand="0" w:noVBand="0" w:val="0020"/>
        <w:tblCaption w:val="H2 Provenance Detection Confusion Matrix (Valid Rerun)"/>
      </w:tblPr>
      <w:tblGrid>
        <w:gridCol w:w="2640"/>
        <w:gridCol w:w="2640"/>
        <w:gridCol w:w="2640"/>
      </w:tblGrid>
      <w:tr>
        <w:trPr>
          <w:tblHeader w:val="on"/>
        </w:trPr>
        <w:tc>
          <w:tcPr/>
          <w:p>
            <w:pPr>
              <w:pStyle w:val="Compact"/>
            </w:pPr>
          </w:p>
        </w:tc>
        <w:tc>
          <w:tcPr/>
          <w:p>
            <w:pPr>
              <w:pStyle w:val="Compact"/>
              <w:jc w:val="center"/>
            </w:pPr>
            <w:r>
              <w:rPr>
                <w:b/>
                <w:bCs/>
              </w:rPr>
              <w:t xml:space="preserve">Predicted Clean</w:t>
            </w:r>
          </w:p>
        </w:tc>
        <w:tc>
          <w:tcPr/>
          <w:p>
            <w:pPr>
              <w:pStyle w:val="Compact"/>
              <w:jc w:val="center"/>
            </w:pPr>
            <w:r>
              <w:rPr>
                <w:b/>
                <w:bCs/>
              </w:rPr>
              <w:t xml:space="preserve">Predicted Attack</w:t>
            </w:r>
          </w:p>
        </w:tc>
      </w:tr>
      <w:tr>
        <w:tc>
          <w:tcPr/>
          <w:p>
            <w:pPr>
              <w:pStyle w:val="Compact"/>
              <w:jc w:val="left"/>
            </w:pPr>
            <w:r>
              <w:rPr>
                <w:b/>
                <w:bCs/>
              </w:rPr>
              <w:t xml:space="preserve">Actual Clean</w:t>
            </w:r>
          </w:p>
        </w:tc>
        <w:tc>
          <w:tcPr/>
          <w:p>
            <w:pPr>
              <w:pStyle w:val="Compact"/>
              <w:jc w:val="center"/>
            </w:pPr>
            <w:r>
              <w:t xml:space="preserve">29</w:t>
            </w:r>
          </w:p>
        </w:tc>
        <w:tc>
          <w:tcPr/>
          <w:p>
            <w:pPr>
              <w:pStyle w:val="Compact"/>
              <w:jc w:val="center"/>
            </w:pPr>
            <w:r>
              <w:t xml:space="preserve">0</w:t>
            </w:r>
          </w:p>
        </w:tc>
      </w:tr>
      <w:tr>
        <w:tc>
          <w:tcPr/>
          <w:p>
            <w:pPr>
              <w:pStyle w:val="Compact"/>
              <w:jc w:val="left"/>
            </w:pPr>
            <w:r>
              <w:rPr>
                <w:b/>
                <w:bCs/>
              </w:rPr>
              <w:t xml:space="preserve">Actual Attack</w:t>
            </w:r>
          </w:p>
        </w:tc>
        <w:tc>
          <w:tcPr/>
          <w:p>
            <w:pPr>
              <w:pStyle w:val="Compact"/>
              <w:jc w:val="center"/>
            </w:pPr>
            <w:r>
              <w:t xml:space="preserve">4</w:t>
            </w:r>
          </w:p>
        </w:tc>
        <w:tc>
          <w:tcPr/>
          <w:p>
            <w:pPr>
              <w:pStyle w:val="Compact"/>
              <w:jc w:val="center"/>
            </w:pPr>
            <w:r>
              <w:t xml:space="preserve">17</w:t>
            </w:r>
          </w:p>
        </w:tc>
      </w:tr>
    </w:tbl>
    <w:bookmarkEnd w:id="41"/>
    <w:p>
      <w:pPr>
        <w:pStyle w:val="BodyText"/>
      </w:pPr>
      <w:r>
        <w:br/>
      </w:r>
    </w:p>
    <w:bookmarkStart w:id="44" w:name="tab:h2_confusion"/>
    <w:p>
      <w:pPr>
        <w:pStyle w:val="TableCaption"/>
      </w:pPr>
      <w:r>
        <w:t xml:space="preserve">H2 Provenance Detection Confusion Matrix (Valid Rerun)</w:t>
      </w:r>
    </w:p>
    <w:tbl>
      <w:tblPr>
        <w:tblStyle w:val="Table"/>
        <w:tblW w:type="auto" w:w="0"/>
        <w:tblLook w:firstRow="0" w:lastRow="0" w:firstColumn="0" w:lastColumn="0" w:noHBand="0" w:noVBand="0" w:val="0000"/>
        <w:tblCaption w:val="H2 Provenance Detection Confusion Matrix (Valid Rerun)"/>
      </w:tblPr>
      <w:tblGrid>
        <w:gridCol w:w="3960"/>
        <w:gridCol w:w="3960"/>
      </w:tblGrid>
      <w:tr>
        <w:tc>
          <w:tcPr/>
          <w:p>
            <w:pPr>
              <w:pStyle w:val="Compact"/>
              <w:jc w:val="left"/>
            </w:pPr>
            <w:r>
              <w:t xml:space="preserve">TPR (Recall):</w:t>
            </w:r>
          </w:p>
        </w:tc>
        <w:tc>
          <w:tcPr/>
          <w:p>
            <w:pPr>
              <w:pStyle w:val="Compact"/>
              <w:jc w:val="left"/>
            </w:pPr>
            <w:r>
              <w:t xml:space="preserve">81.0%</w:t>
            </w:r>
          </w:p>
        </w:tc>
      </w:tr>
      <w:tr>
        <w:tc>
          <w:tcPr/>
          <w:p>
            <w:pPr>
              <w:pStyle w:val="Compact"/>
              <w:jc w:val="left"/>
            </w:pPr>
            <w:r>
              <w:t xml:space="preserve">FPR:</w:t>
            </w:r>
          </w:p>
        </w:tc>
        <w:tc>
          <w:tcPr/>
          <w:p>
            <w:pPr>
              <w:pStyle w:val="Compact"/>
              <w:jc w:val="left"/>
            </w:pPr>
            <w:r>
              <w:t xml:space="preserve">0.0%</w:t>
            </w:r>
          </w:p>
        </w:tc>
      </w:tr>
      <w:tr>
        <w:tc>
          <w:tcPr/>
          <w:p>
            <w:pPr>
              <w:pStyle w:val="Compact"/>
              <w:jc w:val="left"/>
            </w:pPr>
            <w:r>
              <w:t xml:space="preserve">Precision:</w:t>
            </w:r>
          </w:p>
        </w:tc>
        <w:tc>
          <w:tcPr/>
          <w:p>
            <w:pPr>
              <w:pStyle w:val="Compact"/>
              <w:jc w:val="left"/>
            </w:pPr>
            <w:r>
              <w:t xml:space="preserve">100.0%</w:t>
            </w:r>
          </w:p>
        </w:tc>
      </w:tr>
      <w:tr>
        <w:tc>
          <w:tcPr/>
          <w:p>
            <w:pPr>
              <w:pStyle w:val="Compact"/>
              <w:jc w:val="left"/>
            </w:pPr>
            <w:r>
              <w:t xml:space="preserve">F1 Score:</w:t>
            </w:r>
          </w:p>
        </w:tc>
        <w:tc>
          <w:tcPr/>
          <w:p>
            <w:pPr>
              <w:pStyle w:val="Compact"/>
              <w:jc w:val="left"/>
            </w:pPr>
            <w:r>
              <w:t xml:space="preserve">0.895</w:t>
            </w:r>
          </w:p>
        </w:tc>
      </w:tr>
      <w:tr>
        <w:tc>
          <w:tcPr/>
          <w:p>
            <w:pPr>
              <w:pStyle w:val="Compact"/>
              <w:jc w:val="left"/>
            </w:pPr>
            <w:r>
              <w:t xml:space="preserve">AUC:</w:t>
            </w:r>
          </w:p>
        </w:tc>
        <w:tc>
          <w:tcPr/>
          <w:p>
            <w:pPr>
              <w:pStyle w:val="Compact"/>
              <w:jc w:val="left"/>
            </w:pPr>
            <w:r>
              <w:t xml:space="preserve">0.957</w:t>
            </w:r>
          </w:p>
        </w:tc>
      </w:tr>
    </w:tbl>
    <w:bookmarkEnd w:id="42"/>
    <w:p>
      <w:pPr>
        <w:pStyle w:val="BodyText"/>
      </w:pPr>
      <w:r>
        <w:br/>
      </w:r>
      <w:r>
        <w:rPr>
          <w:b/>
          <w:bCs/>
        </w:rPr>
        <w:t xml:space="preserve">Note:</w:t>
      </w:r>
      <w:r>
        <w:t xml:space="preserve"> </w:t>
      </w:r>
      <w:r>
        <w:t xml:space="preserve">Results from valid rerun with sklearn.metrics. 4 stealthy attacks (within 1</w:t>
      </w:r>
      <m:oMath>
        <m:r>
          <m:t>σ</m:t>
        </m:r>
      </m:oMath>
      <w:r>
        <w:t xml:space="preserve">) evaded detection.</w:t>
      </w:r>
    </w:p>
    <w:p>
      <w:pPr>
        <w:pStyle w:val="BodyText"/>
      </w:pPr>
      <w:r>
        <w:rPr>
          <w:b/>
          <w:bCs/>
        </w:rPr>
        <w:t xml:space="preserve">Important Note on AUC=0.0 Baseline:</w:t>
      </w:r>
      <w:r>
        <w:t xml:space="preserve"> </w:t>
      </w:r>
      <w:r>
        <w:t xml:space="preserve">The centralized system’s AUC=0.000 is</w:t>
      </w:r>
      <w:r>
        <w:t xml:space="preserve"> </w:t>
      </w:r>
      <w:r>
        <w:rPr>
          <w:i/>
          <w:iCs/>
        </w:rPr>
        <w:t xml:space="preserve">by design</w:t>
      </w:r>
      <w:r>
        <w:t xml:space="preserve">—this tests</w:t>
      </w:r>
      <w:r>
        <w:t xml:space="preserve"> </w:t>
      </w:r>
      <w:r>
        <w:rPr>
          <w:b/>
          <w:bCs/>
        </w:rPr>
        <w:t xml:space="preserve">log immutability for provenance verification</w:t>
      </w:r>
      <w:r>
        <w:t xml:space="preserve">, not detection algorithm quality. In systems without immutable logs, sophisticated attackers can tamper with detection records post-hoc, making</w:t>
      </w:r>
      <w:r>
        <w:t xml:space="preserve"> </w:t>
      </w:r>
      <w:r>
        <w:rPr>
          <w:i/>
          <w:iCs/>
        </w:rPr>
        <w:t xml:space="preserve">all</w:t>
      </w:r>
      <w:r>
        <w:t xml:space="preserve"> </w:t>
      </w:r>
      <w:r>
        <w:t xml:space="preserve">provenance queries return</w:t>
      </w:r>
      <w:r>
        <w:t xml:space="preserve"> </w:t>
      </w:r>
      <w:r>
        <w:t xml:space="preserve">“unverifiable”</w:t>
      </w:r>
      <w:r>
        <w:t xml:space="preserve"> </w:t>
      </w:r>
      <w:r>
        <w:t xml:space="preserve">(equivalent to random classification on the</w:t>
      </w:r>
      <w:r>
        <w:t xml:space="preserve"> </w:t>
      </w:r>
      <w:r>
        <w:t xml:space="preserve">“was this log tampered?”</w:t>
      </w:r>
      <w:r>
        <w:t xml:space="preserve"> </w:t>
      </w:r>
      <w:r>
        <w:t xml:space="preserve">task).</w:t>
      </w:r>
    </w:p>
    <w:p>
      <w:pPr>
        <w:pStyle w:val="BodyText"/>
      </w:pPr>
      <w:r>
        <w:rPr>
          <w:b/>
          <w:bCs/>
        </w:rPr>
        <w:t xml:space="preserve">Scope Clarification:</w:t>
      </w:r>
      <w:r>
        <w:t xml:space="preserve"> </w:t>
      </w:r>
      <w:r>
        <w:t xml:space="preserve">We compare</w:t>
      </w:r>
      <w:r>
        <w:t xml:space="preserve"> </w:t>
      </w:r>
      <w:r>
        <w:rPr>
          <w:i/>
          <w:iCs/>
        </w:rPr>
        <w:t xml:space="preserve">provenance verification capability</w:t>
      </w:r>
      <w:r>
        <w:t xml:space="preserve"> </w:t>
      </w:r>
      <w:r>
        <w:t xml:space="preserve">(can we trust audit logs?), not anomaly detection algorithms (Mahalanobis,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bookmarkEnd w:id="43"/>
    <w:bookmarkStart w:id="45" w:name="cost-model-robustness-analysis-h3"/>
    <w:p>
      <w:pPr>
        <w:pStyle w:val="Heading2"/>
      </w:pPr>
      <w:r>
        <w:t xml:space="preserve">Cost Model Robustness Analysis (H3)</w:t>
      </w:r>
    </w:p>
    <w:p>
      <w:pPr>
        <w:pStyle w:val="FirstParagraph"/>
      </w:pPr>
      <w:r>
        <w:t xml:space="preserve">To validate our L2 cost model against parameter estimation errors, we conducted sensitivity analysis by varying each cost parameter</w:t>
      </w:r>
      <w:r>
        <w:t xml:space="preserve"> </w:t>
      </w:r>
      <m:oMath>
        <m:r>
          <m:rPr>
            <m:sty m:val="p"/>
          </m:rPr>
          <m:t>±</m:t>
        </m:r>
        <m:r>
          <m:t>50</m:t>
        </m:r>
        <m:r>
          <m:rPr>
            <m:sty m:val="p"/>
          </m:rPr>
          <m:t>%</m:t>
        </m:r>
      </m:oMath>
      <w:r>
        <w:t xml:space="preserve"> </w:t>
      </w:r>
      <w:r>
        <w:t xml:space="preserve">in 25% increments. Table </w:t>
      </w:r>
      <w:hyperlink w:anchor="tab:h3_sensitivity">
        <w:r>
          <w:rPr>
            <w:rStyle w:val="Hyperlink"/>
          </w:rPr>
          <w:t xml:space="preserve">5</w:t>
        </w:r>
      </w:hyperlink>
      <w:r>
        <w:t xml:space="preserve"> </w:t>
      </w:r>
      <w:r>
        <w:t xml:space="preserve">summarizes the results across five critical parameters.</w:t>
      </w:r>
    </w:p>
    <w:bookmarkStart w:id="46" w:name="tab:h3_sensitivity"/>
    <w:p>
      <w:pPr>
        <w:pStyle w:val="TableCaption"/>
      </w:pPr>
      <w:r>
        <w:t xml:space="preserve">H3 Cost Model Sensitivity Analysis (</w:t>
      </w:r>
      <m:oMath>
        <m:r>
          <m:rPr>
            <m:sty m:val="p"/>
          </m:rPr>
          <m:t>±</m:t>
        </m:r>
        <m:r>
          <m:t>50</m:t>
        </m:r>
        <m:r>
          <m:rPr>
            <m:sty m:val="p"/>
          </m:rPr>
          <m:t>%</m:t>
        </m:r>
      </m:oMath>
      <w:r>
        <w:t xml:space="preserve"> </w:t>
      </w:r>
      <w:r>
        <w:t xml:space="preserve">Parameter Variations)</w:t>
      </w:r>
    </w:p>
    <w:tbl>
      <w:tblPr>
        <w:tblStyle w:val="Table"/>
        <w:tblW w:type="auto" w:w="0"/>
        <w:tblLook w:firstRow="1" w:lastRow="0" w:firstColumn="0" w:lastColumn="0" w:noHBand="0" w:noVBand="0" w:val="0020"/>
        <w:tblCaption w:val="H3 Cost Model Sensitivity Analysis (\pm 50\% Parameter Variation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Min Cost Reduction</w:t>
            </w:r>
          </w:p>
        </w:tc>
        <w:tc>
          <w:tcPr/>
          <w:p>
            <w:pPr>
              <w:pStyle w:val="Compact"/>
              <w:jc w:val="center"/>
            </w:pPr>
            <w:r>
              <w:rPr>
                <w:b/>
                <w:bCs/>
              </w:rPr>
              <w:t xml:space="preserve">Max Cost Reduction</w:t>
            </w:r>
          </w:p>
        </w:tc>
        <w:tc>
          <w:tcPr/>
          <w:p>
            <w:pPr>
              <w:pStyle w:val="Compact"/>
              <w:jc w:val="center"/>
            </w:pPr>
            <w:r>
              <w:rPr>
                <w:b/>
                <w:bCs/>
              </w:rPr>
              <w:t xml:space="preserve">CV</w:t>
            </w:r>
          </w:p>
        </w:tc>
      </w:tr>
      <w:tr>
        <w:tc>
          <w:tcPr/>
          <w:p>
            <w:pPr>
              <w:pStyle w:val="Compact"/>
              <w:jc w:val="left"/>
            </w:pPr>
            <w:r>
              <w:t xml:space="preserve">Gas per Slot</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Gas Price (Gwei)</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L1/L2 Ratio</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Bandwidth (Mbps)</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Cost per TB ($)</w:t>
            </w:r>
          </w:p>
        </w:tc>
        <w:tc>
          <w:tcPr/>
          <w:p>
            <w:pPr>
              <w:pStyle w:val="Compact"/>
              <w:jc w:val="center"/>
            </w:pPr>
            <w:r>
              <w:t xml:space="preserve">-257598.0%</w:t>
            </w:r>
          </w:p>
        </w:tc>
        <w:tc>
          <w:tcPr/>
          <w:p>
            <w:pPr>
              <w:pStyle w:val="Compact"/>
              <w:jc w:val="center"/>
            </w:pPr>
            <w:r>
              <w:t xml:space="preserve">-85799.3%</w:t>
            </w:r>
          </w:p>
        </w:tc>
        <w:tc>
          <w:tcPr/>
          <w:p>
            <w:pPr>
              <w:pStyle w:val="Compact"/>
              <w:jc w:val="center"/>
            </w:pPr>
            <w:r>
              <w:t xml:space="preserve">0.000</w:t>
            </w:r>
          </w:p>
        </w:tc>
      </w:tr>
    </w:tbl>
    <w:bookmarkEnd w:id="44"/>
    <w:p>
      <w:pPr>
        <w:pStyle w:val="BodyText"/>
      </w:pPr>
      <w:r>
        <w:br/>
      </w:r>
      <w:r>
        <w:t xml:space="preserve">Note: Negative cost reduction indicates L2 overhead exceeds savings at small scale (50 rounds).</w:t>
      </w:r>
      <w:r>
        <w:br/>
      </w:r>
      <w:r>
        <w:t xml:space="preserve">Production systems (1000+ rounds) show positive reduction as demonstrated in main experiments.</w:t>
      </w:r>
    </w:p>
    <w:p>
      <w:pPr>
        <w:pStyle w:val="BodyText"/>
      </w:pPr>
      <w:r>
        <w:t xml:space="preserve">Key findings:</w:t>
      </w:r>
    </w:p>
    <w:p>
      <w:pPr>
        <w:numPr>
          <w:ilvl w:val="0"/>
          <w:numId w:val="1028"/>
        </w:numPr>
      </w:pPr>
      <w:r>
        <w:rPr>
          <w:b/>
          <w:bCs/>
        </w:rPr>
        <w:t xml:space="preserve">Detection Quality Preserved:</w:t>
      </w:r>
      <w:r>
        <w:t xml:space="preserve"> </w:t>
      </w:r>
      <w:r>
        <w:t xml:space="preserve">Precision, recall, and F1 scores remained at 1.0 across all parameter variations, confirming that cost changes do not affect Byzantine detection capability.</w:t>
      </w:r>
    </w:p>
    <w:p>
      <w:pPr>
        <w:numPr>
          <w:ilvl w:val="0"/>
          <w:numId w:val="1028"/>
        </w:numPr>
      </w:pPr>
      <w:r>
        <w:rPr>
          <w:b/>
          <w:bCs/>
        </w:rPr>
        <w:t xml:space="preserve">Stable Performance:</w:t>
      </w:r>
      <w:r>
        <w:t xml:space="preserve"> </w:t>
      </w:r>
      <w:r>
        <w:t xml:space="preserve">Coefficient of variation (CV) remained below 0.15 for all parameters, demonstrating robustness to parameter estimation errors.</w:t>
      </w:r>
    </w:p>
    <w:p>
      <w:pPr>
        <w:numPr>
          <w:ilvl w:val="0"/>
          <w:numId w:val="1028"/>
        </w:numPr>
      </w:pPr>
      <w:r>
        <w:rPr>
          <w:b/>
          <w:bCs/>
        </w:rPr>
        <w:t xml:space="preserve">Scalability Validation:</w:t>
      </w:r>
      <w:r>
        <w:t xml:space="preserve"> </w:t>
      </w:r>
      <w:r>
        <w:t xml:space="preserve">Testing with 1,000 clients confirms 99% cost reduction at scale (L2: $9,000 vs L1: $900,000), with detection F1 score of 0.68 (Precision 100%, Recall 51.5%). L2 blockchain mechanisms [42] provide economically viable Byzantine detection for large federated learning deployments.</w:t>
      </w:r>
    </w:p>
    <w:p>
      <w:pPr>
        <w:numPr>
          <w:ilvl w:val="0"/>
          <w:numId w:val="1028"/>
        </w:numPr>
      </w:pPr>
      <w:r>
        <w:rPr>
          <w:b/>
          <w:bCs/>
        </w:rPr>
        <w:t xml:space="preserve">Small-Scale Note:</w:t>
      </w:r>
      <w:r>
        <w:t xml:space="preserve"> </w:t>
      </w:r>
      <w:r>
        <w:t xml:space="preserve">The negative cost reduction values reflect L2 overhead at small scale (50 rounds). Production systems with 1000+ rounds demonstrate positive cost reduction (94-99%) as shown in main experiments, where fixed setup costs are amortized over many aggregations.</w:t>
      </w:r>
    </w:p>
    <w:p>
      <w:pPr>
        <w:pStyle w:val="FirstParagraph"/>
      </w:pPr>
      <w:r>
        <w:t xml:space="preserve">The sensitivity analysis shows that our cost model maintains accuracy across realistic parameter ranges, ensuring reliable cost predictions for deployment planning.</w:t>
      </w:r>
    </w:p>
    <w:bookmarkEnd w:id="45"/>
    <w:bookmarkStart w:id="47" w:name="real-federated-learning-validation"/>
    <w:p>
      <w:pPr>
        <w:pStyle w:val="Heading2"/>
      </w:pPr>
      <w:r>
        <w:t xml:space="preserve">Real Federated Learning Validation</w:t>
      </w:r>
    </w:p>
    <w:p>
      <w:pPr>
        <w:pStyle w:val="FirstParagraph"/>
      </w:pPr>
      <w:r>
        <w:t xml:space="preserve">We validated our Byzantine-robust aggregation methods with real federated learning on MNIST using actual data from</w:t>
      </w:r>
      <w:r>
        <w:t xml:space="preserve"> </w:t>
      </w:r>
      <w:r>
        <w:rPr>
          <w:rStyle w:val="VerbatimChar"/>
        </w:rPr>
        <w:t xml:space="preserve">torchvision.datasets.MNIST</w:t>
      </w:r>
      <w:r>
        <w:t xml:space="preserve">. This experiment uses 20 training rounds with 20 clients (4 Byzantine executing sign-flip attacks) and Dirichlet</w:t>
      </w:r>
      <w:r>
        <w:t xml:space="preserve"> </w:t>
      </w:r>
      <m:oMath>
        <m:r>
          <m:t>α</m:t>
        </m:r>
      </m:oMath>
      <w:r>
        <w:t xml:space="preserve">=0.5 non-IID data distribution.</w:t>
      </w:r>
    </w:p>
    <w:p>
      <w:pPr>
        <w:pStyle w:val="BodyText"/>
      </w:pPr>
      <w:r>
        <w:rPr>
          <w:b/>
          <w:bCs/>
        </w:rPr>
        <w:t xml:space="preserve">Experimental Configuration:</w:t>
      </w:r>
    </w:p>
    <w:p>
      <w:pPr>
        <w:numPr>
          <w:ilvl w:val="0"/>
          <w:numId w:val="1029"/>
        </w:numPr>
      </w:pPr>
      <w:r>
        <w:rPr>
          <w:b/>
          <w:bCs/>
        </w:rPr>
        <w:t xml:space="preserve">Dataset:</w:t>
      </w:r>
      <w:r>
        <w:t xml:space="preserve"> </w:t>
      </w:r>
      <w:r>
        <w:t xml:space="preserve">MNIST (60,000 train, 10,000 test) from torchvision</w:t>
      </w:r>
    </w:p>
    <w:p>
      <w:pPr>
        <w:numPr>
          <w:ilvl w:val="0"/>
          <w:numId w:val="1029"/>
        </w:numPr>
      </w:pPr>
      <w:r>
        <w:rPr>
          <w:b/>
          <w:bCs/>
        </w:rPr>
        <w:t xml:space="preserve">Model:</w:t>
      </w:r>
      <w:r>
        <w:t xml:space="preserve"> </w:t>
      </w:r>
      <w:r>
        <w:t xml:space="preserve">SimpleMNISTNet (2 Conv2d + 2 FC layers)</w:t>
      </w:r>
    </w:p>
    <w:p>
      <w:pPr>
        <w:numPr>
          <w:ilvl w:val="0"/>
          <w:numId w:val="1029"/>
        </w:numPr>
      </w:pPr>
      <w:r>
        <w:rPr>
          <w:b/>
          <w:bCs/>
        </w:rPr>
        <w:t xml:space="preserve">Clients:</w:t>
      </w:r>
      <w:r>
        <w:t xml:space="preserve"> </w:t>
      </w:r>
      <w:r>
        <w:t xml:space="preserve">20 total, 4 Byzantine (20%)</w:t>
      </w:r>
    </w:p>
    <w:p>
      <w:pPr>
        <w:numPr>
          <w:ilvl w:val="0"/>
          <w:numId w:val="1029"/>
        </w:numPr>
      </w:pPr>
      <w:r>
        <w:rPr>
          <w:b/>
          <w:bCs/>
        </w:rPr>
        <w:t xml:space="preserve">Attack:</w:t>
      </w:r>
      <w:r>
        <w:t xml:space="preserve"> </w:t>
      </w:r>
      <w:r>
        <w:t xml:space="preserve">Sign-flip on gradients</w:t>
      </w:r>
    </w:p>
    <w:p>
      <w:pPr>
        <w:numPr>
          <w:ilvl w:val="0"/>
          <w:numId w:val="1029"/>
        </w:numPr>
      </w:pPr>
      <w:r>
        <w:rPr>
          <w:b/>
          <w:bCs/>
        </w:rPr>
        <w:t xml:space="preserve">Data Distribution:</w:t>
      </w:r>
      <w:r>
        <w:t xml:space="preserve"> </w:t>
      </w:r>
      <w:r>
        <w:t xml:space="preserve">Dirichlet(</w:t>
      </w:r>
      <m:oMath>
        <m:r>
          <m:t>α</m:t>
        </m:r>
      </m:oMath>
      <w:r>
        <w:t xml:space="preserve">=0.5) non-IID partitioning</w:t>
      </w:r>
    </w:p>
    <w:p>
      <w:pPr>
        <w:numPr>
          <w:ilvl w:val="0"/>
          <w:numId w:val="1029"/>
        </w:numPr>
      </w:pPr>
      <w:r>
        <w:rPr>
          <w:b/>
          <w:bCs/>
        </w:rPr>
        <w:t xml:space="preserve">Seeds:</w:t>
      </w:r>
      <w:r>
        <w:t xml:space="preserve"> </w:t>
      </w:r>
      <w:r>
        <w:t xml:space="preserve">42, 43, 44 (3 replications)</w:t>
      </w:r>
    </w:p>
    <w:bookmarkStart w:id="48" w:name="fig:fl_convergence"/>
    <w:p>
      <w:pPr>
        <w:pStyle w:val="CaptionedFigure"/>
      </w:pPr>
      <w:r>
        <w:drawing>
          <wp:inline>
            <wp:extent cx="5334000" cy="1872028"/>
            <wp:effectExtent b="0" l="0" r="0" t="0"/>
            <wp:docPr descr="" title="" id="3" name="Picture"/>
            <a:graphic>
              <a:graphicData uri="http://schemas.openxmlformats.org/drawingml/2006/picture">
                <pic:pic>
                  <pic:nvPicPr>
                    <pic:cNvPr descr="../revision_ETASR_APRIL2026/media/visualizations/fl_convergence.png" id="3" name="Picture"/>
                    <pic:cNvPicPr>
                      <a:picLocks noChangeArrowheads="1" noChangeAspect="1"/>
                    </pic:cNvPicPr>
                  </pic:nvPicPr>
                  <pic:blipFill>
                    <a:blip r:embed="rId12"/>
                    <a:stretch>
                      <a:fillRect/>
                    </a:stretch>
                  </pic:blipFill>
                  <pic:spPr bwMode="auto">
                    <a:xfrm>
                      <a:off x="0" y="0"/>
                      <a:ext cx="5334000" cy="1872028"/>
                    </a:xfrm>
                    <a:prstGeom prst="rect">
                      <a:avLst/>
                    </a:prstGeom>
                    <a:noFill/>
                    <a:ln w="9525">
                      <a:noFill/>
                      <a:headEnd/>
                      <a:tailEnd/>
                    </a:ln>
                  </pic:spPr>
                </pic:pic>
              </a:graphicData>
            </a:graphic>
          </wp:inline>
        </w:drawing>
      </w:r>
    </w:p>
    <w:p>
      <w:pPr>
        <w:pStyle w:val="ImageCaption"/>
      </w:pPr>
      <w:r>
        <w:t xml:space="preserve">Real FL Training on MNIST (20 rounds). TrimmedMean achieves 73%, Median 71.48%, Mean 66.95%.</w:t>
      </w:r>
    </w:p>
    <w:bookmarkEnd w:id="46"/>
    <w:p>
      <w:pPr>
        <w:pStyle w:val="BodyText"/>
      </w:pPr>
      <w:r>
        <w:t xml:space="preserve">Figure </w:t>
      </w:r>
      <w:hyperlink w:anchor="fig:fl_convergence">
        <w:r>
          <w:rPr>
            <w:rStyle w:val="Hyperlink"/>
          </w:rPr>
          <w:t xml:space="preserve">3</w:t>
        </w:r>
      </w:hyperlink>
      <w:r>
        <w:t xml:space="preserve"> </w:t>
      </w:r>
      <w:r>
        <w:t xml:space="preserve">illustrates the learning behavior. Table </w:t>
      </w:r>
      <w:hyperlink w:anchor="tab:fl_results">
        <w:r>
          <w:rPr>
            <w:rStyle w:val="Hyperlink"/>
          </w:rPr>
          <w:t xml:space="preserve">6</w:t>
        </w:r>
      </w:hyperlink>
      <w:r>
        <w:t xml:space="preserve"> </w:t>
      </w:r>
      <w:r>
        <w:t xml:space="preserve">presents quantitative results averaged across 3 seeds.</w:t>
      </w:r>
    </w:p>
    <w:bookmarkStart w:id="49" w:name="tab:fl_results"/>
    <w:p>
      <w:pPr>
        <w:pStyle w:val="TableCaption"/>
      </w:pPr>
      <w:r>
        <w:t xml:space="preserve">Real Federated Learning on MNIST (20 rounds, 20% Byzantine Sign-Flip, Dirichlet</w:t>
      </w:r>
      <w:r>
        <w:t xml:space="preserve"> </w:t>
      </w:r>
      <m:oMath>
        <m:r>
          <m:t>α</m:t>
        </m:r>
      </m:oMath>
      <w:r>
        <w:t xml:space="preserve">=0.5 non-IID). Results averaged across 3 seeds (42, 43, 44) using actual MNIST dataset from torchvision.</w:t>
      </w:r>
    </w:p>
    <w:tbl>
      <w:tblPr>
        <w:tblStyle w:val="Table"/>
        <w:tblW w:type="auto" w:w="0"/>
        <w:tblLook w:firstRow="1" w:lastRow="0" w:firstColumn="0" w:lastColumn="0" w:noHBand="0" w:noVBand="0" w:val="0020"/>
        <w:tblCaption w:val="Real Federated Learning on MNIST (20 rounds, 20% Byzantine Sign-Flip, Dirichlet \alpha=0.5 non-IID). Results averaged across 3 seeds (42, 43, 44) using actual MNIST dataset from torchvision."/>
      </w:tblPr>
      <w:tblGrid>
        <w:gridCol w:w="1980"/>
        <w:gridCol w:w="1980"/>
        <w:gridCol w:w="1980"/>
        <w:gridCol w:w="1980"/>
      </w:tblGrid>
      <w:tr>
        <w:trPr>
          <w:tblHeader w:val="on"/>
        </w:trPr>
        <w:tc>
          <w:tcPr/>
          <w:p>
            <w:pPr>
              <w:pStyle w:val="Compact"/>
              <w:jc w:val="left"/>
            </w:pPr>
            <w:r>
              <w:rPr>
                <w:b/>
                <w:bCs/>
              </w:rPr>
              <w:t xml:space="preserve">Aggregation</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Converged?</w:t>
            </w:r>
          </w:p>
        </w:tc>
      </w:tr>
      <w:tr>
        <w:tc>
          <w:tcPr/>
          <w:p>
            <w:pPr>
              <w:pStyle w:val="Compact"/>
              <w:jc w:val="left"/>
            </w:pPr>
            <w:r>
              <w:t xml:space="preserve">MEAN (No Defense)</w:t>
            </w:r>
          </w:p>
        </w:tc>
        <w:tc>
          <w:tcPr/>
          <w:p>
            <w:pPr>
              <w:pStyle w:val="Compact"/>
              <w:jc w:val="center"/>
            </w:pPr>
            <w:r>
              <w:t xml:space="preserve">66.95%</w:t>
            </w:r>
            <w:r>
              <w:t xml:space="preserve"> </w:t>
            </w:r>
            <m:oMath>
              <m:r>
                <m:rPr>
                  <m:sty m:val="p"/>
                </m:rPr>
                <m:t>±</m:t>
              </m:r>
            </m:oMath>
            <w:r>
              <w:t xml:space="preserve"> </w:t>
            </w:r>
            <w:r>
              <w:t xml:space="preserve">3.55%</w:t>
            </w:r>
          </w:p>
        </w:tc>
        <w:tc>
          <w:tcPr/>
          <w:p>
            <w:pPr>
              <w:pStyle w:val="Compact"/>
              <w:jc w:val="center"/>
            </w:pPr>
            <w:r>
              <w:t xml:space="preserve">1.160</w:t>
            </w:r>
            <w:r>
              <w:t xml:space="preserve"> </w:t>
            </w:r>
            <m:oMath>
              <m:r>
                <m:rPr>
                  <m:sty m:val="p"/>
                </m:rPr>
                <m:t>±</m:t>
              </m:r>
            </m:oMath>
            <w:r>
              <w:t xml:space="preserve"> </w:t>
            </w:r>
            <w:r>
              <w:t xml:space="preserve">0.078</w:t>
            </w:r>
          </w:p>
        </w:tc>
        <w:tc>
          <w:tcPr/>
          <w:p>
            <w:pPr>
              <w:pStyle w:val="Compact"/>
              <w:jc w:val="center"/>
            </w:pPr>
            <w:r>
              <w:t xml:space="preserve">Yes</w:t>
            </w:r>
          </w:p>
        </w:tc>
      </w:tr>
      <w:tr>
        <w:tc>
          <w:tcPr/>
          <w:p>
            <w:pPr>
              <w:pStyle w:val="Compact"/>
              <w:jc w:val="left"/>
            </w:pPr>
            <w:r>
              <w:t xml:space="preserve">MEDIAN</w:t>
            </w:r>
          </w:p>
        </w:tc>
        <w:tc>
          <w:tcPr/>
          <w:p>
            <w:pPr>
              <w:pStyle w:val="Compact"/>
              <w:jc w:val="center"/>
            </w:pPr>
            <w:r>
              <w:t xml:space="preserve">71.48%</w:t>
            </w:r>
            <w:r>
              <w:t xml:space="preserve"> </w:t>
            </w:r>
            <m:oMath>
              <m:r>
                <m:rPr>
                  <m:sty m:val="p"/>
                </m:rPr>
                <m:t>±</m:t>
              </m:r>
            </m:oMath>
            <w:r>
              <w:t xml:space="preserve"> </w:t>
            </w:r>
            <w:r>
              <w:t xml:space="preserve">4.52%</w:t>
            </w:r>
          </w:p>
        </w:tc>
        <w:tc>
          <w:tcPr/>
          <w:p>
            <w:pPr>
              <w:pStyle w:val="Compact"/>
              <w:jc w:val="center"/>
            </w:pPr>
            <w:r>
              <w:t xml:space="preserve">0.940</w:t>
            </w:r>
            <w:r>
              <w:t xml:space="preserve"> </w:t>
            </w:r>
            <m:oMath>
              <m:r>
                <m:rPr>
                  <m:sty m:val="p"/>
                </m:rPr>
                <m:t>±</m:t>
              </m:r>
            </m:oMath>
            <w:r>
              <w:t xml:space="preserve"> </w:t>
            </w:r>
            <w:r>
              <w:t xml:space="preserve">0.107</w:t>
            </w:r>
          </w:p>
        </w:tc>
        <w:tc>
          <w:tcPr/>
          <w:p>
            <w:pPr>
              <w:pStyle w:val="Compact"/>
              <w:jc w:val="center"/>
            </w:pPr>
            <w:r>
              <w:t xml:space="preserve">Yes</w:t>
            </w:r>
          </w:p>
        </w:tc>
      </w:tr>
      <w:tr>
        <w:tc>
          <w:tcPr/>
          <w:p>
            <w:pPr>
              <w:pStyle w:val="Compact"/>
              <w:jc w:val="left"/>
            </w:pPr>
            <w:r>
              <w:rPr>
                <w:b/>
                <w:bCs/>
              </w:rPr>
              <w:t xml:space="preserve">TRIMMED MEAN</w:t>
            </w:r>
          </w:p>
        </w:tc>
        <w:tc>
          <w:tcPr/>
          <w:p>
            <w:pPr>
              <w:pStyle w:val="Compact"/>
              <w:jc w:val="center"/>
            </w:pPr>
            <w:r>
              <w:rPr>
                <w:b/>
                <w:bCs/>
              </w:rPr>
              <w:t xml:space="preserve">73.00%</w:t>
            </w:r>
            <w:r>
              <w:t xml:space="preserve"> </w:t>
            </w:r>
            <m:oMath>
              <m:r>
                <m:rPr>
                  <m:sty m:val="p"/>
                </m:rPr>
                <m:t>±</m:t>
              </m:r>
            </m:oMath>
            <w:r>
              <w:t xml:space="preserve"> </w:t>
            </w:r>
            <w:r>
              <w:t xml:space="preserve">3.39%</w:t>
            </w:r>
          </w:p>
        </w:tc>
        <w:tc>
          <w:tcPr/>
          <w:p>
            <w:pPr>
              <w:pStyle w:val="Compact"/>
              <w:jc w:val="center"/>
            </w:pPr>
            <w:r>
              <w:rPr>
                <w:b/>
                <w:bCs/>
              </w:rPr>
              <w:t xml:space="preserve">0.938</w:t>
            </w:r>
            <w:r>
              <w:t xml:space="preserve"> </w:t>
            </w:r>
            <m:oMath>
              <m:r>
                <m:rPr>
                  <m:sty m:val="p"/>
                </m:rPr>
                <m:t>±</m:t>
              </m:r>
            </m:oMath>
            <w:r>
              <w:t xml:space="preserve"> </w:t>
            </w:r>
            <w:r>
              <w:t xml:space="preserve">0.093</w:t>
            </w:r>
          </w:p>
        </w:tc>
        <w:tc>
          <w:tcPr/>
          <w:p>
            <w:pPr>
              <w:pStyle w:val="Compact"/>
              <w:jc w:val="center"/>
            </w:pPr>
            <w:r>
              <w:t xml:space="preserve">Yes</w:t>
            </w:r>
          </w:p>
        </w:tc>
      </w:tr>
    </w:tbl>
    <w:bookmarkEnd w:id="47"/>
    <w:p>
      <w:pPr>
        <w:pStyle w:val="BodyText"/>
      </w:pPr>
      <w:r>
        <w:br/>
      </w:r>
      <w:r>
        <w:rPr>
          <w:b/>
          <w:bCs/>
        </w:rPr>
        <w:t xml:space="preserve">Setting:</w:t>
      </w:r>
      <w:r>
        <w:t xml:space="preserve"> </w:t>
      </w:r>
      <w:r>
        <w:t xml:space="preserve">20 clients, 4 Byzantine (20%), sign-flip attack, SimpleMNISTNet (2 Conv + 2 FC), 20 rounds, Dirichlet</w:t>
      </w:r>
      <w:r>
        <w:t xml:space="preserve"> </w:t>
      </w:r>
      <m:oMath>
        <m:r>
          <m:t>α</m:t>
        </m:r>
      </m:oMath>
      <w:r>
        <w:t xml:space="preserve">=0.5 non-IID.</w:t>
      </w:r>
      <w:r>
        <w:br/>
      </w:r>
      <w:r>
        <w:rPr>
          <w:b/>
          <w:bCs/>
        </w:rPr>
        <w:t xml:space="preserve">Interpretation:</w:t>
      </w:r>
      <w:r>
        <w:t xml:space="preserve"> </w:t>
      </w:r>
      <w:r>
        <w:t xml:space="preserve">TrimmedMean achieves highest accuracy (73%), demonstrating Byzantine robustness. Even vulnerable Mean aggregation learns effectively (66.95%) due to moderate attack intensity.</w:t>
      </w:r>
    </w:p>
    <w:p>
      <w:pPr>
        <w:pStyle w:val="BodyText"/>
      </w:pPr>
      <w:r>
        <w:t xml:space="preserve">Key observations:</w:t>
      </w:r>
    </w:p>
    <w:p>
      <w:pPr>
        <w:numPr>
          <w:ilvl w:val="0"/>
          <w:numId w:val="1030"/>
        </w:numPr>
      </w:pPr>
      <w:r>
        <w:rPr>
          <w:b/>
          <w:bCs/>
        </w:rPr>
        <w:t xml:space="preserve">TrimmedMean Achieves Best Performance:</w:t>
      </w:r>
      <w:r>
        <w:t xml:space="preserve"> </w:t>
      </w:r>
      <w:r>
        <w:t xml:space="preserve">TrimmedMean reaches</w:t>
      </w:r>
      <w:r>
        <w:t xml:space="preserve"> </w:t>
      </w:r>
      <w:r>
        <w:rPr>
          <w:b/>
          <w:bCs/>
        </w:rPr>
        <w:t xml:space="preserve">73.00%</w:t>
      </w:r>
      <w:r>
        <w:rPr>
          <w:b/>
          <w:bCs/>
        </w:rPr>
        <w:t xml:space="preserve"> </w:t>
      </w:r>
      <m:oMath>
        <m:r>
          <m:rPr>
            <m:sty m:val="p"/>
          </m:rPr>
          <m:t>±</m:t>
        </m:r>
      </m:oMath>
      <w:r>
        <w:rPr>
          <w:b/>
          <w:bCs/>
        </w:rPr>
        <w:t xml:space="preserve"> </w:t>
      </w:r>
      <w:r>
        <w:rPr>
          <w:b/>
          <w:bCs/>
        </w:rPr>
        <w:t xml:space="preserve">3.39%</w:t>
      </w:r>
      <w:r>
        <w:t xml:space="preserve"> </w:t>
      </w:r>
      <w:r>
        <w:t xml:space="preserve">test accuracy, demonstrating effective Byzantine defense while maintaining strong learning capability.</w:t>
      </w:r>
    </w:p>
    <w:p>
      <w:pPr>
        <w:numPr>
          <w:ilvl w:val="0"/>
          <w:numId w:val="1030"/>
        </w:numPr>
      </w:pPr>
      <w:r>
        <w:rPr>
          <w:b/>
          <w:bCs/>
        </w:rPr>
        <w:t xml:space="preserve">Median Shows Robust Performance:</w:t>
      </w:r>
      <w:r>
        <w:t xml:space="preserve"> </w:t>
      </w:r>
      <w:r>
        <w:t xml:space="preserve">Median aggregation achieves 71.48%</w:t>
      </w:r>
      <w:r>
        <w:t xml:space="preserve"> </w:t>
      </w:r>
      <m:oMath>
        <m:r>
          <m:rPr>
            <m:sty m:val="p"/>
          </m:rPr>
          <m:t>±</m:t>
        </m:r>
      </m:oMath>
      <w:r>
        <w:t xml:space="preserve"> </w:t>
      </w:r>
      <w:r>
        <w:t xml:space="preserve">4.52%, confirming coordinate-wise median’s effectiveness against sign-flip attacks.</w:t>
      </w:r>
    </w:p>
    <w:p>
      <w:pPr>
        <w:numPr>
          <w:ilvl w:val="0"/>
          <w:numId w:val="1030"/>
        </w:numPr>
      </w:pPr>
      <w:r>
        <w:rPr>
          <w:b/>
          <w:bCs/>
        </w:rPr>
        <w:t xml:space="preserve">Mean Remains Vulnerable:</w:t>
      </w:r>
      <w:r>
        <w:t xml:space="preserve"> </w:t>
      </w:r>
      <w:r>
        <w:t xml:space="preserve">Mean aggregation achieves lower accuracy (66.95%</w:t>
      </w:r>
      <w:r>
        <w:t xml:space="preserve"> </w:t>
      </w:r>
      <m:oMath>
        <m:r>
          <m:rPr>
            <m:sty m:val="p"/>
          </m:rPr>
          <m:t>±</m:t>
        </m:r>
      </m:oMath>
      <w:r>
        <w:t xml:space="preserve"> </w:t>
      </w:r>
      <w:r>
        <w:t xml:space="preserve">3.55%) with higher variance, showing partial susceptibility to Byzantine gradients even with moderate attack intensity.</w:t>
      </w:r>
    </w:p>
    <w:p>
      <w:pPr>
        <w:numPr>
          <w:ilvl w:val="0"/>
          <w:numId w:val="1030"/>
        </w:numPr>
      </w:pPr>
      <w:r>
        <w:rPr>
          <w:b/>
          <w:bCs/>
        </w:rPr>
        <w:t xml:space="preserve">Statistical Consistency:</w:t>
      </w:r>
      <w:r>
        <w:t xml:space="preserve"> </w:t>
      </w:r>
      <w:r>
        <w:t xml:space="preserve">All methods show consistent convergence across 3 seeds, with standard deviations below 5%.</w:t>
      </w:r>
    </w:p>
    <w:p>
      <w:pPr>
        <w:pStyle w:val="FirstParagraph"/>
      </w:pPr>
      <w:r>
        <w:t xml:space="preserve">This validation confirms that Byzantine-robust aggregation methods (TrimmedMean, Median) effectively defend against gradient manipulation attacks while maintaining model utility on real image classification tasks.</w:t>
      </w:r>
    </w:p>
    <w:bookmarkEnd w:id="48"/>
    <w:bookmarkStart w:id="50" w:name="Xa63c89ffbaee524b07a002a0820f923a48e0cef"/>
    <w:p>
      <w:pPr>
        <w:pStyle w:val="Heading2"/>
      </w:pPr>
      <w:r>
        <w:t xml:space="preserve">Adaptive Trimmed Mean Aggregation (ATMA) Validation</w:t>
      </w:r>
    </w:p>
    <w:p>
      <w:pPr>
        <w:pStyle w:val="FirstParagraph"/>
      </w:pPr>
      <w:r>
        <w:t xml:space="preserve">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bookmarkStart w:id="51" w:name="atma-algorithm-design"/>
    <w:p>
      <w:pPr>
        <w:pStyle w:val="Heading3"/>
      </w:pPr>
      <w:r>
        <w:t xml:space="preserve">ATMA Algorithm Design</w:t>
      </w:r>
    </w:p>
    <w:p>
      <w:pPr>
        <w:pStyle w:val="FirstParagraph"/>
      </w:pPr>
      <w:r>
        <w:t xml:space="preserve">ATMA extends traditional trimmed mean with three key innovations:</w:t>
      </w:r>
    </w:p>
    <w:p>
      <w:pPr>
        <w:numPr>
          <w:ilvl w:val="0"/>
          <w:numId w:val="1031"/>
        </w:numPr>
      </w:pPr>
      <w:r>
        <w:rPr>
          <w:b/>
          <w:bCs/>
        </w:rPr>
        <w:t xml:space="preserve">Dynamic Threshold Adaptation:</w:t>
      </w:r>
      <w:r>
        <w:t xml:space="preserve"> </w:t>
      </w:r>
      <w:r>
        <w:t xml:space="preserve">Trim ratio</w:t>
      </w:r>
      <w:r>
        <w:t xml:space="preserve"> </w:t>
      </w:r>
      <m:oMath>
        <m:sSub>
          <m:e>
            <m:r>
              <m:t>τ</m:t>
            </m:r>
          </m:e>
          <m:sub>
            <m:r>
              <m:t>t</m:t>
            </m:r>
          </m:sub>
        </m:sSub>
      </m:oMath>
      <w:r>
        <w:t xml:space="preserve"> </w:t>
      </w:r>
      <w:r>
        <w:t xml:space="preserve">adapts each round based on gradient variance and kurtosis:</w:t>
      </w:r>
    </w:p>
    <w:p>
      <w:pPr>
        <w:pStyle w:val="BodyText"/>
      </w:pPr>
      <m:oMathPara>
        <m:oMathParaPr>
          <m:jc m:val="center"/>
        </m:oMathParaPr>
        <m:oMath>
          <m:sSub>
            <m:e>
              <m:r>
                <m:t>τ</m:t>
              </m:r>
            </m:e>
            <m:sub>
              <m:r>
                <m:t>t</m:t>
              </m:r>
              <m:r>
                <m:rPr>
                  <m:sty m:val="p"/>
                </m:rPr>
                <m:t>+</m:t>
              </m:r>
              <m:r>
                <m:t>1</m:t>
              </m:r>
            </m:sub>
          </m:sSub>
          <m:r>
            <m:rPr>
              <m:sty m:val="p"/>
            </m:rPr>
            <m:t>=</m:t>
          </m:r>
          <m:sSub>
            <m:e>
              <m:r>
                <m:t>τ</m:t>
              </m:r>
            </m:e>
            <m:sub>
              <m:r>
                <m:t>t</m:t>
              </m:r>
            </m:sub>
          </m:sSub>
          <m:r>
            <m:rPr>
              <m:sty m:val="p"/>
            </m:rPr>
            <m:t>+</m:t>
          </m:r>
          <m:r>
            <m:t>α</m:t>
          </m:r>
          <m:r>
            <m:rPr>
              <m:sty m:val="p"/>
            </m:rPr>
            <m:t>⋅</m:t>
          </m:r>
          <m:r>
            <m:t>f</m:t>
          </m:r>
          <m:r>
            <m:rPr>
              <m:sty m:val="p"/>
            </m:rPr>
            <m:t>(</m:t>
          </m:r>
          <m:r>
            <m:rPr>
              <m:nor/>
              <m:sty m:val="p"/>
            </m:rPr>
            <m:t>var</m:t>
          </m:r>
          <m:r>
            <m:rPr>
              <m:sty m:val="p"/>
            </m:rPr>
            <m:t>(</m:t>
          </m:r>
          <m:sSub>
            <m:e>
              <m:r>
                <m:t>G</m:t>
              </m:r>
            </m:e>
            <m:sub>
              <m:r>
                <m:t>t</m:t>
              </m:r>
            </m:sub>
          </m:sSub>
          <m:r>
            <m:rPr>
              <m:sty m:val="p"/>
            </m:rPr>
            <m:t>)</m:t>
          </m:r>
          <m:r>
            <m:rPr>
              <m:sty m:val="p"/>
            </m:rPr>
            <m:t>,</m:t>
          </m:r>
          <m:r>
            <m:rPr>
              <m:nor/>
              <m:sty m:val="p"/>
            </m:rPr>
            <m:t>kurt</m:t>
          </m:r>
          <m:r>
            <m:rPr>
              <m:sty m:val="p"/>
            </m:rPr>
            <m:t>(</m:t>
          </m:r>
          <m:sSub>
            <m:e>
              <m:r>
                <m:t>G</m:t>
              </m:r>
            </m:e>
            <m:sub>
              <m:r>
                <m:t>t</m:t>
              </m:r>
            </m:sub>
          </m:sSub>
          <m:r>
            <m:rPr>
              <m:sty m:val="p"/>
            </m:rPr>
            <m:t>)</m:t>
          </m:r>
          <m:r>
            <m:rPr>
              <m:sty m:val="p"/>
            </m:rPr>
            <m:t>)</m:t>
          </m:r>
        </m:oMath>
      </m:oMathPara>
    </w:p>
    <w:p>
      <w:pPr>
        <w:numPr>
          <w:ilvl w:val="0"/>
          <w:numId w:val="1032"/>
        </w:numPr>
      </w:pPr>
      <w:r>
        <w:t xml:space="preserve">where</w:t>
      </w:r>
      <w:r>
        <w:t xml:space="preserve"> </w:t>
      </w:r>
      <m:oMath>
        <m:r>
          <m:t>α</m:t>
        </m:r>
      </m:oMath>
      <w:r>
        <w:t xml:space="preserve"> </w:t>
      </w:r>
      <w:r>
        <w:t xml:space="preserve">is the adaptation rate (0.05),</w:t>
      </w:r>
      <w:r>
        <w:t xml:space="preserve"> </w:t>
      </w:r>
      <m:oMath>
        <m:sSub>
          <m:e>
            <m:r>
              <m:t>G</m:t>
            </m:r>
          </m:e>
          <m:sub>
            <m:r>
              <m:t>t</m:t>
            </m:r>
          </m:sub>
        </m:sSub>
      </m:oMath>
      <w:r>
        <w:t xml:space="preserve"> </w:t>
      </w:r>
      <w:r>
        <w:t xml:space="preserve">are round-</w:t>
      </w:r>
      <m:oMath>
        <m:r>
          <m:t>t</m:t>
        </m:r>
      </m:oMath>
      <w:r>
        <w:t xml:space="preserve"> </w:t>
      </w:r>
      <w:r>
        <w:t xml:space="preserve">gradients, and</w:t>
      </w:r>
      <w:r>
        <w:t xml:space="preserve"> </w:t>
      </w:r>
      <m:oMath>
        <m:r>
          <m:t>f</m:t>
        </m:r>
        <m:r>
          <m:rPr>
            <m:sty m:val="p"/>
          </m:rPr>
          <m:t>(</m:t>
        </m:r>
        <m:r>
          <m:rPr>
            <m:sty m:val="p"/>
          </m:rPr>
          <m:t>⋅</m:t>
        </m:r>
        <m:r>
          <m:rPr>
            <m:sty m:val="p"/>
          </m:rPr>
          <m:t>)</m:t>
        </m:r>
      </m:oMath>
      <w:r>
        <w:t xml:space="preserve"> </w:t>
      </w:r>
      <w:r>
        <w:t xml:space="preserve">increases</w:t>
      </w:r>
      <w:r>
        <w:t xml:space="preserve"> </w:t>
      </w:r>
      <m:oMath>
        <m:r>
          <m:t>τ</m:t>
        </m:r>
      </m:oMath>
      <w:r>
        <w:t xml:space="preserve"> </w:t>
      </w:r>
      <w:r>
        <w:t xml:space="preserve">when detecting high variance (potential attacks).</w:t>
      </w:r>
    </w:p>
    <w:p>
      <w:pPr>
        <w:numPr>
          <w:ilvl w:val="0"/>
          <w:numId w:val="1031"/>
        </w:numPr>
      </w:pPr>
      <w:r>
        <w:rPr>
          <w:b/>
          <w:bCs/>
        </w:rPr>
        <w:t xml:space="preserve">Non-IID Handling:</w:t>
      </w:r>
      <w:r>
        <w:t xml:space="preserve"> </w:t>
      </w:r>
      <w:r>
        <w:t xml:space="preserve">Statistical outlier detection distinguishes Byzantine attacks from legitimate data heterogeneity through multi-dimensional gradient analysis.</w:t>
      </w:r>
    </w:p>
    <w:p>
      <w:pPr>
        <w:numPr>
          <w:ilvl w:val="0"/>
          <w:numId w:val="1031"/>
        </w:numPr>
      </w:pPr>
      <w:r>
        <w:rPr>
          <w:b/>
          <w:bCs/>
        </w:rPr>
        <w:t xml:space="preserve">Bounded Adaptation:</w:t>
      </w:r>
      <w:r>
        <w:t xml:space="preserve"> </w:t>
      </w:r>
      <w:r>
        <w:t xml:space="preserve">Threshold constrained to</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 </w:t>
      </w:r>
      <w:r>
        <w:t xml:space="preserve">to prevent over-aggressive or under-protective trimming.</w:t>
      </w:r>
    </w:p>
    <w:bookmarkEnd w:id="49"/>
    <w:bookmarkStart w:id="52" w:name="experimental-design"/>
    <w:p>
      <w:pPr>
        <w:pStyle w:val="Heading3"/>
      </w:pPr>
      <w:r>
        <w:t xml:space="preserve">Experimental Design</w:t>
      </w:r>
    </w:p>
    <w:p>
      <w:pPr>
        <w:pStyle w:val="FirstParagraph"/>
      </w:pPr>
      <w:r>
        <w:t xml:space="preserve">We conducted 36 controlled experiments across three topologies (Centralized, Blockchain-Docker, Blockchain-Testnet) with four Byzantine ratios (0%, 10%, 20%, 30%), using 3 replications per configuration. All experiments used:</w:t>
      </w:r>
    </w:p>
    <w:p>
      <w:pPr>
        <w:numPr>
          <w:ilvl w:val="0"/>
          <w:numId w:val="1033"/>
        </w:numPr>
      </w:pPr>
      <w:r>
        <w:rPr>
          <w:b/>
          <w:bCs/>
        </w:rPr>
        <w:t xml:space="preserve">Clients:</w:t>
      </w:r>
      <w:r>
        <w:t xml:space="preserve"> </w:t>
      </w:r>
      <w:r>
        <w:t xml:space="preserve">20 total, 50% participation per round</w:t>
      </w:r>
    </w:p>
    <w:p>
      <w:pPr>
        <w:numPr>
          <w:ilvl w:val="0"/>
          <w:numId w:val="1033"/>
        </w:numPr>
      </w:pPr>
      <w:r>
        <w:rPr>
          <w:b/>
          <w:bCs/>
        </w:rPr>
        <w:t xml:space="preserve">Model:</w:t>
      </w:r>
      <w:r>
        <w:t xml:space="preserve"> </w:t>
      </w:r>
      <w:r>
        <w:t xml:space="preserve">SimpleCNN (10K parameters)</w:t>
      </w:r>
    </w:p>
    <w:p>
      <w:pPr>
        <w:numPr>
          <w:ilvl w:val="0"/>
          <w:numId w:val="1033"/>
        </w:numPr>
      </w:pPr>
      <w:r>
        <w:rPr>
          <w:b/>
          <w:bCs/>
        </w:rPr>
        <w:t xml:space="preserve">Rounds:</w:t>
      </w:r>
      <w:r>
        <w:t xml:space="preserve"> </w:t>
      </w:r>
      <w:r>
        <w:t xml:space="preserve">50 training rounds</w:t>
      </w:r>
    </w:p>
    <w:p>
      <w:pPr>
        <w:numPr>
          <w:ilvl w:val="0"/>
          <w:numId w:val="1033"/>
        </w:numPr>
      </w:pPr>
      <w:r>
        <w:rPr>
          <w:b/>
          <w:bCs/>
        </w:rPr>
        <w:t xml:space="preserve">Attack:</w:t>
      </w:r>
      <w:r>
        <w:t xml:space="preserve"> </w:t>
      </w:r>
      <w:r>
        <w:t xml:space="preserve">Label flipping + gradient scaling (</w:t>
      </w:r>
      <m:oMath>
        <m:r>
          <m:t>λ</m:t>
        </m:r>
        <m:r>
          <m:rPr>
            <m:sty m:val="p"/>
          </m:rPr>
          <m:t>=</m:t>
        </m:r>
        <m:r>
          <m:rPr>
            <m:sty m:val="p"/>
          </m:rPr>
          <m:t>−</m:t>
        </m:r>
        <m:r>
          <m:t>5.0</m:t>
        </m:r>
      </m:oMath>
      <w:r>
        <w:t xml:space="preserve">)</w:t>
      </w:r>
    </w:p>
    <w:p>
      <w:pPr>
        <w:numPr>
          <w:ilvl w:val="0"/>
          <w:numId w:val="1033"/>
        </w:numPr>
      </w:pPr>
      <w:r>
        <w:rPr>
          <w:b/>
          <w:bCs/>
        </w:rPr>
        <w:t xml:space="preserve">Seeds:</w:t>
      </w:r>
      <w:r>
        <w:t xml:space="preserve"> </w:t>
      </w:r>
      <w:r>
        <w:t xml:space="preserve">42, 43, 44 for reproducibility</w:t>
      </w:r>
    </w:p>
    <w:bookmarkEnd w:id="50"/>
    <w:bookmarkStart w:id="53" w:name="comparative-results"/>
    <w:p>
      <w:pPr>
        <w:pStyle w:val="Heading3"/>
      </w:pPr>
      <w:r>
        <w:t xml:space="preserve">Comparative Results</w:t>
      </w:r>
    </w:p>
    <w:p>
      <w:pPr>
        <w:pStyle w:val="FirstParagraph"/>
      </w:pPr>
      <w:r>
        <w:t xml:space="preserve">Table </w:t>
      </w:r>
      <w:hyperlink w:anchor="tab:atma_results">
        <w:r>
          <w:rPr>
            <w:rStyle w:val="Hyperlink"/>
          </w:rPr>
          <w:t xml:space="preserve">7</w:t>
        </w:r>
      </w:hyperlink>
      <w:r>
        <w:t xml:space="preserve"> </w:t>
      </w:r>
      <w:r>
        <w:t xml:space="preserve">compares ATMA against static aggregation methods under 20% Byzantine ratio.</w:t>
      </w:r>
    </w:p>
    <w:bookmarkStart w:id="54" w:name="tab:atma_results"/>
    <w:p>
      <w:pPr>
        <w:pStyle w:val="TableCaption"/>
      </w:pPr>
      <w:r>
        <w:t xml:space="preserve">ATMA vs Static Aggregation Methods (20% Byzantine, 50 rounds)</w:t>
      </w:r>
    </w:p>
    <w:tbl>
      <w:tblPr>
        <w:tblStyle w:val="Table"/>
        <w:tblW w:type="auto" w:w="0"/>
        <w:tblLook w:firstRow="0" w:lastRow="0" w:firstColumn="0" w:lastColumn="0" w:noHBand="0" w:noVBand="0" w:val="0000"/>
        <w:tblCaption w:val="ATMA vs Static Aggregation Methods (20% Byzantine, 50 rounds)"/>
      </w:tblPr>
      <w:tblGrid>
        <w:gridCol w:w="1320"/>
        <w:gridCol w:w="1320"/>
        <w:gridCol w:w="1320"/>
        <w:gridCol w:w="1320"/>
        <w:gridCol w:w="1320"/>
        <w:gridCol w:w="1320"/>
      </w:tblGrid>
      <w:tr>
        <w:tc>
          <w:tcPr/>
          <w:p>
            <w:pPr>
              <w:pStyle w:val="Compact"/>
              <w:jc w:val="left"/>
            </w:pPr>
            <w:r>
              <w:rPr>
                <w:b/>
                <w:bCs/>
              </w:rPr>
              <w:t xml:space="preserve">Method</w:t>
            </w:r>
          </w:p>
        </w:tc>
        <w:tc>
          <w:tcPr/>
          <w:p>
            <w:pPr>
              <w:pStyle w:val="Compact"/>
              <w:jc w:val="center"/>
            </w:pPr>
            <w:r>
              <w:rPr>
                <w:b/>
                <w:bCs/>
              </w:rPr>
              <w:t xml:space="preserve">Centralized</w:t>
            </w:r>
          </w:p>
        </w:tc>
        <w:tc>
          <w:tcPr/>
          <w:p>
            <w:pPr>
              <w:pStyle w:val="Compact"/>
              <w:jc w:val="center"/>
            </w:pPr>
            <w:r>
              <w:rPr>
                <w:b/>
                <w:bCs/>
              </w:rPr>
              <w:t xml:space="preserve">Blockchain</w:t>
            </w:r>
          </w:p>
        </w:tc>
        <w:tc>
          <w:tcPr/>
          <w:p>
            <w:pPr>
              <w:pStyle w:val="Compact"/>
              <w:jc w:val="center"/>
            </w:pPr>
            <w:r>
              <w:rPr>
                <w:b/>
                <w:bCs/>
              </w:rPr>
              <w:t xml:space="preserve">Adapt.</w:t>
            </w:r>
          </w:p>
        </w:tc>
        <w:tc>
          <w:tcPr/>
          <w:p>
            <w:pPr>
              <w:pStyle w:val="Compact"/>
              <w:jc w:val="center"/>
            </w:pPr>
            <w:r>
              <w:rPr>
                <w:b/>
                <w:bCs/>
              </w:rPr>
              <w:t xml:space="preserve">Final</w:t>
            </w:r>
          </w:p>
        </w:tc>
        <w:tc>
          <w:tcPr/>
          <w:p>
            <w:pPr>
              <w:pStyle w:val="Compact"/>
            </w:pPr>
          </w:p>
        </w:tc>
      </w:tr>
      <w:tr>
        <w:tc>
          <w:tcPr/>
          <w:p>
            <w:pPr>
              <w:pStyle w:val="Compact"/>
            </w:pPr>
          </w:p>
        </w:tc>
        <w:tc>
          <w:tcPr/>
          <w:p>
            <w:pPr>
              <w:pStyle w:val="Compact"/>
              <w:jc w:val="center"/>
            </w:pPr>
            <w:r>
              <w:rPr>
                <w:b/>
                <w:bCs/>
              </w:rPr>
              <w:t xml:space="preserve">Acc. (%)</w:t>
            </w:r>
          </w:p>
        </w:tc>
        <w:tc>
          <w:tcPr/>
          <w:p>
            <w:pPr>
              <w:pStyle w:val="Compact"/>
              <w:jc w:val="center"/>
            </w:pPr>
            <w:r>
              <w:rPr>
                <w:b/>
                <w:bCs/>
              </w:rPr>
              <w:t xml:space="preserve">Acc. (%)</w:t>
            </w:r>
          </w:p>
        </w:tc>
        <w:tc>
          <w:tcPr/>
          <w:p>
            <w:pPr>
              <w:pStyle w:val="Compact"/>
              <w:jc w:val="center"/>
            </w:pPr>
            <w:r>
              <w:rPr>
                <w:b/>
                <w:bCs/>
              </w:rPr>
              <w:t xml:space="preserve">Thresh.</w:t>
            </w:r>
          </w:p>
        </w:tc>
        <w:tc>
          <w:tcPr/>
          <w:p>
            <w:pPr>
              <w:pStyle w:val="Compact"/>
              <w:jc w:val="center"/>
            </w:pPr>
            <w:r>
              <w:rPr>
                <w:b/>
                <w:bCs/>
              </w:rPr>
              <w:t xml:space="preserve">Error</w:t>
            </w:r>
          </w:p>
        </w:tc>
        <w:tc>
          <w:tcPr/>
          <w:p>
            <w:pPr>
              <w:pStyle w:val="Compact"/>
            </w:pPr>
          </w:p>
        </w:tc>
      </w:tr>
      <w:tr>
        <w:tc>
          <w:tcPr/>
          <w:p>
            <w:pPr>
              <w:pStyle w:val="Compact"/>
              <w:jc w:val="left"/>
            </w:pPr>
            <w:r>
              <w:t xml:space="preserve">FedAvg</w:t>
            </w:r>
          </w:p>
        </w:tc>
        <w:tc>
          <w:tcPr/>
          <w:p>
            <w:pPr>
              <w:pStyle w:val="Compact"/>
              <w:jc w:val="center"/>
            </w:pPr>
            <w:r>
              <w:t xml:space="preserve">87.60</w:t>
            </w:r>
            <w:r>
              <w:t xml:space="preserve"> </w:t>
            </w:r>
            <m:oMath>
              <m:r>
                <m:rPr>
                  <m:sty m:val="p"/>
                </m:rPr>
                <m:t>±</m:t>
              </m:r>
            </m:oMath>
            <w:r>
              <w:t xml:space="preserve"> </w:t>
            </w:r>
            <w:r>
              <w:t xml:space="preserve">1.2</w:t>
            </w:r>
          </w:p>
        </w:tc>
        <w:tc>
          <w:tcPr/>
          <w:p>
            <w:pPr>
              <w:pStyle w:val="Compact"/>
              <w:jc w:val="center"/>
            </w:pPr>
            <w:r>
              <w:t xml:space="preserve">86.84</w:t>
            </w:r>
            <w:r>
              <w:t xml:space="preserve"> </w:t>
            </w:r>
            <m:oMath>
              <m:r>
                <m:rPr>
                  <m:sty m:val="p"/>
                </m:rPr>
                <m:t>±</m:t>
              </m:r>
            </m:oMath>
            <w:r>
              <w:t xml:space="preserve"> </w:t>
            </w:r>
            <w:r>
              <w:t xml:space="preserve">1.5</w:t>
            </w:r>
          </w:p>
        </w:tc>
        <w:tc>
          <w:tcPr/>
          <w:p>
            <w:pPr>
              <w:pStyle w:val="Compact"/>
              <w:jc w:val="center"/>
            </w:pPr>
            <w:r>
              <w:t xml:space="preserve">-</w:t>
            </w:r>
          </w:p>
        </w:tc>
        <w:tc>
          <w:tcPr/>
          <w:p>
            <w:pPr>
              <w:pStyle w:val="Compact"/>
              <w:jc w:val="center"/>
            </w:pPr>
            <w:r>
              <w:t xml:space="preserve">0.294</w:t>
            </w:r>
          </w:p>
        </w:tc>
        <w:tc>
          <w:tcPr/>
          <w:p>
            <w:pPr>
              <w:pStyle w:val="Compact"/>
            </w:pPr>
          </w:p>
        </w:tc>
      </w:tr>
      <w:tr>
        <w:tc>
          <w:tcPr/>
          <w:p>
            <w:pPr>
              <w:pStyle w:val="Compact"/>
              <w:jc w:val="left"/>
            </w:pPr>
            <w:r>
              <w:t xml:space="preserve">Median</w:t>
            </w:r>
          </w:p>
        </w:tc>
        <w:tc>
          <w:tcPr/>
          <w:p>
            <w:pPr>
              <w:pStyle w:val="Compact"/>
              <w:jc w:val="center"/>
            </w:pPr>
            <w:r>
              <w:t xml:space="preserve">82.45</w:t>
            </w:r>
            <w:r>
              <w:t xml:space="preserve"> </w:t>
            </w:r>
            <m:oMath>
              <m:r>
                <m:rPr>
                  <m:sty m:val="p"/>
                </m:rPr>
                <m:t>±</m:t>
              </m:r>
            </m:oMath>
            <w:r>
              <w:t xml:space="preserve"> </w:t>
            </w:r>
            <w:r>
              <w:t xml:space="preserve">0.8</w:t>
            </w:r>
          </w:p>
        </w:tc>
        <w:tc>
          <w:tcPr/>
          <w:p>
            <w:pPr>
              <w:pStyle w:val="Compact"/>
              <w:jc w:val="center"/>
            </w:pPr>
            <w:r>
              <w:t xml:space="preserve">82.13</w:t>
            </w:r>
            <w:r>
              <w:t xml:space="preserve"> </w:t>
            </w:r>
            <m:oMath>
              <m:r>
                <m:rPr>
                  <m:sty m:val="p"/>
                </m:rPr>
                <m:t>±</m:t>
              </m:r>
            </m:oMath>
            <w:r>
              <w:t xml:space="preserve"> </w:t>
            </w:r>
            <w:r>
              <w:t xml:space="preserve">0.9</w:t>
            </w:r>
          </w:p>
        </w:tc>
        <w:tc>
          <w:tcPr/>
          <w:p>
            <w:pPr>
              <w:pStyle w:val="Compact"/>
              <w:jc w:val="center"/>
            </w:pPr>
            <w:r>
              <w:t xml:space="preserve">-</w:t>
            </w:r>
          </w:p>
        </w:tc>
        <w:tc>
          <w:tcPr/>
          <w:p>
            <w:pPr>
              <w:pStyle w:val="Compact"/>
              <w:jc w:val="center"/>
            </w:pPr>
            <w:r>
              <w:t xml:space="preserve">0.412</w:t>
            </w:r>
          </w:p>
        </w:tc>
        <w:tc>
          <w:tcPr/>
          <w:p>
            <w:pPr>
              <w:pStyle w:val="Compact"/>
            </w:pPr>
          </w:p>
        </w:tc>
      </w:tr>
      <w:tr>
        <w:tc>
          <w:tcPr/>
          <w:p>
            <w:pPr>
              <w:pStyle w:val="Compact"/>
              <w:jc w:val="left"/>
            </w:pPr>
            <w:r>
              <w:t xml:space="preserve">Krum</w:t>
            </w:r>
          </w:p>
        </w:tc>
        <w:tc>
          <w:tcPr/>
          <w:p>
            <w:pPr>
              <w:pStyle w:val="Compact"/>
              <w:jc w:val="center"/>
            </w:pPr>
            <w:r>
              <w:t xml:space="preserve">25.67</w:t>
            </w:r>
            <w:r>
              <w:t xml:space="preserve"> </w:t>
            </w:r>
            <m:oMath>
              <m:r>
                <m:rPr>
                  <m:sty m:val="p"/>
                </m:rPr>
                <m:t>±</m:t>
              </m:r>
            </m:oMath>
            <w:r>
              <w:t xml:space="preserve"> </w:t>
            </w:r>
            <w:r>
              <w:t xml:space="preserve">2.1</w:t>
            </w:r>
          </w:p>
        </w:tc>
        <w:tc>
          <w:tcPr/>
          <w:p>
            <w:pPr>
              <w:pStyle w:val="Compact"/>
              <w:jc w:val="center"/>
            </w:pPr>
            <w:r>
              <w:t xml:space="preserve">24.89</w:t>
            </w:r>
            <w:r>
              <w:t xml:space="preserve"> </w:t>
            </w:r>
            <m:oMath>
              <m:r>
                <m:rPr>
                  <m:sty m:val="p"/>
                </m:rPr>
                <m:t>±</m:t>
              </m:r>
            </m:oMath>
            <w:r>
              <w:t xml:space="preserve"> </w:t>
            </w:r>
            <w:r>
              <w:t xml:space="preserve">2.3</w:t>
            </w:r>
          </w:p>
        </w:tc>
        <w:tc>
          <w:tcPr/>
          <w:p>
            <w:pPr>
              <w:pStyle w:val="Compact"/>
              <w:jc w:val="center"/>
            </w:pPr>
            <w:r>
              <w:t xml:space="preserve">-</w:t>
            </w:r>
          </w:p>
        </w:tc>
        <w:tc>
          <w:tcPr/>
          <w:p>
            <w:pPr>
              <w:pStyle w:val="Compact"/>
              <w:jc w:val="center"/>
            </w:pPr>
            <w:r>
              <w:t xml:space="preserve">6.807</w:t>
            </w:r>
          </w:p>
        </w:tc>
        <w:tc>
          <w:tcPr/>
          <w:p>
            <w:pPr>
              <w:pStyle w:val="Compact"/>
            </w:pPr>
          </w:p>
        </w:tc>
      </w:tr>
      <w:tr>
        <w:tc>
          <w:tcPr/>
          <w:p>
            <w:pPr>
              <w:pStyle w:val="Compact"/>
              <w:jc w:val="left"/>
            </w:pPr>
            <w:r>
              <w:t xml:space="preserve">TrimmedMean</w:t>
            </w:r>
          </w:p>
        </w:tc>
        <w:tc>
          <w:tcPr/>
          <w:p>
            <w:pPr>
              <w:pStyle w:val="Compact"/>
              <w:jc w:val="center"/>
            </w:pPr>
            <w:r>
              <w:t xml:space="preserve">84.85</w:t>
            </w:r>
            <w:r>
              <w:t xml:space="preserve"> </w:t>
            </w:r>
            <m:oMath>
              <m:r>
                <m:rPr>
                  <m:sty m:val="p"/>
                </m:rPr>
                <m:t>±</m:t>
              </m:r>
            </m:oMath>
            <w:r>
              <w:t xml:space="preserve"> </w:t>
            </w:r>
            <w:r>
              <w:t xml:space="preserve">0.6</w:t>
            </w:r>
          </w:p>
        </w:tc>
        <w:tc>
          <w:tcPr/>
          <w:p>
            <w:pPr>
              <w:pStyle w:val="Compact"/>
              <w:jc w:val="center"/>
            </w:pPr>
            <w:r>
              <w:t xml:space="preserve">84.23</w:t>
            </w:r>
            <w:r>
              <w:t xml:space="preserve"> </w:t>
            </w:r>
            <m:oMath>
              <m:r>
                <m:rPr>
                  <m:sty m:val="p"/>
                </m:rPr>
                <m:t>±</m:t>
              </m:r>
            </m:oMath>
            <w:r>
              <w:t xml:space="preserve"> </w:t>
            </w:r>
            <w:r>
              <w:t xml:space="preserve">0.7</w:t>
            </w:r>
          </w:p>
        </w:tc>
        <w:tc>
          <w:tcPr/>
          <w:p>
            <w:pPr>
              <w:pStyle w:val="Compact"/>
              <w:jc w:val="center"/>
            </w:pPr>
            <w:r>
              <w:t xml:space="preserve">0.20</w:t>
            </w:r>
          </w:p>
        </w:tc>
        <w:tc>
          <w:tcPr/>
          <w:p>
            <w:pPr>
              <w:pStyle w:val="Compact"/>
              <w:jc w:val="center"/>
            </w:pPr>
            <w:r>
              <w:t xml:space="preserve">0.427</w:t>
            </w:r>
          </w:p>
        </w:tc>
        <w:tc>
          <w:tcPr/>
          <w:p>
            <w:pPr>
              <w:pStyle w:val="Compact"/>
            </w:pPr>
          </w:p>
        </w:tc>
      </w:tr>
      <w:tr>
        <w:tc>
          <w:tcPr/>
          <w:p>
            <w:pPr>
              <w:pStyle w:val="Compact"/>
              <w:jc w:val="left"/>
            </w:pPr>
            <w:r>
              <w:rPr>
                <w:b/>
                <w:bCs/>
              </w:rPr>
              <w:t xml:space="preserve">ATMA</w:t>
            </w:r>
          </w:p>
        </w:tc>
        <w:tc>
          <w:tcPr/>
          <w:p>
            <w:pPr>
              <w:pStyle w:val="Compact"/>
              <w:jc w:val="center"/>
            </w:pPr>
            <w:r>
              <w:rPr>
                <w:b/>
                <w:bCs/>
              </w:rPr>
              <w:t xml:space="preserve">85.12</w:t>
            </w:r>
            <w:r>
              <w:rPr>
                <w:b/>
                <w:bCs/>
              </w:rPr>
              <w:t xml:space="preserve"> </w:t>
            </w:r>
            <m:oMath>
              <m:r>
                <m:rPr>
                  <m:sty m:val="p"/>
                </m:rPr>
                <m:t>±</m:t>
              </m:r>
            </m:oMath>
            <w:r>
              <w:rPr>
                <w:b/>
                <w:bCs/>
              </w:rPr>
              <w:t xml:space="preserve"> </w:t>
            </w:r>
            <w:r>
              <w:rPr>
                <w:b/>
                <w:bCs/>
              </w:rPr>
              <w:t xml:space="preserve">0.5</w:t>
            </w:r>
          </w:p>
        </w:tc>
        <w:tc>
          <w:tcPr/>
          <w:p>
            <w:pPr>
              <w:pStyle w:val="Compact"/>
              <w:jc w:val="center"/>
            </w:pPr>
            <w:r>
              <w:rPr>
                <w:b/>
                <w:bCs/>
              </w:rPr>
              <w:t xml:space="preserve">84.96</w:t>
            </w:r>
            <w:r>
              <w:rPr>
                <w:b/>
                <w:bCs/>
              </w:rPr>
              <w:t xml:space="preserve"> </w:t>
            </w:r>
            <m:oMath>
              <m:r>
                <m:rPr>
                  <m:sty m:val="p"/>
                </m:rPr>
                <m:t>±</m:t>
              </m:r>
            </m:oMath>
            <w:r>
              <w:rPr>
                <w:b/>
                <w:bCs/>
              </w:rPr>
              <w:t xml:space="preserve"> </w:t>
            </w:r>
            <w:r>
              <w:rPr>
                <w:b/>
                <w:bCs/>
              </w:rPr>
              <w:t xml:space="preserve">0.6</w:t>
            </w:r>
          </w:p>
        </w:tc>
        <w:tc>
          <w:tcPr/>
          <w:p>
            <w:pPr>
              <w:pStyle w:val="Compact"/>
              <w:jc w:val="center"/>
            </w:pPr>
            <w:r>
              <w:rPr>
                <w:b/>
                <w:bCs/>
              </w:rPr>
              <w:t xml:space="preserve">0.15-0.24</w:t>
            </w:r>
          </w:p>
        </w:tc>
        <w:tc>
          <w:tcPr/>
          <w:p>
            <w:pPr>
              <w:pStyle w:val="Compact"/>
              <w:jc w:val="center"/>
            </w:pPr>
            <w:r>
              <w:rPr>
                <w:b/>
                <w:bCs/>
              </w:rPr>
              <w:t xml:space="preserve">0.389</w:t>
            </w:r>
          </w:p>
        </w:tc>
        <w:tc>
          <w:tcPr/>
          <w:p>
            <w:pPr>
              <w:pStyle w:val="Compact"/>
            </w:pPr>
          </w:p>
        </w:tc>
      </w:tr>
    </w:tbl>
    <w:bookmarkEnd w:id="51"/>
    <w:p>
      <w:pPr>
        <w:pStyle w:val="BodyText"/>
      </w:pPr>
      <w:r>
        <w:t xml:space="preserve">Key findings:</w:t>
      </w:r>
    </w:p>
    <w:p>
      <w:pPr>
        <w:numPr>
          <w:ilvl w:val="0"/>
          <w:numId w:val="1034"/>
        </w:numPr>
      </w:pPr>
      <w:r>
        <w:rPr>
          <w:b/>
          <w:bCs/>
        </w:rPr>
        <w:t xml:space="preserve">Adaptive Superiority:</w:t>
      </w:r>
      <w:r>
        <w:t xml:space="preserve"> </w:t>
      </w:r>
      <w:r>
        <w:t xml:space="preserve">ATMA achieves 85.12% accuracy (centralized) and 84.96% (blockchain), outperforming static TrimmedMean (84.85%/84.23%) by +0.27%/+0.73% respectively. Adaptive thresholding benefits blockchain environments where latency induces additional gradient variance.</w:t>
      </w:r>
    </w:p>
    <w:p>
      <w:pPr>
        <w:numPr>
          <w:ilvl w:val="0"/>
          <w:numId w:val="1034"/>
        </w:numPr>
      </w:pPr>
      <w:r>
        <w:rPr>
          <w:b/>
          <w:bCs/>
        </w:rPr>
        <w:t xml:space="preserve">Convergence Stability:</w:t>
      </w:r>
      <w:r>
        <w:t xml:space="preserve"> </w:t>
      </w:r>
      <w:r>
        <w:t xml:space="preserve">ATMA exhibits lower standard deviation (</w:t>
      </w:r>
      <m:oMath>
        <m:r>
          <m:t>σ</m:t>
        </m:r>
        <m:r>
          <m:rPr>
            <m:sty m:val="p"/>
          </m:rPr>
          <m:t>=</m:t>
        </m:r>
        <m:r>
          <m:t>0.5</m:t>
        </m:r>
        <m:r>
          <m:rPr>
            <m:sty m:val="p"/>
          </m:rPr>
          <m:t>%</m:t>
        </m:r>
      </m:oMath>
      <w:r>
        <w:t xml:space="preserve">) than FedAvg (</w:t>
      </w:r>
      <m:oMath>
        <m:r>
          <m:t>σ</m:t>
        </m:r>
        <m:r>
          <m:rPr>
            <m:sty m:val="p"/>
          </m:rPr>
          <m:t>=</m:t>
        </m:r>
        <m:r>
          <m:t>1.2</m:t>
        </m:r>
        <m:r>
          <m:rPr>
            <m:sty m:val="p"/>
          </m:rPr>
          <m:t>%</m:t>
        </m:r>
      </m:oMath>
      <w:r>
        <w:t xml:space="preserve">), indicating more stable convergence under Byzantine attacks.</w:t>
      </w:r>
    </w:p>
    <w:p>
      <w:pPr>
        <w:numPr>
          <w:ilvl w:val="0"/>
          <w:numId w:val="1034"/>
        </w:numPr>
      </w:pPr>
      <w:r>
        <w:rPr>
          <w:b/>
          <w:bCs/>
        </w:rPr>
        <w:t xml:space="preserve">Threshold Evolution:</w:t>
      </w:r>
      <w:r>
        <w:t xml:space="preserve"> </w:t>
      </w:r>
      <w:r>
        <w:t xml:space="preserve">Across 50 rounds, ATMA’s trim ratio evolved from initial</w:t>
      </w:r>
      <w:r>
        <w:t xml:space="preserve"> </w:t>
      </w:r>
      <m:oMath>
        <m:sSub>
          <m:e>
            <m:r>
              <m:t>τ</m:t>
            </m:r>
          </m:e>
          <m:sub>
            <m:r>
              <m:t>0</m:t>
            </m:r>
          </m:sub>
        </m:sSub>
        <m:r>
          <m:rPr>
            <m:sty m:val="p"/>
          </m:rPr>
          <m:t>=</m:t>
        </m:r>
        <m:r>
          <m:t>0.10</m:t>
        </m:r>
      </m:oMath>
      <w:r>
        <w:t xml:space="preserve"> </w:t>
      </w:r>
      <w:r>
        <w:t xml:space="preserve">to final</w:t>
      </w:r>
      <w:r>
        <w:t xml:space="preserve"> </w:t>
      </w:r>
      <m:oMath>
        <m:sSub>
          <m:e>
            <m:r>
              <m:t>τ</m:t>
            </m:r>
          </m:e>
          <m:sub>
            <m:r>
              <m:t>50</m:t>
            </m:r>
          </m:sub>
        </m:sSub>
        <m:r>
          <m:rPr>
            <m:sty m:val="p"/>
          </m:rPr>
          <m:t>∈</m:t>
        </m:r>
        <m:r>
          <m:rPr>
            <m:sty m:val="p"/>
          </m:rPr>
          <m:t>[</m:t>
        </m:r>
        <m:r>
          <m:t>0.15</m:t>
        </m:r>
        <m:r>
          <m:rPr>
            <m:sty m:val="p"/>
          </m:rPr>
          <m:t>,</m:t>
        </m:r>
        <m:r>
          <m:t>0.24</m:t>
        </m:r>
        <m:r>
          <m:rPr>
            <m:sty m:val="p"/>
          </m:rPr>
          <m:t>]</m:t>
        </m:r>
      </m:oMath>
      <w:r>
        <w:t xml:space="preserve"> </w:t>
      </w:r>
      <w:r>
        <w:t xml:space="preserve">(mean 0.19), automatically increasing defense when detecting attack patterns (rounds 15-30) and relaxing during clean periods.</w:t>
      </w:r>
    </w:p>
    <w:p>
      <w:pPr>
        <w:numPr>
          <w:ilvl w:val="0"/>
          <w:numId w:val="1034"/>
        </w:numPr>
      </w:pPr>
      <w:r>
        <w:rPr>
          <w:b/>
          <w:bCs/>
        </w:rPr>
        <w:t xml:space="preserve">Architecture Parity:</w:t>
      </w:r>
      <w:r>
        <w:t xml:space="preserve"> </w:t>
      </w:r>
      <w:r>
        <w:t xml:space="preserve">The accuracy difference between centralized and blockchain deployments is minimal for ATMA (0.16%) compared to TrimmedMean (0.62%), validating our hypothesis that adaptive methods maintain consistency across architectures.</w:t>
      </w:r>
    </w:p>
    <w:p>
      <w:pPr>
        <w:numPr>
          <w:ilvl w:val="0"/>
          <w:numId w:val="1034"/>
        </w:numPr>
      </w:pPr>
      <w:r>
        <w:rPr>
          <w:b/>
          <w:bCs/>
        </w:rPr>
        <w:t xml:space="preserve">Average Aggregation Error:</w:t>
      </w:r>
      <w:r>
        <w:t xml:space="preserve"> </w:t>
      </w:r>
      <w:r>
        <w:t xml:space="preserve">ATMA achieves lower final error (0.389) than static TrimmedMean (0.427), indicating superior global model quality through intelligent gradient selection.</w:t>
      </w:r>
    </w:p>
    <w:bookmarkEnd w:id="52"/>
    <w:bookmarkStart w:id="55" w:name="adaptation-behavior-analysis"/>
    <w:p>
      <w:pPr>
        <w:pStyle w:val="Heading3"/>
      </w:pPr>
      <w:r>
        <w:t xml:space="preserve">Adaptation Behavior Analysis</w:t>
      </w:r>
    </w:p>
    <w:p>
      <w:pPr>
        <w:pStyle w:val="FirstParagraph"/>
      </w:pPr>
      <w:r>
        <w:t xml:space="preserve">Figure </w:t>
      </w:r>
      <w:hyperlink w:anchor="fig:atma_adaptation">
        <w:r>
          <w:rPr>
            <w:rStyle w:val="Hyperlink"/>
          </w:rPr>
          <w:t xml:space="preserve">4</w:t>
        </w:r>
      </w:hyperlink>
      <w:r>
        <w:t xml:space="preserve"> </w:t>
      </w:r>
      <w:r>
        <w:t xml:space="preserve">illustrates ATMA’s threshold adaptation over training.</w:t>
      </w:r>
    </w:p>
    <w:bookmarkStart w:id="56" w:name="fig:atma_adaptation"/>
    <w:p>
      <w:pPr>
        <w:pStyle w:val="CaptionedFigure"/>
      </w:pPr>
      <w:r>
        <w:drawing>
          <wp:inline>
            <wp:extent cx="2560320" cy="1240705"/>
            <wp:effectExtent b="0" l="0" r="0" t="0"/>
            <wp:docPr descr="" title="" id="4" name="Picture"/>
            <a:graphic>
              <a:graphicData uri="http://schemas.openxmlformats.org/drawingml/2006/picture">
                <pic:pic>
                  <pic:nvPicPr>
                    <pic:cNvPr descr="../revision_ETASR_APRIL2026/media/visualizations/atma_threshold_evolution.png" id="4" name="Picture"/>
                    <pic:cNvPicPr>
                      <a:picLocks noChangeArrowheads="1" noChangeAspect="1"/>
                    </pic:cNvPicPr>
                  </pic:nvPicPr>
                  <pic:blipFill>
                    <a:blip r:embed="rId13"/>
                    <a:stretch>
                      <a:fillRect/>
                    </a:stretch>
                  </pic:blipFill>
                  <pic:spPr bwMode="auto">
                    <a:xfrm>
                      <a:off x="0" y="0"/>
                      <a:ext cx="2560320" cy="1240705"/>
                    </a:xfrm>
                    <a:prstGeom prst="rect">
                      <a:avLst/>
                    </a:prstGeom>
                    <a:noFill/>
                    <a:ln w="9525">
                      <a:noFill/>
                      <a:headEnd/>
                      <a:tailEnd/>
                    </a:ln>
                  </pic:spPr>
                </pic:pic>
              </a:graphicData>
            </a:graphic>
          </wp:inline>
        </w:drawing>
      </w:r>
    </w:p>
    <w:p>
      <w:pPr>
        <w:pStyle w:val="ImageCaption"/>
      </w:pPr>
      <w:r>
        <w:t xml:space="preserve">ATMA threshold evolution during 50-round training under 20% Byzantine attack. Threshold increases from 0.10 to 0.24 during attack-heavy periods (rounds 15-30) and stabilizes at 0.19 in later rounds. Shaded region shows</w:t>
      </w:r>
      <w:r>
        <w:t xml:space="preserve"> </w:t>
      </w:r>
      <m:oMath>
        <m:r>
          <m:rPr>
            <m:sty m:val="p"/>
          </m:rPr>
          <m:t>±</m:t>
        </m:r>
        <m:r>
          <m:t>1</m:t>
        </m:r>
        <m:r>
          <m:t>σ</m:t>
        </m:r>
      </m:oMath>
      <w:r>
        <w:t xml:space="preserve"> </w:t>
      </w:r>
      <w:r>
        <w:t xml:space="preserve">variance across 3 seeds.</w:t>
      </w:r>
    </w:p>
    <w:bookmarkEnd w:id="53"/>
    <w:p>
      <w:pPr>
        <w:pStyle w:val="BodyText"/>
      </w:pPr>
      <w:r>
        <w:t xml:space="preserve">The adaptation pattern reveals:</w:t>
      </w:r>
    </w:p>
    <w:p>
      <w:pPr>
        <w:numPr>
          <w:ilvl w:val="0"/>
          <w:numId w:val="1035"/>
        </w:numPr>
      </w:pPr>
      <w:r>
        <w:rPr>
          <w:b/>
          <w:bCs/>
        </w:rPr>
        <w:t xml:space="preserve">Attack Detection:</w:t>
      </w:r>
      <w:r>
        <w:t xml:space="preserve"> </w:t>
      </w:r>
      <w:r>
        <w:t xml:space="preserve">Rapid threshold increase (round 15:</w:t>
      </w:r>
      <w:r>
        <w:t xml:space="preserve"> </w:t>
      </w:r>
      <m:oMath>
        <m:r>
          <m:t>τ</m:t>
        </m:r>
        <m:r>
          <m:rPr>
            <m:sty m:val="p"/>
          </m:rPr>
          <m:t>=</m:t>
        </m:r>
        <m:r>
          <m:t>0.10</m:t>
        </m:r>
        <m:r>
          <m:rPr>
            <m:sty m:val="p"/>
          </m:rPr>
          <m:t>→</m:t>
        </m:r>
        <m:r>
          <m:t>0.18</m:t>
        </m:r>
      </m:oMath>
      <w:r>
        <w:t xml:space="preserve">) when Byzantine clients begin aggressive attacks</w:t>
      </w:r>
    </w:p>
    <w:p>
      <w:pPr>
        <w:numPr>
          <w:ilvl w:val="0"/>
          <w:numId w:val="1035"/>
        </w:numPr>
      </w:pPr>
      <w:r>
        <w:rPr>
          <w:b/>
          <w:bCs/>
        </w:rPr>
        <w:t xml:space="preserve">Stabilization:</w:t>
      </w:r>
      <w:r>
        <w:t xml:space="preserve"> </w:t>
      </w:r>
      <w:r>
        <w:t xml:space="preserve">Gradual convergence to optimal</w:t>
      </w:r>
      <w:r>
        <w:t xml:space="preserve"> </w:t>
      </w:r>
      <m:oMath>
        <m:r>
          <m:t>τ</m:t>
        </m:r>
        <m:r>
          <m:rPr>
            <m:sty m:val="p"/>
          </m:rPr>
          <m:t>≈</m:t>
        </m:r>
        <m:r>
          <m:t>0.19</m:t>
        </m:r>
      </m:oMath>
      <w:r>
        <w:t xml:space="preserve"> </w:t>
      </w:r>
      <w:r>
        <w:t xml:space="preserve">after learning attack distribution</w:t>
      </w:r>
    </w:p>
    <w:p>
      <w:pPr>
        <w:numPr>
          <w:ilvl w:val="0"/>
          <w:numId w:val="1035"/>
        </w:numPr>
      </w:pPr>
      <w:r>
        <w:rPr>
          <w:b/>
          <w:bCs/>
        </w:rPr>
        <w:t xml:space="preserve">Resilience:</w:t>
      </w:r>
      <w:r>
        <w:t xml:space="preserve"> </w:t>
      </w:r>
      <w:r>
        <w:t xml:space="preserve">Threshold remains stable (</w:t>
      </w:r>
      <m:oMath>
        <m:r>
          <m:t>σ</m:t>
        </m:r>
        <m:r>
          <m:rPr>
            <m:sty m:val="p"/>
          </m:rPr>
          <m:t>=</m:t>
        </m:r>
        <m:r>
          <m:t>0.03</m:t>
        </m:r>
      </m:oMath>
      <w:r>
        <w:t xml:space="preserve">) despite intermittent Byzantine activity</w:t>
      </w:r>
    </w:p>
    <w:p>
      <w:pPr>
        <w:pStyle w:val="FirstParagraph"/>
      </w:pPr>
      <w:r>
        <w:t xml:space="preserve">ATMA achieves 65.78% accuracy on CIFAR-10 (160 rounds) with Dirichlet(</w:t>
      </w:r>
      <m:oMath>
        <m:r>
          <m:t>α</m:t>
        </m:r>
      </m:oMath>
      <w:r>
        <w:t xml:space="preserve">=0.5) non-IID distribution, competitive with TrimmedMean’s 67.92% (see Table </w:t>
      </w:r>
      <w:hyperlink w:anchor="tab:cifar10_results">
        <w:r>
          <w:rPr>
            <w:rStyle w:val="Hyperlink"/>
          </w:rPr>
          <w:t xml:space="preserve">13</w:t>
        </w:r>
      </w:hyperlink>
      <w:r>
        <w:t xml:space="preserve">). ATMA’s core advantage is</w:t>
      </w:r>
      <w:r>
        <w:t xml:space="preserve"> </w:t>
      </w:r>
      <w:r>
        <w:rPr>
          <w:i/>
          <w:iCs/>
        </w:rPr>
        <w:t xml:space="preserve">adaptive defense without manual threshold tuning</w:t>
      </w:r>
      <w:r>
        <w:t xml:space="preserve">.</w:t>
      </w:r>
    </w:p>
    <w:bookmarkEnd w:id="54"/>
    <w:bookmarkStart w:id="57" w:name="statistical-significance"/>
    <w:p>
      <w:pPr>
        <w:pStyle w:val="Heading3"/>
      </w:pPr>
      <w:r>
        <w:t xml:space="preserve">Statistical Significance</w:t>
      </w:r>
    </w:p>
    <w:p>
      <w:pPr>
        <w:pStyle w:val="FirstParagraph"/>
      </w:pPr>
      <w:r>
        <w:t xml:space="preserve">Paired t-tests suggest ATMA’s advantage over static TrimmedMean:</w:t>
      </w:r>
    </w:p>
    <w:p>
      <w:pPr>
        <w:numPr>
          <w:ilvl w:val="0"/>
          <w:numId w:val="1036"/>
        </w:numPr>
      </w:pPr>
      <w:r>
        <w:t xml:space="preserve">Centralized:</w:t>
      </w:r>
      <w:r>
        <w:t xml:space="preserve"> </w:t>
      </w:r>
      <m:oMath>
        <m:r>
          <m:t>t</m:t>
        </m:r>
        <m:r>
          <m:rPr>
            <m:sty m:val="p"/>
          </m:rPr>
          <m:t>(</m:t>
        </m:r>
        <m:r>
          <m:t>35</m:t>
        </m:r>
        <m:r>
          <m:rPr>
            <m:sty m:val="p"/>
          </m:rPr>
          <m:t>)</m:t>
        </m:r>
        <m:r>
          <m:rPr>
            <m:sty m:val="p"/>
          </m:rPr>
          <m:t>=</m:t>
        </m:r>
        <m:r>
          <m:t>2.87</m:t>
        </m:r>
      </m:oMath>
      <w:r>
        <w:t xml:space="preserve">,</w:t>
      </w:r>
      <w:r>
        <w:t xml:space="preserve"> </w:t>
      </w:r>
      <m:oMath>
        <m:r>
          <m:t>p</m:t>
        </m:r>
        <m:r>
          <m:rPr>
            <m:sty m:val="p"/>
          </m:rPr>
          <m:t>=</m:t>
        </m:r>
        <m:r>
          <m:t>0.007</m:t>
        </m:r>
      </m:oMath>
      <w:r>
        <w:t xml:space="preserve"> </w:t>
      </w:r>
      <w:r>
        <w:t xml:space="preserve">(statistically significant)</w:t>
      </w:r>
    </w:p>
    <w:p>
      <w:pPr>
        <w:numPr>
          <w:ilvl w:val="0"/>
          <w:numId w:val="1036"/>
        </w:numPr>
      </w:pPr>
      <w:r>
        <w:t xml:space="preserve">Blockchain:</w:t>
      </w:r>
      <w:r>
        <w:t xml:space="preserve"> </w:t>
      </w:r>
      <m:oMath>
        <m:r>
          <m:t>t</m:t>
        </m:r>
        <m:r>
          <m:rPr>
            <m:sty m:val="p"/>
          </m:rPr>
          <m:t>(</m:t>
        </m:r>
        <m:r>
          <m:t>35</m:t>
        </m:r>
        <m:r>
          <m:rPr>
            <m:sty m:val="p"/>
          </m:rPr>
          <m:t>)</m:t>
        </m:r>
        <m:r>
          <m:rPr>
            <m:sty m:val="p"/>
          </m:rPr>
          <m:t>=</m:t>
        </m:r>
        <m:r>
          <m:t>3.42</m:t>
        </m:r>
      </m:oMath>
      <w:r>
        <w:t xml:space="preserve">,</w:t>
      </w:r>
      <w:r>
        <w:t xml:space="preserve"> </w:t>
      </w:r>
      <m:oMath>
        <m:r>
          <m:t>p</m:t>
        </m:r>
        <m:r>
          <m:rPr>
            <m:sty m:val="p"/>
          </m:rPr>
          <m:t>=</m:t>
        </m:r>
        <m:r>
          <m:t>0.002</m:t>
        </m:r>
      </m:oMath>
      <w:r>
        <w:t xml:space="preserve"> </w:t>
      </w:r>
      <w:r>
        <w:t xml:space="preserve">(highly significant)</w:t>
      </w:r>
    </w:p>
    <w:p>
      <w:pPr>
        <w:pStyle w:val="FirstParagraph"/>
      </w:pPr>
      <w:r>
        <w:t xml:space="preserve">Effect sizes (Cohen’s</w:t>
      </w:r>
      <w:r>
        <w:t xml:space="preserve"> </w:t>
      </w:r>
      <m:oMath>
        <m:r>
          <m:t>d</m:t>
        </m:r>
        <m:r>
          <m:rPr>
            <m:sty m:val="p"/>
          </m:rPr>
          <m:t>=</m:t>
        </m:r>
        <m:r>
          <m:t>0.48</m:t>
        </m:r>
      </m:oMath>
      <w:r>
        <w:t xml:space="preserve"> </w:t>
      </w:r>
      <w:r>
        <w:t xml:space="preserve">centralized,</w:t>
      </w:r>
      <w:r>
        <w:t xml:space="preserve"> </w:t>
      </w:r>
      <m:oMath>
        <m:r>
          <m:t>d</m:t>
        </m:r>
        <m:r>
          <m:rPr>
            <m:sty m:val="p"/>
          </m:rPr>
          <m:t>=</m:t>
        </m:r>
        <m:r>
          <m:t>0.57</m:t>
        </m:r>
      </m:oMath>
      <w:r>
        <w:t xml:space="preserve"> </w:t>
      </w:r>
      <w:r>
        <w:t xml:space="preserve">blockchain) indicate moderate-to-strong practical significance.</w:t>
      </w:r>
    </w:p>
    <w:bookmarkEnd w:id="55"/>
    <w:bookmarkEnd w:id="56"/>
    <w:bookmarkStart w:id="58" w:name="Xefc464f8beb62f0a21936a58d39206e12497e91"/>
    <w:p>
      <w:pPr>
        <w:pStyle w:val="Heading2"/>
      </w:pPr>
      <w:r>
        <w:t xml:space="preserve">Transparency Paradox: FLARE-Style Adaptive Attacks</w:t>
      </w:r>
    </w:p>
    <w:p>
      <w:pPr>
        <w:pStyle w:val="FirstParagraph"/>
      </w:pPr>
      <w:r>
        <w:t xml:space="preserve">Modern Byzantine adversaries can exploit on-chain transparency to refine their attack strategies [10]. We implemented FLARE-inspired adaptive attackers that learn from blockchain logs to test the</w:t>
      </w:r>
      <w:r>
        <w:t xml:space="preserve"> </w:t>
      </w:r>
      <w:r>
        <w:rPr>
          <w:i/>
          <w:iCs/>
        </w:rPr>
        <w:t xml:space="preserve">Transparency Paradox</w:t>
      </w:r>
      <w:r>
        <w:t xml:space="preserve">: Does blockchain transparency help attackers more than defenders?</w:t>
      </w:r>
    </w:p>
    <w:bookmarkStart w:id="59" w:name="flare-adaptive-attack-design"/>
    <w:p>
      <w:pPr>
        <w:pStyle w:val="Heading3"/>
      </w:pPr>
      <w:r>
        <w:t xml:space="preserve">FLARE Adaptive Attack Design</w:t>
      </w:r>
    </w:p>
    <w:p>
      <w:pPr>
        <w:pStyle w:val="FirstParagraph"/>
      </w:pPr>
      <w:r>
        <w:t xml:space="preserve">Our adaptive attacker implements three sophisticated strategies:</w:t>
      </w:r>
    </w:p>
    <w:p>
      <w:pPr>
        <w:numPr>
          <w:ilvl w:val="0"/>
          <w:numId w:val="1037"/>
        </w:numPr>
      </w:pPr>
      <w:r>
        <w:rPr>
          <w:b/>
          <w:bCs/>
        </w:rPr>
        <w:t xml:space="preserve">Feedback-Based Learning:</w:t>
      </w:r>
      <w:r>
        <w:t xml:space="preserve"> </w:t>
      </w:r>
      <w:r>
        <w:t xml:space="preserve">Reads on-chain detection logs to identify which updates were flagged as Byzantine, then adjusts attack magnitude to evade detection:</w:t>
      </w:r>
    </w:p>
    <w:p>
      <w:pPr>
        <w:pStyle w:val="BodyText"/>
      </w:pPr>
      <m:oMathPara>
        <m:oMathParaPr>
          <m:jc m:val="center"/>
        </m:oMathParaPr>
        <m:oMath>
          <m:sSub>
            <m:e>
              <m:r>
                <m:t>λ</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t</m:t>
                        </m:r>
                      </m:sub>
                    </m:sSub>
                    <m:r>
                      <m:rPr>
                        <m:sty m:val="p"/>
                      </m:rPr>
                      <m:t>⋅</m:t>
                    </m:r>
                    <m:r>
                      <m:t>0.8</m:t>
                    </m:r>
                  </m:e>
                  <m:e>
                    <m:r>
                      <m:rPr>
                        <m:nor/>
                        <m:sty m:val="p"/>
                      </m:rPr>
                      <m:t>if detected in round </m:t>
                    </m:r>
                    <m:r>
                      <m:t>t</m:t>
                    </m:r>
                  </m:e>
                </m:mr>
                <m:mr>
                  <m:e>
                    <m:sSub>
                      <m:e>
                        <m:r>
                          <m:t>λ</m:t>
                        </m:r>
                      </m:e>
                      <m:sub>
                        <m:r>
                          <m:t>t</m:t>
                        </m:r>
                      </m:sub>
                    </m:sSub>
                    <m:r>
                      <m:rPr>
                        <m:sty m:val="p"/>
                      </m:rPr>
                      <m:t>⋅</m:t>
                    </m:r>
                    <m:r>
                      <m:t>1.1</m:t>
                    </m:r>
                  </m:e>
                  <m:e>
                    <m:r>
                      <m:rPr>
                        <m:nor/>
                        <m:sty m:val="p"/>
                      </m:rPr>
                      <m:t>if not detected</m:t>
                    </m:r>
                  </m:e>
                </m:mr>
              </m:m>
            </m:e>
          </m:d>
        </m:oMath>
      </m:oMathPara>
    </w:p>
    <w:p>
      <w:pPr>
        <w:numPr>
          <w:ilvl w:val="0"/>
          <w:numId w:val="1037"/>
        </w:numPr>
      </w:pPr>
      <w:r>
        <w:rPr>
          <w:b/>
          <w:bCs/>
        </w:rPr>
        <w:t xml:space="preserve">Stealth Mode:</w:t>
      </w:r>
      <w:r>
        <w:t xml:space="preserve"> </w:t>
      </w:r>
      <w:r>
        <w:t xml:space="preserve">Mimics honest client gradient distributions by matching statistical moments (mean, variance, kurtosis) while introducing subtle poisoning.</w:t>
      </w:r>
    </w:p>
    <w:p>
      <w:pPr>
        <w:numPr>
          <w:ilvl w:val="0"/>
          <w:numId w:val="1037"/>
        </w:numPr>
      </w:pPr>
      <w:r>
        <w:rPr>
          <w:b/>
          <w:bCs/>
        </w:rPr>
        <w:t xml:space="preserve">Strategy Switching:</w:t>
      </w:r>
      <w:r>
        <w:t xml:space="preserve"> </w:t>
      </w:r>
      <w:r>
        <w:t xml:space="preserve">Alternates between aggressive (</w:t>
      </w:r>
      <m:oMath>
        <m:r>
          <m:t>λ</m:t>
        </m:r>
        <m:r>
          <m:rPr>
            <m:sty m:val="p"/>
          </m:rPr>
          <m:t>=</m:t>
        </m:r>
        <m:r>
          <m:t>5.0</m:t>
        </m:r>
      </m:oMath>
      <w:r>
        <w:t xml:space="preserve">), moderate (</w:t>
      </w:r>
      <m:oMath>
        <m:r>
          <m:t>λ</m:t>
        </m:r>
        <m:r>
          <m:rPr>
            <m:sty m:val="p"/>
          </m:rPr>
          <m:t>=</m:t>
        </m:r>
        <m:r>
          <m:t>2.5</m:t>
        </m:r>
      </m:oMath>
      <w:r>
        <w:t xml:space="preserve">), and stealthy (</w:t>
      </w:r>
      <m:oMath>
        <m:r>
          <m:t>λ</m:t>
        </m:r>
        <m:r>
          <m:rPr>
            <m:sty m:val="p"/>
          </m:rPr>
          <m:t>=</m:t>
        </m:r>
        <m:r>
          <m:t>1.5</m:t>
        </m:r>
      </m:oMath>
      <w:r>
        <w:t xml:space="preserve">) modes based on historical success rate.</w:t>
      </w:r>
    </w:p>
    <w:bookmarkEnd w:id="57"/>
    <w:bookmarkStart w:id="60" w:name="experimental-design-1"/>
    <w:p>
      <w:pPr>
        <w:pStyle w:val="Heading3"/>
      </w:pPr>
      <w:r>
        <w:t xml:space="preserve">Experimental Design</w:t>
      </w:r>
    </w:p>
    <w:p>
      <w:pPr>
        <w:pStyle w:val="FirstParagraph"/>
      </w:pPr>
      <w:r>
        <w:t xml:space="preserve">We conducted 24 experiments comparing adaptive attackers with vs. without blockchain access:</w:t>
      </w:r>
    </w:p>
    <w:p>
      <w:pPr>
        <w:numPr>
          <w:ilvl w:val="0"/>
          <w:numId w:val="1038"/>
        </w:numPr>
      </w:pPr>
      <w:r>
        <w:rPr>
          <w:b/>
          <w:bCs/>
        </w:rPr>
        <w:t xml:space="preserve">Control Group:</w:t>
      </w:r>
      <w:r>
        <w:t xml:space="preserve"> </w:t>
      </w:r>
      <w:r>
        <w:t xml:space="preserve">Adaptive attackers WITHOUT blockchain access (blind attacks)</w:t>
      </w:r>
    </w:p>
    <w:p>
      <w:pPr>
        <w:numPr>
          <w:ilvl w:val="0"/>
          <w:numId w:val="1038"/>
        </w:numPr>
      </w:pPr>
      <w:r>
        <w:rPr>
          <w:b/>
          <w:bCs/>
        </w:rPr>
        <w:t xml:space="preserve">Treatment Group:</w:t>
      </w:r>
      <w:r>
        <w:t xml:space="preserve"> </w:t>
      </w:r>
      <w:r>
        <w:t xml:space="preserve">Adaptive attackers WITH blockchain access (informed attacks)</w:t>
      </w:r>
    </w:p>
    <w:p>
      <w:pPr>
        <w:numPr>
          <w:ilvl w:val="0"/>
          <w:numId w:val="1038"/>
        </w:numPr>
      </w:pPr>
      <w:r>
        <w:rPr>
          <w:b/>
          <w:bCs/>
        </w:rPr>
        <w:t xml:space="preserve">Defense:</w:t>
      </w:r>
      <w:r>
        <w:t xml:space="preserve"> </w:t>
      </w:r>
      <w:r>
        <w:t xml:space="preserve">ATMA + Spectral Sketching detection</w:t>
      </w:r>
    </w:p>
    <w:p>
      <w:pPr>
        <w:numPr>
          <w:ilvl w:val="0"/>
          <w:numId w:val="1038"/>
        </w:numPr>
      </w:pPr>
      <w:r>
        <w:rPr>
          <w:b/>
          <w:bCs/>
        </w:rPr>
        <w:t xml:space="preserve">Rounds:</w:t>
      </w:r>
      <w:r>
        <w:t xml:space="preserve"> </w:t>
      </w:r>
      <w:r>
        <w:t xml:space="preserve">50 rounds, 20 replications</w:t>
      </w:r>
    </w:p>
    <w:p>
      <w:pPr>
        <w:numPr>
          <w:ilvl w:val="0"/>
          <w:numId w:val="1038"/>
        </w:numPr>
      </w:pPr>
      <w:r>
        <w:rPr>
          <w:b/>
          <w:bCs/>
        </w:rPr>
        <w:t xml:space="preserve">Metrics:</w:t>
      </w:r>
      <w:r>
        <w:t xml:space="preserve"> </w:t>
      </w:r>
      <w:r>
        <w:t xml:space="preserve">Attack success rate (model accuracy degradation)</w:t>
      </w:r>
    </w:p>
    <w:bookmarkEnd w:id="58"/>
    <w:bookmarkStart w:id="61" w:name="transparency-paradox-results"/>
    <w:p>
      <w:pPr>
        <w:pStyle w:val="Heading3"/>
      </w:pPr>
      <w:r>
        <w:t xml:space="preserve">Transparency Paradox Results</w:t>
      </w:r>
    </w:p>
    <w:p>
      <w:pPr>
        <w:pStyle w:val="FirstParagraph"/>
      </w:pPr>
      <w:r>
        <w:t xml:space="preserve">Table </w:t>
      </w:r>
      <w:hyperlink w:anchor="tab:transparency_paradox">
        <w:r>
          <w:rPr>
            <w:rStyle w:val="Hyperlink"/>
          </w:rPr>
          <w:t xml:space="preserve">8</w:t>
        </w:r>
      </w:hyperlink>
      <w:r>
        <w:t xml:space="preserve"> </w:t>
      </w:r>
      <w:r>
        <w:t xml:space="preserve">presents the empirical findings.</w:t>
      </w:r>
    </w:p>
    <w:bookmarkStart w:id="62" w:name="tab:transparency_paradox"/>
    <w:p>
      <w:pPr>
        <w:pStyle w:val="TableCaption"/>
      </w:pPr>
      <w:r>
        <w:t xml:space="preserve">Transparency Paradox: Attack Success Rates</w:t>
      </w:r>
    </w:p>
    <w:tbl>
      <w:tblPr>
        <w:tblStyle w:val="Table"/>
        <w:tblW w:type="auto" w:w="0"/>
        <w:tblLook w:firstRow="0" w:lastRow="0" w:firstColumn="0" w:lastColumn="0" w:noHBand="0" w:noVBand="0" w:val="0000"/>
        <w:tblCaption w:val="Transparency Paradox: Attack Success Rates"/>
      </w:tblPr>
      <w:tblGrid>
        <w:gridCol w:w="1980"/>
        <w:gridCol w:w="1980"/>
        <w:gridCol w:w="1980"/>
        <w:gridCol w:w="1980"/>
      </w:tblGrid>
      <w:tr>
        <w:tc>
          <w:tcPr/>
          <w:p>
            <w:pPr>
              <w:pStyle w:val="Compact"/>
              <w:jc w:val="left"/>
            </w:pPr>
            <w:r>
              <w:rPr>
                <w:b/>
                <w:bCs/>
              </w:rPr>
              <w:t xml:space="preserve">Attacker Type</w:t>
            </w:r>
          </w:p>
        </w:tc>
        <w:tc>
          <w:tcPr/>
          <w:p>
            <w:pPr>
              <w:pStyle w:val="Compact"/>
              <w:jc w:val="center"/>
            </w:pPr>
            <w:r>
              <w:rPr>
                <w:b/>
                <w:bCs/>
              </w:rPr>
              <w:t xml:space="preserve">Success</w:t>
            </w:r>
          </w:p>
        </w:tc>
        <w:tc>
          <w:tcPr/>
          <w:p>
            <w:pPr>
              <w:pStyle w:val="Compact"/>
              <w:jc w:val="center"/>
            </w:pPr>
            <w:r>
              <w:rPr>
                <w:b/>
                <w:bCs/>
              </w:rPr>
              <w:t xml:space="preserve">Avg. Model</w:t>
            </w:r>
          </w:p>
        </w:tc>
        <w:tc>
          <w:tcPr/>
          <w:p>
            <w:pPr>
              <w:pStyle w:val="Compact"/>
              <w:jc w:val="center"/>
            </w:pPr>
            <w:r>
              <w:rPr>
                <w:b/>
                <w:bCs/>
              </w:rPr>
              <w:t xml:space="preserve">Detection</w:t>
            </w:r>
          </w:p>
        </w:tc>
      </w:tr>
      <w:tr>
        <w:tc>
          <w:tcPr/>
          <w:p>
            <w:pPr>
              <w:pStyle w:val="Compact"/>
            </w:pPr>
          </w:p>
        </w:tc>
        <w:tc>
          <w:tcPr/>
          <w:p>
            <w:pPr>
              <w:pStyle w:val="Compact"/>
              <w:jc w:val="center"/>
            </w:pPr>
            <w:r>
              <w:rPr>
                <w:b/>
                <w:bCs/>
              </w:rPr>
              <w:t xml:space="preserve">Rate (%)</w:t>
            </w:r>
          </w:p>
        </w:tc>
        <w:tc>
          <w:tcPr/>
          <w:p>
            <w:pPr>
              <w:pStyle w:val="Compact"/>
              <w:jc w:val="center"/>
            </w:pPr>
            <w:r>
              <w:rPr>
                <w:b/>
                <w:bCs/>
              </w:rPr>
              <w:t xml:space="preserve">Degrad. (%)</w:t>
            </w:r>
          </w:p>
        </w:tc>
        <w:tc>
          <w:tcPr/>
          <w:p>
            <w:pPr>
              <w:pStyle w:val="Compact"/>
              <w:jc w:val="center"/>
            </w:pPr>
            <w:r>
              <w:rPr>
                <w:b/>
                <w:bCs/>
              </w:rPr>
              <w:t xml:space="preserve">Latency (rd)</w:t>
            </w:r>
          </w:p>
        </w:tc>
      </w:tr>
      <w:tr>
        <w:tc>
          <w:tcPr/>
          <w:p>
            <w:pPr>
              <w:pStyle w:val="Compact"/>
              <w:jc w:val="left"/>
            </w:pPr>
            <w:r>
              <w:t xml:space="preserve">Blind (No Blockchain)</w:t>
            </w:r>
          </w:p>
        </w:tc>
        <w:tc>
          <w:tcPr/>
          <w:p>
            <w:pPr>
              <w:pStyle w:val="Compact"/>
              <w:jc w:val="center"/>
            </w:pPr>
            <w:r>
              <w:t xml:space="preserve">0.0</w:t>
            </w:r>
          </w:p>
        </w:tc>
        <w:tc>
          <w:tcPr/>
          <w:p>
            <w:pPr>
              <w:pStyle w:val="Compact"/>
              <w:jc w:val="center"/>
            </w:pPr>
            <w:r>
              <w:t xml:space="preserve">0.0</w:t>
            </w:r>
            <w:r>
              <w:t xml:space="preserve"> </w:t>
            </w:r>
            <m:oMath>
              <m:r>
                <m:rPr>
                  <m:sty m:val="p"/>
                </m:rPr>
                <m:t>±</m:t>
              </m:r>
            </m:oMath>
            <w:r>
              <w:t xml:space="preserve"> </w:t>
            </w:r>
            <w:r>
              <w:t xml:space="preserve">0.0</w:t>
            </w:r>
          </w:p>
        </w:tc>
        <w:tc>
          <w:tcPr/>
          <w:p>
            <w:pPr>
              <w:pStyle w:val="Compact"/>
              <w:jc w:val="center"/>
            </w:pPr>
            <w:r>
              <w:t xml:space="preserve">1.2</w:t>
            </w:r>
            <w:r>
              <w:t xml:space="preserve"> </w:t>
            </w:r>
            <m:oMath>
              <m:r>
                <m:rPr>
                  <m:sty m:val="p"/>
                </m:rPr>
                <m:t>±</m:t>
              </m:r>
            </m:oMath>
            <w:r>
              <w:t xml:space="preserve"> </w:t>
            </w:r>
            <w:r>
              <w:t xml:space="preserve">0.4</w:t>
            </w:r>
          </w:p>
        </w:tc>
      </w:tr>
      <w:tr>
        <w:tc>
          <w:tcPr/>
          <w:p>
            <w:pPr>
              <w:pStyle w:val="Compact"/>
              <w:jc w:val="left"/>
            </w:pPr>
            <w:r>
              <w:t xml:space="preserve">Informed (With Blockchain)</w:t>
            </w:r>
          </w:p>
        </w:tc>
        <w:tc>
          <w:tcPr/>
          <w:p>
            <w:pPr>
              <w:pStyle w:val="Compact"/>
              <w:jc w:val="center"/>
            </w:pPr>
            <w:r>
              <w:t xml:space="preserve">11.6</w:t>
            </w:r>
          </w:p>
        </w:tc>
        <w:tc>
          <w:tcPr/>
          <w:p>
            <w:pPr>
              <w:pStyle w:val="Compact"/>
              <w:jc w:val="center"/>
            </w:pPr>
            <w:r>
              <w:t xml:space="preserve">1.8</w:t>
            </w:r>
            <w:r>
              <w:t xml:space="preserve"> </w:t>
            </w:r>
            <m:oMath>
              <m:r>
                <m:rPr>
                  <m:sty m:val="p"/>
                </m:rPr>
                <m:t>±</m:t>
              </m:r>
            </m:oMath>
            <w:r>
              <w:t xml:space="preserve"> </w:t>
            </w:r>
            <w:r>
              <w:t xml:space="preserve">1.2</w:t>
            </w:r>
          </w:p>
        </w:tc>
        <w:tc>
          <w:tcPr/>
          <w:p>
            <w:pPr>
              <w:pStyle w:val="Compact"/>
              <w:jc w:val="center"/>
            </w:pPr>
            <w:r>
              <w:t xml:space="preserve">3.7</w:t>
            </w:r>
            <w:r>
              <w:t xml:space="preserve"> </w:t>
            </w:r>
            <m:oMath>
              <m:r>
                <m:rPr>
                  <m:sty m:val="p"/>
                </m:rPr>
                <m:t>±</m:t>
              </m:r>
            </m:oMath>
            <w:r>
              <w:t xml:space="preserve"> </w:t>
            </w:r>
            <w:r>
              <w:t xml:space="preserve">1.1</w:t>
            </w:r>
          </w:p>
        </w:tc>
      </w:tr>
      <w:tr>
        <w:tc>
          <w:tcPr/>
          <w:p>
            <w:pPr>
              <w:pStyle w:val="Compact"/>
              <w:jc w:val="left"/>
            </w:pPr>
            <w:r>
              <w:rPr>
                <w:b/>
                <w:bCs/>
              </w:rPr>
              <w:t xml:space="preserve">Difference</w:t>
            </w:r>
          </w:p>
        </w:tc>
        <w:tc>
          <w:tcPr/>
          <w:p>
            <w:pPr>
              <w:pStyle w:val="Compact"/>
              <w:jc w:val="center"/>
            </w:pPr>
            <w:r>
              <w:rPr>
                <w:b/>
                <w:bCs/>
              </w:rPr>
              <w:t xml:space="preserve">+11.6</w:t>
            </w:r>
          </w:p>
        </w:tc>
        <w:tc>
          <w:tcPr/>
          <w:p>
            <w:pPr>
              <w:pStyle w:val="Compact"/>
              <w:jc w:val="center"/>
            </w:pPr>
            <w:r>
              <w:rPr>
                <w:b/>
                <w:bCs/>
              </w:rPr>
              <w:t xml:space="preserve">+1.8</w:t>
            </w:r>
          </w:p>
        </w:tc>
        <w:tc>
          <w:tcPr/>
          <w:p>
            <w:pPr>
              <w:pStyle w:val="Compact"/>
              <w:jc w:val="center"/>
            </w:pPr>
            <w:r>
              <w:rPr>
                <w:b/>
                <w:bCs/>
              </w:rPr>
              <w:t xml:space="preserve">+2.5</w:t>
            </w:r>
          </w:p>
        </w:tc>
      </w:tr>
      <w:tr>
        <w:tc>
          <w:tcPr/>
          <w:p>
            <w:pPr>
              <w:pStyle w:val="Compact"/>
              <w:jc w:val="left"/>
            </w:pPr>
            <w:r>
              <w:rPr>
                <w:b/>
                <w:bCs/>
              </w:rPr>
              <w:t xml:space="preserve">Statistical Test</w:t>
            </w:r>
          </w:p>
        </w:tc>
        <w:tc>
          <w:tcPr/>
          <w:p>
            <w:pPr>
              <w:pStyle w:val="Compact"/>
              <w:jc w:val="center"/>
            </w:pPr>
            <m:oMath>
              <m:r>
                <m:t>p</m:t>
              </m:r>
              <m:r>
                <m:rPr>
                  <m:sty m:val="p"/>
                </m:rPr>
                <m:t>&lt;</m:t>
              </m:r>
              <m:r>
                <m:t>0.001</m:t>
              </m:r>
            </m:oMath>
          </w:p>
        </w:tc>
        <w:tc>
          <w:tcPr/>
          <w:p>
            <w:pPr>
              <w:pStyle w:val="Compact"/>
              <w:jc w:val="center"/>
            </w:pPr>
            <m:oMath>
              <m:r>
                <m:t>p</m:t>
              </m:r>
              <m:r>
                <m:rPr>
                  <m:sty m:val="p"/>
                </m:rPr>
                <m:t>=</m:t>
              </m:r>
              <m:r>
                <m:t>0.024</m:t>
              </m:r>
            </m:oMath>
          </w:p>
        </w:tc>
        <w:tc>
          <w:tcPr/>
          <w:p>
            <w:pPr>
              <w:pStyle w:val="Compact"/>
              <w:jc w:val="center"/>
            </w:pPr>
            <m:oMath>
              <m:r>
                <m:t>p</m:t>
              </m:r>
              <m:r>
                <m:rPr>
                  <m:sty m:val="p"/>
                </m:rPr>
                <m:t>&lt;</m:t>
              </m:r>
              <m:r>
                <m:t>0.001</m:t>
              </m:r>
            </m:oMath>
          </w:p>
        </w:tc>
      </w:tr>
    </w:tbl>
    <w:bookmarkEnd w:id="59"/>
    <w:p>
      <w:pPr>
        <w:pStyle w:val="BodyText"/>
      </w:pPr>
      <w:r>
        <w:t xml:space="preserve">Key findings:</w:t>
      </w:r>
    </w:p>
    <w:p>
      <w:pPr>
        <w:numPr>
          <w:ilvl w:val="0"/>
          <w:numId w:val="1039"/>
        </w:numPr>
      </w:pPr>
      <w:r>
        <w:rPr>
          <w:b/>
          <w:bCs/>
        </w:rPr>
        <w:t xml:space="preserve">Marginal Attack Improvement:</w:t>
      </w:r>
      <w:r>
        <w:t xml:space="preserve"> </w:t>
      </w:r>
      <w:r>
        <w:t xml:space="preserve">Blockchain-informed attackers achieve 11.6% success rate vs. 0% for blind attackers. While statistically significant (</w:t>
      </w:r>
      <m:oMath>
        <m:sSup>
          <m:e>
            <m:r>
              <m:t>χ</m:t>
            </m:r>
          </m:e>
          <m:sup>
            <m:r>
              <m:t>2</m:t>
            </m:r>
          </m:sup>
        </m:sSup>
        <m:r>
          <m:rPr>
            <m:sty m:val="p"/>
          </m:rPr>
          <m:t>=</m:t>
        </m:r>
        <m:r>
          <m:t>23.4</m:t>
        </m:r>
      </m:oMath>
      <w:r>
        <w:t xml:space="preserve">,</w:t>
      </w:r>
      <w:r>
        <w:t xml:space="preserve"> </w:t>
      </w:r>
      <m:oMath>
        <m:r>
          <m:t>p</m:t>
        </m:r>
        <m:r>
          <m:rPr>
            <m:sty m:val="p"/>
          </m:rPr>
          <m:t>&lt;</m:t>
        </m:r>
        <m:r>
          <m:t>0.001</m:t>
        </m:r>
      </m:oMath>
      <w:r>
        <w:t xml:space="preserve">), the absolute improvement is modest—attackers succeed in only 1 out of 9 attempts.</w:t>
      </w:r>
    </w:p>
    <w:p>
      <w:pPr>
        <w:numPr>
          <w:ilvl w:val="0"/>
          <w:numId w:val="1039"/>
        </w:numPr>
      </w:pPr>
      <w:r>
        <w:rPr>
          <w:b/>
          <w:bCs/>
        </w:rPr>
        <w:t xml:space="preserve">Limited Model Degradation:</w:t>
      </w:r>
      <w:r>
        <w:t xml:space="preserve"> </w:t>
      </w:r>
      <w:r>
        <w:t xml:space="preserve">Successful attacks degrade model accuracy by only 1.8% on average (from 85.1% to 83.3%), compared to 15-20% degradation reported for undefended systems [35].</w:t>
      </w:r>
    </w:p>
    <w:p>
      <w:pPr>
        <w:numPr>
          <w:ilvl w:val="0"/>
          <w:numId w:val="1039"/>
        </w:numPr>
      </w:pPr>
      <w:r>
        <w:rPr>
          <w:b/>
          <w:bCs/>
        </w:rPr>
        <w:t xml:space="preserve">Detection Evasion Delay:</w:t>
      </w:r>
      <w:r>
        <w:t xml:space="preserve"> </w:t>
      </w:r>
      <w:r>
        <w:t xml:space="preserve">Informed attackers evade detection for 3.7 rounds vs. 1.2 rounds for blind attackers (</w:t>
      </w:r>
      <m:oMath>
        <m:r>
          <m:t>t</m:t>
        </m:r>
        <m:r>
          <m:rPr>
            <m:sty m:val="p"/>
          </m:rPr>
          <m:t>(</m:t>
        </m:r>
        <m:r>
          <m:t>38</m:t>
        </m:r>
        <m:r>
          <m:rPr>
            <m:sty m:val="p"/>
          </m:rPr>
          <m:t>)</m:t>
        </m:r>
        <m:r>
          <m:rPr>
            <m:sty m:val="p"/>
          </m:rPr>
          <m:t>=</m:t>
        </m:r>
        <m:r>
          <m:t>8.34</m:t>
        </m:r>
      </m:oMath>
      <w:r>
        <w:t xml:space="preserve">,</w:t>
      </w:r>
      <w:r>
        <w:t xml:space="preserve"> </w:t>
      </w:r>
      <m:oMath>
        <m:r>
          <m:t>p</m:t>
        </m:r>
        <m:r>
          <m:rPr>
            <m:sty m:val="p"/>
          </m:rPr>
          <m:t>&lt;</m:t>
        </m:r>
        <m:r>
          <m:t>0.001</m:t>
        </m:r>
      </m:oMath>
      <w:r>
        <w:t xml:space="preserve">), indicating learning from blockchain logs provides temporary stealth advantage.</w:t>
      </w:r>
    </w:p>
    <w:p>
      <w:pPr>
        <w:numPr>
          <w:ilvl w:val="0"/>
          <w:numId w:val="1039"/>
        </w:numPr>
      </w:pPr>
      <w:r>
        <w:rPr>
          <w:b/>
          <w:bCs/>
        </w:rPr>
        <w:t xml:space="preserve">Eventual Detection:</w:t>
      </w:r>
      <w:r>
        <w:t xml:space="preserve"> </w:t>
      </w:r>
      <w:r>
        <w:t xml:space="preserve">All adaptive attacks were ultimately detected within 8 rounds (mean=3.7,</w:t>
      </w:r>
      <w:r>
        <w:t xml:space="preserve"> </w:t>
      </w:r>
      <m:oMath>
        <m:r>
          <m:t>σ</m:t>
        </m:r>
        <m:r>
          <m:rPr>
            <m:sty m:val="p"/>
          </m:rPr>
          <m:t>=</m:t>
        </m:r>
        <m:r>
          <m:t>1.1</m:t>
        </m:r>
      </m:oMath>
      <w:r>
        <w:t xml:space="preserve">), with detection accuracy maintained at 94.3% (vs. 97.8% for blind attacks).</w:t>
      </w:r>
    </w:p>
    <w:bookmarkEnd w:id="60"/>
    <w:bookmarkStart w:id="63" w:name="paradox-resolution"/>
    <w:p>
      <w:pPr>
        <w:pStyle w:val="Heading3"/>
      </w:pPr>
      <w:r>
        <w:t xml:space="preserve">Paradox Resolution</w:t>
      </w:r>
    </w:p>
    <w:p>
      <w:pPr>
        <w:pStyle w:val="FirstParagraph"/>
      </w:pPr>
      <w:r>
        <w:t xml:space="preserve">The Transparency Paradox is resolved in favor of</w:t>
      </w:r>
      <w:r>
        <w:t xml:space="preserve"> </w:t>
      </w:r>
      <w:r>
        <w:rPr>
          <w:i/>
          <w:iCs/>
        </w:rPr>
        <w:t xml:space="preserve">defenders</w:t>
      </w:r>
      <w:r>
        <w:t xml:space="preserve">:</w:t>
      </w:r>
    </w:p>
    <w:p>
      <w:pPr>
        <w:numPr>
          <w:ilvl w:val="0"/>
          <w:numId w:val="1040"/>
        </w:numPr>
      </w:pPr>
      <w:r>
        <w:rPr>
          <w:b/>
          <w:bCs/>
        </w:rPr>
        <w:t xml:space="preserve">Accountability Dominates:</w:t>
      </w:r>
      <w:r>
        <w:t xml:space="preserve"> </w:t>
      </w:r>
      <w:r>
        <w:t xml:space="preserve">The 11.6% attack success improvement is outweighed by comprehensive forensic capabilities—all 58 attack attempts across 20 replications were permanently recorded with timestamps, client IDs, and attack signatures.</w:t>
      </w:r>
    </w:p>
    <w:p>
      <w:pPr>
        <w:numPr>
          <w:ilvl w:val="0"/>
          <w:numId w:val="1040"/>
        </w:numPr>
      </w:pPr>
      <w:r>
        <w:rPr>
          <w:b/>
          <w:bCs/>
        </w:rPr>
        <w:t xml:space="preserve">Reputation Systems:</w:t>
      </w:r>
      <w:r>
        <w:t xml:space="preserve"> </w:t>
      </w:r>
      <w:r>
        <w:t xml:space="preserve">Blockchain logs enable reputation-based client scoring. Clients with</w:t>
      </w:r>
      <w:r>
        <w:t xml:space="preserve"> </w:t>
      </w:r>
      <m:oMath>
        <m:r>
          <m:rPr>
            <m:sty m:val="p"/>
          </m:rPr>
          <m:t>&gt;</m:t>
        </m:r>
        <m:r>
          <m:t>3</m:t>
        </m:r>
      </m:oMath>
      <w:r>
        <w:t xml:space="preserve"> </w:t>
      </w:r>
      <w:r>
        <w:t xml:space="preserve">detections can be automatically flagged or excluded in subsequent rounds, reducing attack surface.</w:t>
      </w:r>
    </w:p>
    <w:p>
      <w:pPr>
        <w:numPr>
          <w:ilvl w:val="0"/>
          <w:numId w:val="1040"/>
        </w:numPr>
      </w:pPr>
      <w:r>
        <w:rPr>
          <w:b/>
          <w:bCs/>
        </w:rPr>
        <w:t xml:space="preserve">Post-Hoc Analysis:</w:t>
      </w:r>
      <w:r>
        <w:t xml:space="preserve"> </w:t>
      </w:r>
      <w:r>
        <w:t xml:space="preserve">Transparent logs allowed identification of attack patterns (e.g., "gradual escalation" vs. "sudden spike") impossible in centralized systems where attackers could delete evidence.</w:t>
      </w:r>
    </w:p>
    <w:p>
      <w:pPr>
        <w:numPr>
          <w:ilvl w:val="0"/>
          <w:numId w:val="1040"/>
        </w:numPr>
      </w:pPr>
      <w:r>
        <w:rPr>
          <w:b/>
          <w:bCs/>
        </w:rPr>
        <w:t xml:space="preserve">Network Effect:</w:t>
      </w:r>
      <w:r>
        <w:t xml:space="preserve"> </w:t>
      </w:r>
      <w:r>
        <w:t xml:space="preserve">In multi-organization federations, shared blockchain logs enable cross-validation of client trustworthiness, amplifying defensive benefits.</w:t>
      </w:r>
    </w:p>
    <w:p>
      <w:pPr>
        <w:pStyle w:val="FirstParagraph"/>
      </w:pPr>
      <w:r>
        <w:rPr>
          <w:b/>
          <w:bCs/>
        </w:rPr>
        <w:t xml:space="preserve">Quantified Forensic Value:</w:t>
      </w:r>
      <w:r>
        <w:t xml:space="preserve"> </w:t>
      </w:r>
      <w:r>
        <w:t xml:space="preserve">Table </w:t>
      </w:r>
      <w:hyperlink w:anchor="tab:forensic_value">
        <w:r>
          <w:rPr>
            <w:rStyle w:val="Hyperlink"/>
          </w:rPr>
          <w:t xml:space="preserve">9</w:t>
        </w:r>
      </w:hyperlink>
      <w:r>
        <w:t xml:space="preserve"> </w:t>
      </w:r>
      <w:r>
        <w:t xml:space="preserve">summarizes the tradeoff between attacker advantages and defender benefits from blockchain transparency. All values are from our experiments (Table </w:t>
      </w:r>
      <w:hyperlink w:anchor="tab:transparency_paradox">
        <w:r>
          <w:rPr>
            <w:rStyle w:val="Hyperlink"/>
          </w:rPr>
          <w:t xml:space="preserve">8</w:t>
        </w:r>
      </w:hyperlink>
      <w:r>
        <w:t xml:space="preserve">).</w:t>
      </w:r>
    </w:p>
    <w:bookmarkStart w:id="64" w:name="tab:forensic_value"/>
    <w:p>
      <w:pPr>
        <w:pStyle w:val="TableCaption"/>
      </w:pPr>
      <w:r>
        <w:t xml:space="preserve">Transparency Paradox: Attacker vs. Defender Analysis</w:t>
      </w:r>
    </w:p>
    <w:tbl>
      <w:tblPr>
        <w:tblStyle w:val="Table"/>
        <w:tblW w:type="auto" w:w="0"/>
        <w:tblLook w:firstRow="1" w:lastRow="0" w:firstColumn="0" w:lastColumn="0" w:noHBand="0" w:noVBand="0" w:val="0020"/>
        <w:tblCaption w:val="Transparency Paradox: Attacker vs. Defender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Value</w:t>
            </w:r>
          </w:p>
        </w:tc>
        <w:tc>
          <w:tcPr/>
          <w:p>
            <w:pPr>
              <w:pStyle w:val="Compact"/>
              <w:jc w:val="center"/>
            </w:pPr>
            <w:r>
              <w:rPr>
                <w:b/>
                <w:bCs/>
              </w:rPr>
              <w:t xml:space="preserve">Source</w:t>
            </w:r>
          </w:p>
        </w:tc>
      </w:tr>
      <w:tr>
        <w:tc>
          <w:tcPr>
            <w:gridSpan w:val="3"/>
          </w:tcPr>
          <w:p>
            <w:pPr>
              <w:pStyle w:val="Compact"/>
              <w:jc w:val="left"/>
            </w:pPr>
            <w:r>
              <w:rPr>
                <w:i/>
                <w:iCs/>
              </w:rPr>
              <w:t xml:space="preserve">Attacker Advantages (From Blockchain Access):</w:t>
            </w:r>
          </w:p>
        </w:tc>
      </w:tr>
      <w:tr>
        <w:tc>
          <w:tcPr/>
          <w:p>
            <w:pPr>
              <w:pStyle w:val="Compact"/>
              <w:jc w:val="left"/>
            </w:pPr>
            <w:r>
              <w:t xml:space="preserve">Attack success increase</w:t>
            </w:r>
          </w:p>
        </w:tc>
        <w:tc>
          <w:tcPr/>
          <w:p>
            <w:pPr>
              <w:pStyle w:val="Compact"/>
              <w:jc w:val="center"/>
            </w:pPr>
            <w:r>
              <w:t xml:space="preserve">+11.6%</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Detection evasion</w:t>
            </w:r>
          </w:p>
        </w:tc>
        <w:tc>
          <w:tcPr/>
          <w:p>
            <w:pPr>
              <w:pStyle w:val="Compact"/>
              <w:jc w:val="center"/>
            </w:pPr>
            <w:r>
              <w:t xml:space="preserve">+2.5 rounds</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Model degradation</w:t>
            </w:r>
          </w:p>
        </w:tc>
        <w:tc>
          <w:tcPr/>
          <w:p>
            <w:pPr>
              <w:pStyle w:val="Compact"/>
              <w:jc w:val="center"/>
            </w:pPr>
            <w:r>
              <w:t xml:space="preserve">+1.8%</w:t>
            </w:r>
          </w:p>
        </w:tc>
        <w:tc>
          <w:tcPr/>
          <w:p>
            <w:pPr>
              <w:pStyle w:val="Compact"/>
              <w:jc w:val="center"/>
            </w:pPr>
            <w:r>
              <w:t xml:space="preserve">Table </w:t>
            </w:r>
            <w:hyperlink w:anchor="tab:transparency_paradox">
              <w:r>
                <w:rPr>
                  <w:rStyle w:val="Hyperlink"/>
                </w:rPr>
                <w:t xml:space="preserve">8</w:t>
              </w:r>
            </w:hyperlink>
          </w:p>
        </w:tc>
      </w:tr>
      <w:tr>
        <w:tc>
          <w:tcPr>
            <w:gridSpan w:val="3"/>
          </w:tcPr>
          <w:p>
            <w:pPr>
              <w:pStyle w:val="Compact"/>
              <w:jc w:val="left"/>
            </w:pPr>
            <w:r>
              <w:rPr>
                <w:i/>
                <w:iCs/>
              </w:rPr>
              <w:t xml:space="preserve">Defensive Benefits:</w:t>
            </w:r>
          </w:p>
        </w:tc>
      </w:tr>
      <w:tr>
        <w:tc>
          <w:tcPr/>
          <w:p>
            <w:pPr>
              <w:pStyle w:val="Compact"/>
              <w:jc w:val="left"/>
            </w:pPr>
            <w:r>
              <w:t xml:space="preserve">Attack detection rate</w:t>
            </w:r>
          </w:p>
        </w:tc>
        <w:tc>
          <w:tcPr/>
          <w:p>
            <w:pPr>
              <w:pStyle w:val="Compact"/>
              <w:jc w:val="center"/>
            </w:pPr>
            <w:r>
              <w:t xml:space="preserve">94.3%</w:t>
            </w:r>
          </w:p>
        </w:tc>
        <w:tc>
          <w:tcPr/>
          <w:p>
            <w:pPr>
              <w:pStyle w:val="Compact"/>
              <w:jc w:val="center"/>
            </w:pPr>
            <w:r>
              <w:t xml:space="preserve">Experiment</w:t>
            </w:r>
          </w:p>
        </w:tc>
      </w:tr>
      <w:tr>
        <w:tc>
          <w:tcPr/>
          <w:p>
            <w:pPr>
              <w:pStyle w:val="Compact"/>
              <w:jc w:val="left"/>
            </w:pPr>
            <w:r>
              <w:t xml:space="preserve">Forensic record coverage</w:t>
            </w:r>
          </w:p>
        </w:tc>
        <w:tc>
          <w:tcPr/>
          <w:p>
            <w:pPr>
              <w:pStyle w:val="Compact"/>
              <w:jc w:val="center"/>
            </w:pPr>
            <w:r>
              <w:t xml:space="preserve">100% (58/58)</w:t>
            </w:r>
          </w:p>
        </w:tc>
        <w:tc>
          <w:tcPr/>
          <w:p>
            <w:pPr>
              <w:pStyle w:val="Compact"/>
              <w:jc w:val="center"/>
            </w:pPr>
            <w:r>
              <w:t xml:space="preserve">Blockchain logs</w:t>
            </w:r>
          </w:p>
        </w:tc>
      </w:tr>
      <w:tr>
        <w:tc>
          <w:tcPr/>
          <w:p>
            <w:pPr>
              <w:pStyle w:val="Compact"/>
              <w:jc w:val="left"/>
            </w:pPr>
            <w:r>
              <w:t xml:space="preserve">Detection latency</w:t>
            </w:r>
          </w:p>
        </w:tc>
        <w:tc>
          <w:tcPr/>
          <w:p>
            <w:pPr>
              <w:pStyle w:val="Compact"/>
              <w:jc w:val="center"/>
            </w:pPr>
            <m:oMath>
              <m:r>
                <m:rPr>
                  <m:sty m:val="p"/>
                </m:rPr>
                <m:t>&lt;</m:t>
              </m:r>
            </m:oMath>
            <w:r>
              <w:t xml:space="preserve">12s (1 block)</w:t>
            </w:r>
          </w:p>
        </w:tc>
        <w:tc>
          <w:tcPr/>
          <w:p>
            <w:pPr>
              <w:pStyle w:val="Compact"/>
              <w:jc w:val="center"/>
            </w:pPr>
            <w:r>
              <w:t xml:space="preserve">Ganache simulation</w:t>
            </w:r>
          </w:p>
        </w:tc>
      </w:tr>
    </w:tbl>
    <w:bookmarkEnd w:id="61"/>
    <w:p>
      <w:pPr>
        <w:pStyle w:val="BodyText"/>
      </w:pPr>
      <w:r>
        <w:t xml:space="preserve">The defensive benefits (permanent audit trails, real-time detection, forensic analysis) outweigh the modest attacker advantage (+11.6% success rate), validating blockchain transparency provides net security benefit.</w:t>
      </w:r>
    </w:p>
    <w:p>
      <w:pPr>
        <w:pStyle w:val="BodyText"/>
      </w:pPr>
      <w:r>
        <w:t xml:space="preserve">Figure </w:t>
      </w:r>
      <w:hyperlink w:anchor="fig:transparency_tradeoff">
        <w:r>
          <w:rPr>
            <w:rStyle w:val="Hyperlink"/>
          </w:rPr>
          <w:t xml:space="preserve">5</w:t>
        </w:r>
      </w:hyperlink>
      <w:r>
        <w:t xml:space="preserve"> </w:t>
      </w:r>
      <w:r>
        <w:t xml:space="preserve">visualizes this tradeoff.</w:t>
      </w:r>
    </w:p>
    <w:bookmarkStart w:id="65" w:name="fig:transparency_tradeoff"/>
    <w:p>
      <w:pPr>
        <w:pStyle w:val="CaptionedFigure"/>
      </w:pPr>
      <w:r>
        <w:drawing>
          <wp:inline>
            <wp:extent cx="2560320" cy="986059"/>
            <wp:effectExtent b="0" l="0" r="0" t="0"/>
            <wp:docPr descr="" title="" id="5" name="Picture"/>
            <a:graphic>
              <a:graphicData uri="http://schemas.openxmlformats.org/drawingml/2006/picture">
                <pic:pic>
                  <pic:nvPicPr>
                    <pic:cNvPr descr="../revision_ETASR_APRIL2026/media/visualizations/transparency_tradeoff.png" id="5" name="Picture"/>
                    <pic:cNvPicPr>
                      <a:picLocks noChangeArrowheads="1" noChangeAspect="1"/>
                    </pic:cNvPicPr>
                  </pic:nvPicPr>
                  <pic:blipFill>
                    <a:blip r:embed="rId14"/>
                    <a:stretch>
                      <a:fillRect/>
                    </a:stretch>
                  </pic:blipFill>
                  <pic:spPr bwMode="auto">
                    <a:xfrm>
                      <a:off x="0" y="0"/>
                      <a:ext cx="2560320" cy="986059"/>
                    </a:xfrm>
                    <a:prstGeom prst="rect">
                      <a:avLst/>
                    </a:prstGeom>
                    <a:noFill/>
                    <a:ln w="9525">
                      <a:noFill/>
                      <a:headEnd/>
                      <a:tailEnd/>
                    </a:ln>
                  </pic:spPr>
                </pic:pic>
              </a:graphicData>
            </a:graphic>
          </wp:inline>
        </w:drawing>
      </w:r>
    </w:p>
    <w:p>
      <w:pPr>
        <w:pStyle w:val="ImageCaption"/>
      </w:pPr>
      <w:r>
        <w:t xml:space="preserve">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bookmarkEnd w:id="62"/>
    <w:bookmarkEnd w:id="63"/>
    <w:bookmarkStart w:id="66" w:name="practical-implications"/>
    <w:p>
      <w:pPr>
        <w:pStyle w:val="Heading3"/>
      </w:pPr>
      <w:r>
        <w:t xml:space="preserve">Practical Implications</w:t>
      </w:r>
    </w:p>
    <w:p>
      <w:pPr>
        <w:pStyle w:val="FirstParagraph"/>
      </w:pPr>
      <w:r>
        <w:t xml:space="preserve">For production blockchain-FL systems facing sophisticated adaptive adversaries:</w:t>
      </w:r>
    </w:p>
    <w:p>
      <w:pPr>
        <w:numPr>
          <w:ilvl w:val="0"/>
          <w:numId w:val="1041"/>
        </w:numPr>
      </w:pPr>
      <w:r>
        <w:rPr>
          <w:b/>
          <w:bCs/>
        </w:rPr>
        <w:t xml:space="preserve">Embrace Transparency:</w:t>
      </w:r>
      <w:r>
        <w:t xml:space="preserve"> </w:t>
      </w:r>
      <w:r>
        <w:t xml:space="preserve">The modest attack success improvement (11.6%) is acceptable given overwhelming defensive benefits from immutable audit trails.</w:t>
      </w:r>
    </w:p>
    <w:p>
      <w:pPr>
        <w:numPr>
          <w:ilvl w:val="0"/>
          <w:numId w:val="1041"/>
        </w:numPr>
      </w:pPr>
      <w:r>
        <w:rPr>
          <w:b/>
          <w:bCs/>
        </w:rPr>
        <w:t xml:space="preserve">Implement Reputation Systems:</w:t>
      </w:r>
      <w:r>
        <w:t xml:space="preserve"> </w:t>
      </w:r>
      <w:r>
        <w:t xml:space="preserve">Leverage blockchain logs to build client reputation scores. Our experiments show reputation-based filtering reduces attack success to 2.3%.</w:t>
      </w:r>
    </w:p>
    <w:p>
      <w:pPr>
        <w:numPr>
          <w:ilvl w:val="0"/>
          <w:numId w:val="1041"/>
        </w:numPr>
      </w:pPr>
      <w:r>
        <w:rPr>
          <w:b/>
          <w:bCs/>
        </w:rPr>
        <w:t xml:space="preserve">Multi-Layered Defense:</w:t>
      </w:r>
      <w:r>
        <w:t xml:space="preserve"> </w:t>
      </w:r>
      <w:r>
        <w:t xml:space="preserve">Combine ATMA (adaptive aggregation) + Spectral Sketching (detection) + Reputation (prevention) for defense-in-depth.</w:t>
      </w:r>
    </w:p>
    <w:p>
      <w:pPr>
        <w:numPr>
          <w:ilvl w:val="0"/>
          <w:numId w:val="1041"/>
        </w:numPr>
      </w:pPr>
      <w:r>
        <w:rPr>
          <w:b/>
          <w:bCs/>
        </w:rPr>
        <w:t xml:space="preserve">Rapid Response:</w:t>
      </w:r>
      <w:r>
        <w:t xml:space="preserve"> </w:t>
      </w:r>
      <w:r>
        <w:t xml:space="preserve">Blockchain enables real-time alerting. In our testbed, attacks triggered alerts within 1 block ( 12 seconds), allowing immediate client suspension.</w:t>
      </w:r>
    </w:p>
    <w:bookmarkEnd w:id="64"/>
    <w:bookmarkEnd w:id="65"/>
    <w:bookmarkStart w:id="67" w:name="gas-consumption-analysis"/>
    <w:p>
      <w:pPr>
        <w:pStyle w:val="Heading2"/>
      </w:pPr>
      <w:r>
        <w:t xml:space="preserve">Gas Consumption Analysis</w:t>
      </w:r>
    </w:p>
    <w:p>
      <w:pPr>
        <w:pStyle w:val="FirstParagraph"/>
      </w:pPr>
      <w:r>
        <w:t xml:space="preserve">Table </w:t>
      </w:r>
      <w:hyperlink w:anchor="tab:gas_analysis">
        <w:r>
          <w:rPr>
            <w:rStyle w:val="Hyperlink"/>
          </w:rPr>
          <w:t xml:space="preserve">10</w:t>
        </w:r>
      </w:hyperlink>
      <w:r>
        <w:t xml:space="preserve"> </w:t>
      </w:r>
      <w:r>
        <w:t xml:space="preserve">presents the gas consumption breakdown. Despite the blockchain overhead, the cost per round remains reasonable ( 1.77M gas/round for TrimmedMean 160r).</w:t>
      </w:r>
    </w:p>
    <w:bookmarkStart w:id="68" w:name="tab:gas_analysis"/>
    <w:p>
      <w:pPr>
        <w:pStyle w:val="TableCaption"/>
      </w:pPr>
      <w:r>
        <w:t xml:space="preserve">Gas Consumption Analysis</w:t>
      </w:r>
    </w:p>
    <w:tbl>
      <w:tblPr>
        <w:tblStyle w:val="Table"/>
        <w:tblW w:type="auto" w:w="0"/>
        <w:tblLook w:firstRow="0" w:lastRow="0" w:firstColumn="0" w:lastColumn="0" w:noHBand="0" w:noVBand="0" w:val="0000"/>
        <w:tblCaption w:val="Gas Consumption Analysis"/>
      </w:tblPr>
      <w:tblGrid>
        <w:gridCol w:w="1980"/>
        <w:gridCol w:w="1980"/>
        <w:gridCol w:w="1980"/>
        <w:gridCol w:w="1980"/>
      </w:tblGrid>
      <w:tr>
        <w:tc>
          <w:tcPr/>
          <w:p>
            <w:pPr>
              <w:pStyle w:val="Compact"/>
              <w:jc w:val="left"/>
            </w:pPr>
            <w:r>
              <w:rPr>
                <w:b/>
                <w:bCs/>
              </w:rPr>
              <w:t xml:space="preserve">Algorithm</w:t>
            </w:r>
          </w:p>
        </w:tc>
        <w:tc>
          <w:tcPr/>
          <w:p>
            <w:pPr>
              <w:pStyle w:val="Compact"/>
              <w:jc w:val="right"/>
            </w:pPr>
            <w:r>
              <w:rPr>
                <w:b/>
                <w:bCs/>
              </w:rPr>
              <w:t xml:space="preserve">Total</w:t>
            </w:r>
          </w:p>
        </w:tc>
        <w:tc>
          <w:tcPr/>
          <w:p>
            <w:pPr>
              <w:pStyle w:val="Compact"/>
              <w:jc w:val="right"/>
            </w:pPr>
            <w:r>
              <w:rPr>
                <w:b/>
                <w:bCs/>
              </w:rPr>
              <w:t xml:space="preserve">Per Round</w:t>
            </w:r>
          </w:p>
        </w:tc>
        <w:tc>
          <w:tcPr/>
          <w:p>
            <w:pPr>
              <w:pStyle w:val="Compact"/>
              <w:jc w:val="right"/>
            </w:pPr>
            <w:r>
              <w:rPr>
                <w:b/>
                <w:bCs/>
              </w:rPr>
              <w:t xml:space="preserve">Per Client</w:t>
            </w:r>
          </w:p>
        </w:tc>
      </w:tr>
      <w:tr>
        <w:tc>
          <w:tcPr/>
          <w:p>
            <w:pPr>
              <w:pStyle w:val="Compact"/>
            </w:pPr>
          </w:p>
        </w:tc>
        <w:tc>
          <w:tcPr/>
          <w:p>
            <w:pPr>
              <w:pStyle w:val="Compact"/>
              <w:jc w:val="right"/>
            </w:pPr>
            <w:r>
              <w:rPr>
                <w:b/>
                <w:bCs/>
              </w:rPr>
              <w:t xml:space="preserve">(M gas)</w:t>
            </w:r>
          </w:p>
        </w:tc>
        <w:tc>
          <w:tcPr/>
          <w:p>
            <w:pPr>
              <w:pStyle w:val="Compact"/>
              <w:jc w:val="right"/>
            </w:pPr>
            <w:r>
              <w:rPr>
                <w:b/>
                <w:bCs/>
              </w:rPr>
              <w:t xml:space="preserve">(M gas)</w:t>
            </w:r>
          </w:p>
        </w:tc>
        <w:tc>
          <w:tcPr/>
          <w:p>
            <w:pPr>
              <w:pStyle w:val="Compact"/>
              <w:jc w:val="right"/>
            </w:pPr>
            <w:r>
              <w:rPr>
                <w:b/>
                <w:bCs/>
              </w:rPr>
              <w:t xml:space="preserve">(M gas)</w:t>
            </w:r>
          </w:p>
        </w:tc>
      </w:tr>
      <w:tr>
        <w:tc>
          <w:tcPr/>
          <w:p>
            <w:pPr>
              <w:pStyle w:val="Compact"/>
              <w:jc w:val="left"/>
            </w:pPr>
            <w:r>
              <w:t xml:space="preserve">Krum</w:t>
            </w:r>
          </w:p>
        </w:tc>
        <w:tc>
          <w:tcPr/>
          <w:p>
            <w:pPr>
              <w:pStyle w:val="Compact"/>
              <w:jc w:val="right"/>
            </w:pPr>
            <w:r>
              <w:t xml:space="preserve">90.0</w:t>
            </w:r>
          </w:p>
        </w:tc>
        <w:tc>
          <w:tcPr/>
          <w:p>
            <w:pPr>
              <w:pStyle w:val="Compact"/>
              <w:jc w:val="right"/>
            </w:pPr>
            <w:r>
              <w:t xml:space="preserve">1.80</w:t>
            </w:r>
          </w:p>
        </w:tc>
        <w:tc>
          <w:tcPr/>
          <w:p>
            <w:pPr>
              <w:pStyle w:val="Compact"/>
              <w:jc w:val="right"/>
            </w:pPr>
            <w:r>
              <w:t xml:space="preserve">0.09</w:t>
            </w:r>
          </w:p>
        </w:tc>
      </w:tr>
      <w:tr>
        <w:tc>
          <w:tcPr/>
          <w:p>
            <w:pPr>
              <w:pStyle w:val="Compact"/>
              <w:jc w:val="left"/>
            </w:pPr>
            <w:r>
              <w:t xml:space="preserve">FedAvg</w:t>
            </w:r>
          </w:p>
        </w:tc>
        <w:tc>
          <w:tcPr/>
          <w:p>
            <w:pPr>
              <w:pStyle w:val="Compact"/>
              <w:jc w:val="right"/>
            </w:pPr>
            <w:r>
              <w:t xml:space="preserve">88.6</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50r</w:t>
            </w:r>
          </w:p>
        </w:tc>
        <w:tc>
          <w:tcPr/>
          <w:p>
            <w:pPr>
              <w:pStyle w:val="Compact"/>
              <w:jc w:val="right"/>
            </w:pPr>
            <w:r>
              <w:t xml:space="preserve">88.3</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160r</w:t>
            </w:r>
          </w:p>
        </w:tc>
        <w:tc>
          <w:tcPr/>
          <w:p>
            <w:pPr>
              <w:pStyle w:val="Compact"/>
              <w:jc w:val="right"/>
            </w:pPr>
            <w:r>
              <w:t xml:space="preserve">283.2</w:t>
            </w:r>
          </w:p>
        </w:tc>
        <w:tc>
          <w:tcPr/>
          <w:p>
            <w:pPr>
              <w:pStyle w:val="Compact"/>
              <w:jc w:val="right"/>
            </w:pPr>
            <w:r>
              <w:t xml:space="preserve">1.77</w:t>
            </w:r>
          </w:p>
        </w:tc>
        <w:tc>
          <w:tcPr/>
          <w:p>
            <w:pPr>
              <w:pStyle w:val="Compact"/>
              <w:jc w:val="right"/>
            </w:pPr>
            <w:r>
              <w:t xml:space="preserve">0.09</w:t>
            </w:r>
          </w:p>
        </w:tc>
      </w:tr>
    </w:tbl>
    <w:bookmarkEnd w:id="66"/>
    <w:bookmarkEnd w:id="67"/>
    <w:bookmarkStart w:id="69" w:name="layer-2-validation"/>
    <w:p>
      <w:pPr>
        <w:pStyle w:val="Heading2"/>
      </w:pPr>
      <w:r>
        <w:t xml:space="preserve">Layer-2 Validation</w:t>
      </w:r>
    </w:p>
    <w:p>
      <w:pPr>
        <w:pStyle w:val="FirstParagraph"/>
      </w:pPr>
      <w:r>
        <w:t xml:space="preserve">The simulated Layer-2 experiment achieves 93.03% accuracy in only 50 rounds, demonstrating:</w:t>
      </w:r>
    </w:p>
    <w:p>
      <w:pPr>
        <w:numPr>
          <w:ilvl w:val="0"/>
          <w:numId w:val="1042"/>
        </w:numPr>
      </w:pPr>
      <w:r>
        <w:t xml:space="preserve">Faster convergence on L2 infrastructure</w:t>
      </w:r>
    </w:p>
    <w:p>
      <w:pPr>
        <w:numPr>
          <w:ilvl w:val="0"/>
          <w:numId w:val="1042"/>
        </w:numPr>
      </w:pPr>
      <w:r>
        <w:t xml:space="preserve">Reduced latency benefits training efficiency</w:t>
      </w:r>
    </w:p>
    <w:p>
      <w:pPr>
        <w:numPr>
          <w:ilvl w:val="0"/>
          <w:numId w:val="1042"/>
        </w:numPr>
      </w:pPr>
      <w:r>
        <w:t xml:space="preserve">Scalability of our approach to multi-layer blockchain networks</w:t>
      </w:r>
    </w:p>
    <w:p>
      <w:pPr>
        <w:numPr>
          <w:ilvl w:val="0"/>
          <w:numId w:val="1042"/>
        </w:numPr>
      </w:pPr>
      <w:r>
        <w:t xml:space="preserve">Only 0.42% accuracy difference from 160-round L1 training</w:t>
      </w:r>
    </w:p>
    <w:bookmarkEnd w:id="68"/>
    <w:bookmarkStart w:id="70" w:name="comparison-with-literature"/>
    <w:p>
      <w:pPr>
        <w:pStyle w:val="Heading2"/>
      </w:pPr>
      <w:r>
        <w:t xml:space="preserve">Comparison with Literature</w:t>
      </w:r>
    </w:p>
    <w:p>
      <w:pPr>
        <w:pStyle w:val="FirstParagraph"/>
      </w:pPr>
      <w:r>
        <w:t xml:space="preserve">Table </w:t>
      </w:r>
      <w:hyperlink w:anchor="tab:literature_comparison">
        <w:r>
          <w:rPr>
            <w:rStyle w:val="Hyperlink"/>
          </w:rPr>
          <w:t xml:space="preserve">11</w:t>
        </w:r>
      </w:hyperlink>
      <w:r>
        <w:t xml:space="preserve"> </w:t>
      </w:r>
      <w:r>
        <w:t xml:space="preserve">provides context for our results. Note: Direct comparison is not possible due to different experimental settings.</w:t>
      </w:r>
    </w:p>
    <w:bookmarkStart w:id="71" w:name="tab:literature_comparison"/>
    <w:p>
      <w:pPr>
        <w:pStyle w:val="TableCaption"/>
      </w:pPr>
      <w:r>
        <w:t xml:space="preserve">Literature Context (Not Directly Comparable</w:t>
      </w:r>
      <m:oMath>
        <m:sSup>
          <m:e>
            <m:r>
              <m:t>​</m:t>
            </m:r>
          </m:e>
          <m:sup>
            <m:r>
              <m:rPr>
                <m:sty m:val="p"/>
              </m:rPr>
              <m:t>*</m:t>
            </m:r>
          </m:sup>
        </m:sSup>
      </m:oMath>
      <w:r>
        <w:t xml:space="preserve">)</w:t>
      </w:r>
    </w:p>
    <w:tbl>
      <w:tblPr>
        <w:tblStyle w:val="Table"/>
        <w:tblW w:type="auto" w:w="0"/>
        <w:tblLook w:firstRow="1" w:lastRow="0" w:firstColumn="0" w:lastColumn="0" w:noHBand="0" w:noVBand="0" w:val="0020"/>
        <w:tblCaption w:val="Literature Context (Not Directly Comparable^*)"/>
      </w:tblPr>
      <w:tblGrid>
        <w:gridCol w:w="1980"/>
        <w:gridCol w:w="1980"/>
        <w:gridCol w:w="1980"/>
        <w:gridCol w:w="1980"/>
      </w:tblGrid>
      <w:tr>
        <w:trPr>
          <w:tblHeader w:val="on"/>
        </w:trPr>
        <w:tc>
          <w:tcPr/>
          <w:p>
            <w:pPr>
              <w:pStyle w:val="Compact"/>
              <w:jc w:val="left"/>
            </w:pPr>
            <w:r>
              <w:rPr>
                <w:b/>
                <w:bCs/>
              </w:rPr>
              <w:t xml:space="preserve">Study</w:t>
            </w:r>
          </w:p>
        </w:tc>
        <w:tc>
          <w:tcPr/>
          <w:p>
            <w:pPr>
              <w:pStyle w:val="Compact"/>
              <w:jc w:val="center"/>
            </w:pPr>
            <w:r>
              <w:rPr>
                <w:b/>
                <w:bCs/>
              </w:rPr>
              <w:t xml:space="preserve">Acc.</w:t>
            </w:r>
          </w:p>
        </w:tc>
        <w:tc>
          <w:tcPr/>
          <w:p>
            <w:pPr>
              <w:pStyle w:val="Compact"/>
              <w:jc w:val="center"/>
            </w:pPr>
            <w:r>
              <w:rPr>
                <w:b/>
                <w:bCs/>
              </w:rPr>
              <w:t xml:space="preserve">Defense</w:t>
            </w:r>
          </w:p>
        </w:tc>
        <w:tc>
          <w:tcPr/>
          <w:p>
            <w:pPr>
              <w:pStyle w:val="Compact"/>
              <w:jc w:val="center"/>
            </w:pPr>
            <w:r>
              <w:rPr>
                <w:b/>
                <w:bCs/>
              </w:rPr>
              <w:t xml:space="preserve">Data</w:t>
            </w:r>
          </w:p>
        </w:tc>
      </w:tr>
      <w:tr>
        <w:tc>
          <w:tcPr/>
          <w:p>
            <w:pPr>
              <w:pStyle w:val="Compact"/>
              <w:jc w:val="left"/>
            </w:pPr>
            <w:r>
              <w:rPr>
                <w:b/>
                <w:bCs/>
              </w:rPr>
              <w:t xml:space="preserve">Our Work</w:t>
            </w:r>
          </w:p>
        </w:tc>
        <w:tc>
          <w:tcPr/>
          <w:p>
            <w:pPr>
              <w:pStyle w:val="Compact"/>
              <w:jc w:val="center"/>
            </w:pPr>
            <w:r>
              <w:rPr>
                <w:b/>
                <w:bCs/>
              </w:rPr>
              <w:t xml:space="preserve">93.45%</w:t>
            </w:r>
          </w:p>
        </w:tc>
        <w:tc>
          <w:tcPr/>
          <w:p>
            <w:pPr>
              <w:pStyle w:val="Compact"/>
              <w:jc w:val="center"/>
            </w:pPr>
            <w:r>
              <w:rPr>
                <w:b/>
                <w:bCs/>
              </w:rPr>
              <w:t xml:space="preserve">20% Byz.</w:t>
            </w:r>
          </w:p>
        </w:tc>
        <w:tc>
          <w:tcPr/>
          <w:p>
            <w:pPr>
              <w:pStyle w:val="Compact"/>
              <w:jc w:val="center"/>
            </w:pPr>
            <w:r>
              <w:rPr>
                <w:b/>
                <w:bCs/>
              </w:rPr>
              <w:t xml:space="preserve">MNIST</w:t>
            </w:r>
          </w:p>
        </w:tc>
      </w:tr>
      <w:tr>
        <w:tc>
          <w:tcPr/>
          <w:p>
            <w:pPr>
              <w:pStyle w:val="Compact"/>
              <w:jc w:val="left"/>
            </w:pPr>
            <w:r>
              <w:t xml:space="preserve">Blanchard [3]</w:t>
            </w:r>
          </w:p>
        </w:tc>
        <w:tc>
          <w:tcPr/>
          <w:p>
            <w:pPr>
              <w:pStyle w:val="Compact"/>
              <w:jc w:val="center"/>
            </w:pPr>
            <w:r>
              <w:t xml:space="preserve">82–85%</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Yin [4]</w:t>
            </w:r>
          </w:p>
        </w:tc>
        <w:tc>
          <w:tcPr/>
          <w:p>
            <w:pPr>
              <w:pStyle w:val="Compact"/>
              <w:jc w:val="center"/>
            </w:pPr>
            <w:r>
              <w:t xml:space="preserve">88–91%</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Typical FedAvg</w:t>
            </w:r>
          </w:p>
        </w:tc>
        <w:tc>
          <w:tcPr/>
          <w:p>
            <w:pPr>
              <w:pStyle w:val="Compact"/>
              <w:jc w:val="center"/>
            </w:pPr>
            <w:r>
              <w:t xml:space="preserve">85–90%</w:t>
            </w:r>
          </w:p>
        </w:tc>
        <w:tc>
          <w:tcPr/>
          <w:p>
            <w:pPr>
              <w:pStyle w:val="Compact"/>
              <w:jc w:val="center"/>
            </w:pPr>
            <w:r>
              <w:t xml:space="preserve">None</w:t>
            </w:r>
          </w:p>
        </w:tc>
        <w:tc>
          <w:tcPr/>
          <w:p>
            <w:pPr>
              <w:pStyle w:val="Compact"/>
              <w:jc w:val="center"/>
            </w:pPr>
            <w:r>
              <w:t xml:space="preserve">MNIST</w:t>
            </w:r>
          </w:p>
        </w:tc>
      </w:tr>
    </w:tbl>
    <w:bookmarkEnd w:id="69"/>
    <w:p>
      <w:pPr>
        <w:pStyle w:val="BodyText"/>
      </w:pPr>
      <w:r>
        <w:br/>
      </w:r>
      <m:oMath>
        <m:sSup>
          <m:e>
            <m:r>
              <m:t>​</m:t>
            </m:r>
          </m:e>
          <m:sup>
            <m:r>
              <m:rPr>
                <m:sty m:val="p"/>
              </m:rPr>
              <m:t>*</m:t>
            </m:r>
          </m:sup>
        </m:sSup>
      </m:oMath>
      <w:r>
        <w:t xml:space="preserve">Different attack types, Byzantine ratios, and training settings. For reference only.</w:t>
      </w:r>
    </w:p>
    <w:p>
      <w:pPr>
        <w:pStyle w:val="BodyText"/>
      </w:pPr>
      <w:r>
        <w:t xml:space="preserve">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bookmarkEnd w:id="70"/>
    <w:bookmarkEnd w:id="71"/>
    <w:bookmarkStart w:id="72" w:name="sec:discussion"/>
    <w:p>
      <w:pPr>
        <w:pStyle w:val="Heading1"/>
      </w:pPr>
      <w:r>
        <w:t xml:space="preserve">Discussion</w:t>
      </w:r>
    </w:p>
    <w:bookmarkStart w:id="73" w:name="Xe8b75ea3a1df0607bab4b7c72fe1c022764f1cb"/>
    <w:p>
      <w:pPr>
        <w:pStyle w:val="Heading2"/>
      </w:pPr>
      <w:r>
        <w:t xml:space="preserve">Why TrimmedMean Exceeds Undefended Baselines</w:t>
      </w:r>
    </w:p>
    <w:p>
      <w:pPr>
        <w:pStyle w:val="FirstParagraph"/>
      </w:pPr>
      <w:r>
        <w:t xml:space="preserve">The surprising result that TrimmedMean exceeds FedAvg can be explained by several factors:</w:t>
      </w:r>
    </w:p>
    <w:p>
      <w:pPr>
        <w:numPr>
          <w:ilvl w:val="0"/>
          <w:numId w:val="1043"/>
        </w:numPr>
      </w:pPr>
      <w:r>
        <w:rPr>
          <w:b/>
          <w:bCs/>
        </w:rPr>
        <w:t xml:space="preserve">Statistical Robustness:</w:t>
      </w:r>
      <w:r>
        <w:t xml:space="preserve"> </w:t>
      </w:r>
      <w:r>
        <w:t xml:space="preserve">By trimming extreme values, TrimmedMean filters not only Byzantine attacks but also legitimate outliers and noisy updates from clients with poor local data quality.</w:t>
      </w:r>
    </w:p>
    <w:p>
      <w:pPr>
        <w:numPr>
          <w:ilvl w:val="0"/>
          <w:numId w:val="1043"/>
        </w:numPr>
      </w:pPr>
      <w:r>
        <w:rPr>
          <w:b/>
          <w:bCs/>
        </w:rPr>
        <w:t xml:space="preserve">Implicit Regularization:</w:t>
      </w:r>
      <w:r>
        <w:t xml:space="preserve"> </w:t>
      </w:r>
      <w:r>
        <w:t xml:space="preserve">The trimming operation provides implicit regularization, preventing the global model from overfitting to extreme local distributions in non-IID settings.</w:t>
      </w:r>
    </w:p>
    <w:p>
      <w:pPr>
        <w:numPr>
          <w:ilvl w:val="0"/>
          <w:numId w:val="1043"/>
        </w:numPr>
      </w:pPr>
      <w:r>
        <w:rPr>
          <w:b/>
          <w:bCs/>
        </w:rPr>
        <w:t xml:space="preserve">Byzantine Mitigation:</w:t>
      </w:r>
      <w:r>
        <w:t xml:space="preserve"> </w:t>
      </w:r>
      <w:r>
        <w:t xml:space="preserve">FedAvg’s accuracy (87.60%) is already degraded by Byzantine attacks. TrimmedMean’s defense allows it to maintain cleaner convergence.</w:t>
      </w:r>
    </w:p>
    <w:p>
      <w:pPr>
        <w:numPr>
          <w:ilvl w:val="0"/>
          <w:numId w:val="1043"/>
        </w:numPr>
      </w:pPr>
      <w:r>
        <w:rPr>
          <w:b/>
          <w:bCs/>
        </w:rPr>
        <w:t xml:space="preserve">Extended Training:</w:t>
      </w:r>
      <w:r>
        <w:t xml:space="preserve"> </w:t>
      </w:r>
      <w:r>
        <w:t xml:space="preserve">The combination of robust aggregation and sufficient training rounds (160) allows TrimmedMean to fully realize its potential.</w:t>
      </w:r>
    </w:p>
    <w:p>
      <w:pPr>
        <w:pStyle w:val="FirstParagraph"/>
      </w:pPr>
      <w:r>
        <w:rPr>
          <w:b/>
          <w:bCs/>
        </w:rPr>
        <w:t xml:space="preserve">Theoretical Foundation:</w:t>
      </w:r>
      <w:r>
        <w:t xml:space="preserve"> </w:t>
      </w:r>
      <w:r>
        <w:t xml:space="preserve">Our empirical results align with convergence guarantees established in literature. Yin et al. [4] prove that TrimmedMean achieves convergence rate</w:t>
      </w:r>
      <w:r>
        <w:t xml:space="preserve"> </w:t>
      </w:r>
      <m:oMath>
        <m:r>
          <m:t>O</m:t>
        </m:r>
        <m:r>
          <m:rPr>
            <m:sty m:val="p"/>
          </m:rPr>
          <m:t>(</m:t>
        </m:r>
        <m:sSup>
          <m:e>
            <m:r>
              <m:t>σ</m:t>
            </m:r>
          </m:e>
          <m:sup>
            <m:r>
              <m:t>2</m:t>
            </m:r>
          </m:sup>
        </m:sSup>
        <m:r>
          <m:rPr>
            <m:sty m:val="p"/>
          </m:rPr>
          <m:t>/</m:t>
        </m:r>
        <m:r>
          <m:t>n</m:t>
        </m:r>
        <m:r>
          <m:rPr>
            <m:sty m:val="p"/>
          </m:rPr>
          <m:t>+</m:t>
        </m:r>
        <m:sSup>
          <m:e>
            <m:r>
              <m:t>ζ</m:t>
            </m:r>
          </m:e>
          <m:sup>
            <m:r>
              <m:t>2</m:t>
            </m:r>
          </m:sup>
        </m:sSup>
        <m:r>
          <m:rPr>
            <m:sty m:val="p"/>
          </m:rPr>
          <m:t>)</m:t>
        </m:r>
      </m:oMath>
      <w:r>
        <w:t xml:space="preserve"> </w:t>
      </w:r>
      <w:r>
        <w:t xml:space="preserve">under</w:t>
      </w:r>
      <w:r>
        <w:t xml:space="preserve"> </w:t>
      </w:r>
      <m:oMath>
        <m:r>
          <m:t>f</m:t>
        </m:r>
        <m:r>
          <m:rPr>
            <m:sty m:val="p"/>
          </m:rPr>
          <m:t>&lt;</m:t>
        </m:r>
        <m:r>
          <m:t>n</m:t>
        </m:r>
        <m:r>
          <m:rPr>
            <m:sty m:val="p"/>
          </m:rPr>
          <m:t>/</m:t>
        </m:r>
        <m:r>
          <m:t>2</m:t>
        </m:r>
      </m:oMath>
      <w:r>
        <w:t xml:space="preserve"> </w:t>
      </w:r>
      <w:r>
        <w:t xml:space="preserve">Byzantine clients, where</w:t>
      </w:r>
      <w:r>
        <w:t xml:space="preserve"> </w:t>
      </w:r>
      <m:oMath>
        <m:sSup>
          <m:e>
            <m:r>
              <m:t>σ</m:t>
            </m:r>
          </m:e>
          <m:sup>
            <m:r>
              <m:t>2</m:t>
            </m:r>
          </m:sup>
        </m:sSup>
      </m:oMath>
      <w:r>
        <w:t xml:space="preserve"> </w:t>
      </w:r>
      <w:r>
        <w:t xml:space="preserve">is gradient variance and</w:t>
      </w:r>
      <w:r>
        <w:t xml:space="preserve"> </w:t>
      </w:r>
      <m:oMath>
        <m:sSup>
          <m:e>
            <m:r>
              <m:t>ζ</m:t>
            </m:r>
          </m:e>
          <m:sup>
            <m:r>
              <m:t>2</m:t>
            </m:r>
          </m:sup>
        </m:sSup>
      </m:oMath>
      <w:r>
        <w:t xml:space="preserve"> </w:t>
      </w:r>
      <w:r>
        <w:t xml:space="preserve">is the Byzantine attack magnitude. Blanchard et al. [3] provide</w:t>
      </w:r>
      <w:r>
        <w:t xml:space="preserve"> </w:t>
      </w:r>
      <m:oMath>
        <m:r>
          <m:rPr>
            <m:sty m:val="p"/>
          </m:rPr>
          <m:t>(</m:t>
        </m:r>
        <m:r>
          <m:t>α</m:t>
        </m:r>
        <m:r>
          <m:rPr>
            <m:sty m:val="p"/>
          </m:rPr>
          <m:t>,</m:t>
        </m:r>
        <m:r>
          <m:t>f</m:t>
        </m:r>
        <m:r>
          <m:rPr>
            <m:sty m:val="p"/>
          </m:rPr>
          <m:t>)</m:t>
        </m:r>
      </m:oMath>
      <w:r>
        <w:t xml:space="preserve">-Byzantine resilience bounds showing that with</w:t>
      </w:r>
      <w:r>
        <w:t xml:space="preserve"> </w:t>
      </w:r>
      <m:oMath>
        <m:r>
          <m:t>f</m:t>
        </m:r>
      </m:oMath>
      <w:r>
        <w:t xml:space="preserve"> </w:t>
      </w:r>
      <w:r>
        <w:t xml:space="preserve">Byzantine clients among</w:t>
      </w:r>
      <w:r>
        <w:t xml:space="preserve"> </w:t>
      </w:r>
      <m:oMath>
        <m:r>
          <m:t>n</m:t>
        </m:r>
      </m:oMath>
      <w:r>
        <w:t xml:space="preserve"> </w:t>
      </w:r>
      <w:r>
        <w:t xml:space="preserve">total, robust aggregators can approximate the true gradient within</w:t>
      </w:r>
      <w:r>
        <w:t xml:space="preserve"> </w:t>
      </w:r>
      <m:oMath>
        <m:r>
          <m:t>O</m:t>
        </m:r>
        <m:r>
          <m:rPr>
            <m:sty m:val="p"/>
          </m:rPr>
          <m:t>(</m:t>
        </m:r>
        <m:r>
          <m:t>f</m:t>
        </m:r>
        <m:r>
          <m:rPr>
            <m:sty m:val="p"/>
          </m:rPr>
          <m:t>/</m:t>
        </m:r>
        <m:r>
          <m:t>n</m:t>
        </m:r>
        <m:r>
          <m:rPr>
            <m:sty m:val="p"/>
          </m:rPr>
          <m:t>)</m:t>
        </m:r>
      </m:oMath>
      <w:r>
        <w:t xml:space="preserve"> </w:t>
      </w:r>
      <w:r>
        <w:t xml:space="preserve">error. Our 93.45% accuracy with 20% Byzantine ratio empirically validates these theoretical predictions.</w:t>
      </w:r>
    </w:p>
    <w:bookmarkEnd w:id="72"/>
    <w:bookmarkStart w:id="74" w:name="practical-implications-1"/>
    <w:p>
      <w:pPr>
        <w:pStyle w:val="Heading2"/>
      </w:pPr>
      <w:r>
        <w:t xml:space="preserve">Practical Implications</w:t>
      </w:r>
    </w:p>
    <w:p>
      <w:pPr>
        <w:pStyle w:val="FirstParagraph"/>
      </w:pPr>
      <w:r>
        <w:t xml:space="preserve">Based on our experiments:</w:t>
      </w:r>
    </w:p>
    <w:bookmarkStart w:id="75" w:name="deployment-recommendations"/>
    <w:p>
      <w:pPr>
        <w:pStyle w:val="Heading3"/>
      </w:pPr>
      <w:r>
        <w:t xml:space="preserve">Deployment Recommendations</w:t>
      </w:r>
    </w:p>
    <w:p>
      <w:pPr>
        <w:pStyle w:val="FirstParagraph"/>
      </w:pPr>
      <w:r>
        <w:t xml:space="preserve">For production Byzantine-robust federated learning systems, we recommend:</w:t>
      </w:r>
    </w:p>
    <w:p>
      <w:pPr>
        <w:numPr>
          <w:ilvl w:val="0"/>
          <w:numId w:val="1044"/>
        </w:numPr>
      </w:pPr>
      <w:r>
        <w:rPr>
          <w:b/>
          <w:bCs/>
        </w:rPr>
        <w:t xml:space="preserve">Algorithm:</w:t>
      </w:r>
      <w:r>
        <w:t xml:space="preserve"> </w:t>
      </w:r>
      <w:r>
        <w:t xml:space="preserve">TrimmedMean with 20% trimming ratio</w:t>
      </w:r>
    </w:p>
    <w:p>
      <w:pPr>
        <w:numPr>
          <w:ilvl w:val="0"/>
          <w:numId w:val="1044"/>
        </w:numPr>
      </w:pPr>
      <w:r>
        <w:rPr>
          <w:b/>
          <w:bCs/>
        </w:rPr>
        <w:t xml:space="preserve">Training Rounds:</w:t>
      </w:r>
      <w:r>
        <w:t xml:space="preserve"> </w:t>
      </w:r>
      <w:r>
        <w:t xml:space="preserve">160 rounds for optimal performance (or until convergence plateau)</w:t>
      </w:r>
    </w:p>
    <w:p>
      <w:pPr>
        <w:numPr>
          <w:ilvl w:val="0"/>
          <w:numId w:val="1044"/>
        </w:numPr>
      </w:pPr>
      <w:r>
        <w:rPr>
          <w:b/>
          <w:bCs/>
        </w:rPr>
        <w:t xml:space="preserve">Learning Rate:</w:t>
      </w:r>
      <w:r>
        <w:t xml:space="preserve"> </w:t>
      </w:r>
      <w:r>
        <w:t xml:space="preserve">0.05 (tune based on dataset)</w:t>
      </w:r>
    </w:p>
    <w:p>
      <w:pPr>
        <w:numPr>
          <w:ilvl w:val="0"/>
          <w:numId w:val="1044"/>
        </w:numPr>
      </w:pPr>
      <w:r>
        <w:rPr>
          <w:b/>
          <w:bCs/>
        </w:rPr>
        <w:t xml:space="preserve">Client Participation:</w:t>
      </w:r>
      <w:r>
        <w:t xml:space="preserve"> </w:t>
      </w:r>
      <w:r>
        <w:t xml:space="preserve">50% of clients per round</w:t>
      </w:r>
    </w:p>
    <w:p>
      <w:pPr>
        <w:numPr>
          <w:ilvl w:val="0"/>
          <w:numId w:val="1044"/>
        </w:numPr>
      </w:pPr>
      <w:r>
        <w:rPr>
          <w:b/>
          <w:bCs/>
        </w:rPr>
        <w:t xml:space="preserve">Local Epochs:</w:t>
      </w:r>
      <w:r>
        <w:t xml:space="preserve"> </w:t>
      </w:r>
      <w:r>
        <w:t xml:space="preserve">5 epochs per round</w:t>
      </w:r>
    </w:p>
    <w:p>
      <w:pPr>
        <w:numPr>
          <w:ilvl w:val="0"/>
          <w:numId w:val="1044"/>
        </w:numPr>
      </w:pPr>
      <w:r>
        <w:rPr>
          <w:b/>
          <w:bCs/>
        </w:rPr>
        <w:t xml:space="preserve">Byzantine Tolerance:</w:t>
      </w:r>
      <w:r>
        <w:t xml:space="preserve"> </w:t>
      </w:r>
      <w:r>
        <w:t xml:space="preserve">System can handle up to 20% Byzantine clients</w:t>
      </w:r>
    </w:p>
    <w:bookmarkEnd w:id="73"/>
    <w:bookmarkStart w:id="76" w:name="when-to-use-each-algorithm"/>
    <w:p>
      <w:pPr>
        <w:pStyle w:val="Heading3"/>
      </w:pPr>
      <w:r>
        <w:t xml:space="preserve">When to Use Each Algorithm</w:t>
      </w:r>
    </w:p>
    <w:p>
      <w:pPr>
        <w:numPr>
          <w:ilvl w:val="0"/>
          <w:numId w:val="1045"/>
        </w:numPr>
      </w:pPr>
      <w:r>
        <w:rPr>
          <w:b/>
          <w:bCs/>
        </w:rPr>
        <w:t xml:space="preserve">ATMA (Adaptive):</w:t>
      </w:r>
      <w:r>
        <w:t xml:space="preserve"> </w:t>
      </w:r>
      <w:r>
        <w:t xml:space="preserve">Non-IID data environments with variable Byzantine activity. Dynamic adaptation provides +0.73% advantage over static methods in blockchain settings with</w:t>
      </w:r>
      <w:r>
        <w:t xml:space="preserve"> </w:t>
      </w:r>
      <m:oMath>
        <m:r>
          <m:rPr>
            <m:sty m:val="p"/>
          </m:rPr>
          <m:t>&lt;</m:t>
        </m:r>
      </m:oMath>
      <w:r>
        <w:t xml:space="preserve">0.5% variance across seeds.</w:t>
      </w:r>
    </w:p>
    <w:p>
      <w:pPr>
        <w:numPr>
          <w:ilvl w:val="0"/>
          <w:numId w:val="1045"/>
        </w:numPr>
      </w:pPr>
      <w:r>
        <w:rPr>
          <w:b/>
          <w:bCs/>
        </w:rPr>
        <w:t xml:space="preserve">TrimmedMean (Static):</w:t>
      </w:r>
      <w:r>
        <w:t xml:space="preserve"> </w:t>
      </w:r>
      <w:r>
        <w:t xml:space="preserve">Optimal for high accuracy requirements (93.45%) with extended training (160 rounds). Best choice when Byzantine ratio is known and stable.</w:t>
      </w:r>
    </w:p>
    <w:p>
      <w:pPr>
        <w:numPr>
          <w:ilvl w:val="0"/>
          <w:numId w:val="1045"/>
        </w:numPr>
      </w:pPr>
      <w:r>
        <w:rPr>
          <w:b/>
          <w:bCs/>
        </w:rPr>
        <w:t xml:space="preserve">FedAvg:</w:t>
      </w:r>
      <w:r>
        <w:t xml:space="preserve"> </w:t>
      </w:r>
      <w:r>
        <w:t xml:space="preserve">Trusted environments where all clients are verified and Byzantine attacks are not a concern.</w:t>
      </w:r>
    </w:p>
    <w:p>
      <w:pPr>
        <w:numPr>
          <w:ilvl w:val="0"/>
          <w:numId w:val="1045"/>
        </w:numPr>
      </w:pPr>
      <w:r>
        <w:rPr>
          <w:b/>
          <w:bCs/>
        </w:rPr>
        <w:t xml:space="preserve">Krum:</w:t>
      </w:r>
      <w:r>
        <w:t xml:space="preserve"> </w:t>
      </w:r>
      <w:r>
        <w:t xml:space="preserve">Not recommended unless significantly modified—consistently fails convergence in our experiments.</w:t>
      </w:r>
    </w:p>
    <w:bookmarkEnd w:id="74"/>
    <w:bookmarkEnd w:id="75"/>
    <w:bookmarkStart w:id="77" w:name="Xb4d2a58b42ca584836b6b5dc44c120aa3d1b9a1"/>
    <w:p>
      <w:pPr>
        <w:pStyle w:val="Heading2"/>
      </w:pPr>
      <w:r>
        <w:t xml:space="preserve">Adaptive vs. Static Aggregation Trade-offs</w:t>
      </w:r>
    </w:p>
    <w:p>
      <w:pPr>
        <w:pStyle w:val="FirstParagraph"/>
      </w:pPr>
      <w:r>
        <w:t xml:space="preserve">Our evaluation of ATMA (adaptive) vs. TrimmedMean (static) reveals important design trade-offs:</w:t>
      </w:r>
    </w:p>
    <w:bookmarkStart w:id="78" w:name="tab:adaptive_static"/>
    <w:p>
      <w:pPr>
        <w:pStyle w:val="TableCaption"/>
      </w:pPr>
      <w:r>
        <w:t xml:space="preserve">Adaptive vs. Static Aggregation Comparison</w:t>
      </w:r>
    </w:p>
    <w:tbl>
      <w:tblPr>
        <w:tblStyle w:val="Table"/>
        <w:tblW w:type="auto" w:w="0"/>
        <w:tblLook w:firstRow="0" w:lastRow="0" w:firstColumn="0" w:lastColumn="0" w:noHBand="0" w:noVBand="0" w:val="0000"/>
        <w:tblCaption w:val="Adaptive vs. Static Aggregation Comparison"/>
      </w:tblPr>
      <w:tblGrid>
        <w:gridCol w:w="2640"/>
        <w:gridCol w:w="2640"/>
        <w:gridCol w:w="2640"/>
      </w:tblGrid>
      <w:tr>
        <w:tc>
          <w:tcPr/>
          <w:p>
            <w:pPr>
              <w:pStyle w:val="Compact"/>
              <w:jc w:val="left"/>
            </w:pPr>
            <w:r>
              <w:rPr>
                <w:b/>
                <w:bCs/>
              </w:rPr>
              <w:t xml:space="preserve">Criterion</w:t>
            </w:r>
          </w:p>
        </w:tc>
        <w:tc>
          <w:tcPr/>
          <w:p>
            <w:pPr>
              <w:pStyle w:val="Compact"/>
              <w:jc w:val="center"/>
            </w:pPr>
            <w:r>
              <w:rPr>
                <w:b/>
                <w:bCs/>
              </w:rPr>
              <w:t xml:space="preserve">ATMA</w:t>
            </w:r>
          </w:p>
        </w:tc>
        <w:tc>
          <w:tcPr/>
          <w:p>
            <w:pPr>
              <w:pStyle w:val="Compact"/>
              <w:jc w:val="center"/>
            </w:pPr>
            <w:r>
              <w:rPr>
                <w:b/>
                <w:bCs/>
              </w:rPr>
              <w:t xml:space="preserve">TrimmedMean</w:t>
            </w:r>
          </w:p>
        </w:tc>
      </w:tr>
      <w:tr>
        <w:tc>
          <w:tcPr/>
          <w:p>
            <w:pPr>
              <w:pStyle w:val="Compact"/>
            </w:pPr>
          </w:p>
        </w:tc>
        <w:tc>
          <w:tcPr/>
          <w:p>
            <w:pPr>
              <w:pStyle w:val="Compact"/>
              <w:jc w:val="center"/>
            </w:pPr>
            <w:r>
              <w:rPr>
                <w:b/>
                <w:bCs/>
              </w:rPr>
              <w:t xml:space="preserve">(Adaptive)</w:t>
            </w:r>
          </w:p>
        </w:tc>
        <w:tc>
          <w:tcPr/>
          <w:p>
            <w:pPr>
              <w:pStyle w:val="Compact"/>
              <w:jc w:val="center"/>
            </w:pPr>
            <w:r>
              <w:rPr>
                <w:b/>
                <w:bCs/>
              </w:rPr>
              <w:t xml:space="preserve">(Static)</w:t>
            </w:r>
          </w:p>
        </w:tc>
      </w:tr>
      <w:tr>
        <w:tc>
          <w:tcPr/>
          <w:p>
            <w:pPr>
              <w:pStyle w:val="Compact"/>
              <w:jc w:val="left"/>
            </w:pPr>
            <w:r>
              <w:t xml:space="preserve">50-round accuracy</w:t>
            </w:r>
          </w:p>
        </w:tc>
        <w:tc>
          <w:tcPr/>
          <w:p>
            <w:pPr>
              <w:pStyle w:val="Compact"/>
              <w:jc w:val="center"/>
            </w:pPr>
            <w:r>
              <w:t xml:space="preserve">85.12%</w:t>
            </w:r>
          </w:p>
        </w:tc>
        <w:tc>
          <w:tcPr/>
          <w:p>
            <w:pPr>
              <w:pStyle w:val="Compact"/>
              <w:jc w:val="center"/>
            </w:pPr>
            <w:r>
              <w:t xml:space="preserve">84.85%</w:t>
            </w:r>
          </w:p>
        </w:tc>
      </w:tr>
      <w:tr>
        <w:tc>
          <w:tcPr/>
          <w:p>
            <w:pPr>
              <w:pStyle w:val="Compact"/>
              <w:jc w:val="left"/>
            </w:pPr>
            <w:r>
              <w:t xml:space="preserve">160-round accuracy</w:t>
            </w:r>
          </w:p>
        </w:tc>
        <w:tc>
          <w:tcPr/>
          <w:p>
            <w:pPr>
              <w:pStyle w:val="Compact"/>
              <w:jc w:val="center"/>
            </w:pPr>
            <w:r>
              <w:t xml:space="preserve">Not tested</w:t>
            </w:r>
          </w:p>
        </w:tc>
        <w:tc>
          <w:tcPr/>
          <w:p>
            <w:pPr>
              <w:pStyle w:val="Compact"/>
              <w:jc w:val="center"/>
            </w:pPr>
            <w:r>
              <w:t xml:space="preserve">93.45%</w:t>
            </w:r>
          </w:p>
        </w:tc>
      </w:tr>
      <w:tr>
        <w:tc>
          <w:tcPr/>
          <w:p>
            <w:pPr>
              <w:pStyle w:val="Compact"/>
              <w:jc w:val="left"/>
            </w:pPr>
            <w:r>
              <w:t xml:space="preserve">Convergence stability</w:t>
            </w:r>
          </w:p>
        </w:tc>
        <w:tc>
          <w:tcPr/>
          <w:p>
            <w:pPr>
              <w:pStyle w:val="Compact"/>
              <w:jc w:val="center"/>
            </w:pPr>
            <w:r>
              <w:t xml:space="preserve">High (</w:t>
            </w:r>
            <m:oMath>
              <m:r>
                <m:t>σ</m:t>
              </m:r>
            </m:oMath>
            <w:r>
              <w:t xml:space="preserve">=0.5%)</w:t>
            </w:r>
          </w:p>
        </w:tc>
        <w:tc>
          <w:tcPr/>
          <w:p>
            <w:pPr>
              <w:pStyle w:val="Compact"/>
              <w:jc w:val="center"/>
            </w:pPr>
            <w:r>
              <w:t xml:space="preserve">Moderate (</w:t>
            </w:r>
            <m:oMath>
              <m:r>
                <m:t>σ</m:t>
              </m:r>
            </m:oMath>
            <w:r>
              <w:t xml:space="preserve">=0.6%)</w:t>
            </w:r>
          </w:p>
        </w:tc>
      </w:tr>
      <w:tr>
        <w:tc>
          <w:tcPr/>
          <w:p>
            <w:pPr>
              <w:pStyle w:val="Compact"/>
              <w:jc w:val="left"/>
            </w:pPr>
            <w:r>
              <w:t xml:space="preserve">Non-IID robustness</w:t>
            </w:r>
          </w:p>
        </w:tc>
        <w:tc>
          <w:tcPr/>
          <w:p>
            <w:pPr>
              <w:pStyle w:val="Compact"/>
              <w:jc w:val="center"/>
            </w:pPr>
            <w:r>
              <w:t xml:space="preserve">Excellent</w:t>
            </w:r>
          </w:p>
        </w:tc>
        <w:tc>
          <w:tcPr/>
          <w:p>
            <w:pPr>
              <w:pStyle w:val="Compact"/>
              <w:jc w:val="center"/>
            </w:pPr>
            <w:r>
              <w:t xml:space="preserve">Good</w:t>
            </w:r>
          </w:p>
        </w:tc>
      </w:tr>
      <w:tr>
        <w:tc>
          <w:tcPr/>
          <w:p>
            <w:pPr>
              <w:pStyle w:val="Compact"/>
              <w:jc w:val="left"/>
            </w:pPr>
            <w:r>
              <w:t xml:space="preserve">Byzantine tolerance</w:t>
            </w:r>
          </w:p>
        </w:tc>
        <w:tc>
          <w:tcPr/>
          <w:p>
            <w:pPr>
              <w:pStyle w:val="Compact"/>
              <w:jc w:val="center"/>
            </w:pPr>
            <w:r>
              <w:t xml:space="preserve">0-30% dynamic</w:t>
            </w:r>
          </w:p>
        </w:tc>
        <w:tc>
          <w:tcPr/>
          <w:p>
            <w:pPr>
              <w:pStyle w:val="Compact"/>
              <w:jc w:val="center"/>
            </w:pPr>
            <w:r>
              <w:t xml:space="preserve">20% fixed</w:t>
            </w:r>
          </w:p>
        </w:tc>
      </w:tr>
      <w:tr>
        <w:tc>
          <w:tcPr/>
          <w:p>
            <w:pPr>
              <w:pStyle w:val="Compact"/>
              <w:jc w:val="left"/>
            </w:pPr>
            <w:r>
              <w:t xml:space="preserve">Computational cost</w:t>
            </w:r>
          </w:p>
        </w:tc>
        <w:tc>
          <w:tcPr/>
          <w:p>
            <w:pPr>
              <w:pStyle w:val="Compact"/>
              <w:jc w:val="center"/>
            </w:pPr>
            <w:r>
              <w:t xml:space="preserve">+15% overhead</w:t>
            </w:r>
          </w:p>
        </w:tc>
        <w:tc>
          <w:tcPr/>
          <w:p>
            <w:pPr>
              <w:pStyle w:val="Compact"/>
              <w:jc w:val="center"/>
            </w:pPr>
            <w:r>
              <w:t xml:space="preserve">Baseline</w:t>
            </w:r>
          </w:p>
        </w:tc>
      </w:tr>
      <w:tr>
        <w:tc>
          <w:tcPr/>
          <w:p>
            <w:pPr>
              <w:pStyle w:val="Compact"/>
              <w:jc w:val="left"/>
            </w:pPr>
            <w:r>
              <w:t xml:space="preserve">Hyperparameter tuning</w:t>
            </w:r>
          </w:p>
        </w:tc>
        <w:tc>
          <w:tcPr/>
          <w:p>
            <w:pPr>
              <w:pStyle w:val="Compact"/>
              <w:jc w:val="center"/>
            </w:pPr>
            <w:r>
              <w:t xml:space="preserve">Minimal</w:t>
            </w:r>
          </w:p>
        </w:tc>
        <w:tc>
          <w:tcPr/>
          <w:p>
            <w:pPr>
              <w:pStyle w:val="Compact"/>
              <w:jc w:val="center"/>
            </w:pPr>
            <w:r>
              <w:t xml:space="preserve">Requires trim%</w:t>
            </w:r>
          </w:p>
        </w:tc>
      </w:tr>
      <w:tr>
        <w:tc>
          <w:tcPr/>
          <w:p>
            <w:pPr>
              <w:pStyle w:val="Compact"/>
              <w:jc w:val="left"/>
            </w:pPr>
            <w:r>
              <w:t xml:space="preserve">Blockchain overhead</w:t>
            </w:r>
          </w:p>
        </w:tc>
        <w:tc>
          <w:tcPr/>
          <w:p>
            <w:pPr>
              <w:pStyle w:val="Compact"/>
              <w:jc w:val="center"/>
            </w:pPr>
            <w:r>
              <w:t xml:space="preserve">+8% gas</w:t>
            </w:r>
          </w:p>
        </w:tc>
        <w:tc>
          <w:tcPr/>
          <w:p>
            <w:pPr>
              <w:pStyle w:val="Compact"/>
              <w:jc w:val="center"/>
            </w:pPr>
            <w:r>
              <w:t xml:space="preserve">Baseline</w:t>
            </w:r>
          </w:p>
        </w:tc>
      </w:tr>
    </w:tbl>
    <w:bookmarkEnd w:id="76"/>
    <w:p>
      <w:pPr>
        <w:pStyle w:val="BodyText"/>
      </w:pPr>
      <w:r>
        <w:rPr>
          <w:b/>
          <w:bCs/>
        </w:rPr>
        <w:t xml:space="preserve">Key insights:</w:t>
      </w:r>
    </w:p>
    <w:p>
      <w:pPr>
        <w:numPr>
          <w:ilvl w:val="0"/>
          <w:numId w:val="1046"/>
        </w:numPr>
      </w:pPr>
      <w:r>
        <w:rPr>
          <w:b/>
          <w:bCs/>
        </w:rPr>
        <w:t xml:space="preserve">Accuracy ceiling:</w:t>
      </w:r>
      <w:r>
        <w:t xml:space="preserve"> </w:t>
      </w:r>
      <w:r>
        <w:t xml:space="preserve">Static TrimmedMean achieves higher peak accuracy (93.45% vs. 85.12%) with extended training, but ATMA shows superior performance in practical 50-round scenarios.</w:t>
      </w:r>
    </w:p>
    <w:p>
      <w:pPr>
        <w:numPr>
          <w:ilvl w:val="0"/>
          <w:numId w:val="1046"/>
        </w:numPr>
      </w:pPr>
      <w:r>
        <w:rPr>
          <w:b/>
          <w:bCs/>
        </w:rPr>
        <w:t xml:space="preserve">Adaptability:</w:t>
      </w:r>
      <w:r>
        <w:t xml:space="preserve"> </w:t>
      </w:r>
      <w:r>
        <w:t xml:space="preserve">ATMA’s threshold evolution (0.10</w:t>
      </w:r>
      <m:oMath>
        <m:r>
          <m:rPr>
            <m:sty m:val="p"/>
          </m:rPr>
          <m:t>→</m:t>
        </m:r>
      </m:oMath>
      <w:r>
        <w:t xml:space="preserve">0.24) automatically responds to attack intensity, eliminating manual tuning burden.</w:t>
      </w:r>
    </w:p>
    <w:p>
      <w:pPr>
        <w:numPr>
          <w:ilvl w:val="0"/>
          <w:numId w:val="1046"/>
        </w:numPr>
      </w:pPr>
      <w:r>
        <w:rPr>
          <w:b/>
          <w:bCs/>
        </w:rPr>
        <w:t xml:space="preserve">Cost-performance trade-off:</w:t>
      </w:r>
      <w:r>
        <w:t xml:space="preserve"> </w:t>
      </w:r>
      <w:r>
        <w:t xml:space="preserve">ATMA’s +15% computational overhead is justified by +0.73% accuracy gain in blockchain environments and reduced hyperparameter search space.</w:t>
      </w:r>
    </w:p>
    <w:p>
      <w:pPr>
        <w:numPr>
          <w:ilvl w:val="0"/>
          <w:numId w:val="1046"/>
        </w:numPr>
      </w:pPr>
      <w:r>
        <w:rPr>
          <w:b/>
          <w:bCs/>
        </w:rPr>
        <w:t xml:space="preserve">Deployment recommendation:</w:t>
      </w:r>
      <w:r>
        <w:t xml:space="preserve"> </w:t>
      </w:r>
      <w:r>
        <w:t xml:space="preserve">Use ATMA for dynamic, untrusted environments with variable Byzantine activity; use TrimmedMean for high-accuracy applications with stable threat models and sufficient training budget.</w:t>
      </w:r>
    </w:p>
    <w:bookmarkEnd w:id="77"/>
    <w:bookmarkStart w:id="79" w:name="X8e9fd9e07f959fc25ce170e79447545830a2bf9"/>
    <w:p>
      <w:pPr>
        <w:pStyle w:val="Heading2"/>
      </w:pPr>
      <w:r>
        <w:t xml:space="preserve">Blockchain Integration Benefits and the Transparency Paradox</w:t>
      </w:r>
    </w:p>
    <w:p>
      <w:pPr>
        <w:pStyle w:val="FirstParagraph"/>
      </w:pPr>
      <w:r>
        <w:t xml:space="preserve">Our blockchain integration provides several practical advantages:</w:t>
      </w:r>
    </w:p>
    <w:p>
      <w:pPr>
        <w:numPr>
          <w:ilvl w:val="0"/>
          <w:numId w:val="1047"/>
        </w:numPr>
      </w:pPr>
      <w:r>
        <w:rPr>
          <w:b/>
          <w:bCs/>
        </w:rPr>
        <w:t xml:space="preserve">Transparency with Acceptable Risk:</w:t>
      </w:r>
      <w:r>
        <w:t xml:space="preserve"> </w:t>
      </w:r>
      <w:r>
        <w:t xml:space="preserve">While blockchain-informed attackers achieve 11.6% success rate (vs. 0% blind), this modest increase is outweighed by forensic benefits. All 58 attacks across 20 replications were permanently recorded with full context.</w:t>
      </w:r>
    </w:p>
    <w:p>
      <w:pPr>
        <w:numPr>
          <w:ilvl w:val="0"/>
          <w:numId w:val="1047"/>
        </w:numPr>
      </w:pPr>
      <w:r>
        <w:rPr>
          <w:b/>
          <w:bCs/>
        </w:rPr>
        <w:t xml:space="preserve">Accountability:</w:t>
      </w:r>
      <w:r>
        <w:t xml:space="preserve"> </w:t>
      </w:r>
      <w:r>
        <w:t xml:space="preserve">Byzantine clients can be identified and penalized. Our reputation system enables client exclusion after detecting</w:t>
      </w:r>
      <w:r>
        <w:t xml:space="preserve"> </w:t>
      </w:r>
      <m:oMath>
        <m:r>
          <m:rPr>
            <m:sty m:val="p"/>
          </m:rPr>
          <m:t>&gt;</m:t>
        </m:r>
      </m:oMath>
      <w:r>
        <w:t xml:space="preserve">3 violations per client.</w:t>
      </w:r>
    </w:p>
    <w:p>
      <w:pPr>
        <w:numPr>
          <w:ilvl w:val="0"/>
          <w:numId w:val="1047"/>
        </w:numPr>
      </w:pPr>
      <w:r>
        <w:rPr>
          <w:b/>
          <w:bCs/>
        </w:rPr>
        <w:t xml:space="preserve">Reproducibility:</w:t>
      </w:r>
      <w:r>
        <w:t xml:space="preserve"> </w:t>
      </w:r>
      <w:r>
        <w:t xml:space="preserve">Complete training history enables exact reproduction of experiments and facilitates debugging of model degradation issues.</w:t>
      </w:r>
    </w:p>
    <w:p>
      <w:pPr>
        <w:numPr>
          <w:ilvl w:val="0"/>
          <w:numId w:val="1047"/>
        </w:numPr>
      </w:pPr>
      <w:r>
        <w:rPr>
          <w:b/>
          <w:bCs/>
        </w:rPr>
        <w:t xml:space="preserve">Reputation-Based Defense:</w:t>
      </w:r>
      <w:r>
        <w:t xml:space="preserve"> </w:t>
      </w:r>
      <w:r>
        <w:t xml:space="preserve">Blockchain logs enable cross-validation of client trustworthiness across federated organizations, amplifying defensive benefits through network effects.</w:t>
      </w:r>
    </w:p>
    <w:p>
      <w:pPr>
        <w:numPr>
          <w:ilvl w:val="0"/>
          <w:numId w:val="1047"/>
        </w:numPr>
      </w:pPr>
      <w:r>
        <w:rPr>
          <w:b/>
          <w:bCs/>
        </w:rPr>
        <w:t xml:space="preserve">Rapid Response:</w:t>
      </w:r>
      <w:r>
        <w:t xml:space="preserve"> </w:t>
      </w:r>
      <w:r>
        <w:t xml:space="preserve">Real-time attack detection and alerting within 1 block ( 12 seconds) allows immediate client suspension, limiting damage to 1.8% model degradation.</w:t>
      </w:r>
    </w:p>
    <w:p>
      <w:pPr>
        <w:numPr>
          <w:ilvl w:val="0"/>
          <w:numId w:val="1047"/>
        </w:numPr>
      </w:pPr>
      <w:r>
        <w:rPr>
          <w:b/>
          <w:bCs/>
        </w:rPr>
        <w:t xml:space="preserve">Decentralization:</w:t>
      </w:r>
      <w:r>
        <w:t xml:space="preserve"> </w:t>
      </w:r>
      <w:r>
        <w:t xml:space="preserve">No single point of failure in the aggregation process, critical for multi-organization federations.</w:t>
      </w:r>
    </w:p>
    <w:p>
      <w:pPr>
        <w:pStyle w:val="FirstParagraph"/>
      </w:pPr>
      <w:r>
        <w:rPr>
          <w:b/>
          <w:bCs/>
        </w:rPr>
        <w:t xml:space="preserve">Transparency Paradox Resolution:</w:t>
      </w:r>
      <w:r>
        <w:t xml:space="preserve"> </w:t>
      </w:r>
      <w:r>
        <w:t xml:space="preserve">Our empirical findings provide evidence that the Transparency Paradox favors defenders. The 11.6% attack success improvement from blockchain transparency is substantially outweighed by:</w:t>
      </w:r>
    </w:p>
    <w:p>
      <w:pPr>
        <w:numPr>
          <w:ilvl w:val="0"/>
          <w:numId w:val="1048"/>
        </w:numPr>
      </w:pPr>
      <w:r>
        <w:t xml:space="preserve">Permanent audit trails enabling forensic analysis</w:t>
      </w:r>
    </w:p>
    <w:p>
      <w:pPr>
        <w:numPr>
          <w:ilvl w:val="0"/>
          <w:numId w:val="1048"/>
        </w:numPr>
      </w:pPr>
      <w:r>
        <w:t xml:space="preserve">Reputation systems enabling repeat attack prevention</w:t>
      </w:r>
    </w:p>
    <w:p>
      <w:pPr>
        <w:numPr>
          <w:ilvl w:val="0"/>
          <w:numId w:val="1048"/>
        </w:numPr>
      </w:pPr>
      <w:r>
        <w:t xml:space="preserve">Cross-organizational client validation</w:t>
      </w:r>
    </w:p>
    <w:p>
      <w:pPr>
        <w:numPr>
          <w:ilvl w:val="0"/>
          <w:numId w:val="1048"/>
        </w:numPr>
      </w:pPr>
      <w:r>
        <w:t xml:space="preserve">Regulatory compliance through immutable logs</w:t>
      </w:r>
    </w:p>
    <w:p>
      <w:pPr>
        <w:numPr>
          <w:ilvl w:val="0"/>
          <w:numId w:val="1048"/>
        </w:numPr>
      </w:pPr>
      <w:r>
        <w:t xml:space="preserve">Detection latency reduction from manual review (hours) to automated alerts (seconds)</w:t>
      </w:r>
    </w:p>
    <w:p>
      <w:pPr>
        <w:pStyle w:val="FirstParagraph"/>
      </w:pPr>
      <w:r>
        <w:t xml:space="preserve">Blockchain-FL is suitable for production deployment despite sophisticated adaptive adversaries.</w:t>
      </w:r>
    </w:p>
    <w:bookmarkEnd w:id="78"/>
    <w:bookmarkStart w:id="80" w:name="computational-cost-analysis"/>
    <w:p>
      <w:pPr>
        <w:pStyle w:val="Heading2"/>
      </w:pPr>
      <w:r>
        <w:t xml:space="preserve">Computational Cost Analysis</w:t>
      </w:r>
    </w:p>
    <w:p>
      <w:pPr>
        <w:pStyle w:val="FirstParagraph"/>
      </w:pPr>
      <w:r>
        <w:t xml:space="preserve">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bookmarkEnd w:id="79"/>
    <w:bookmarkStart w:id="81" w:name="sec:cifar10"/>
    <w:p>
      <w:pPr>
        <w:pStyle w:val="Heading2"/>
      </w:pPr>
      <w:r>
        <w:t xml:space="preserve">CIFAR-10 Validation with Non-IID Distribution</w:t>
      </w:r>
    </w:p>
    <w:p>
      <w:pPr>
        <w:pStyle w:val="FirstParagraph"/>
      </w:pPr>
      <w:r>
        <w:t xml:space="preserve">To address the critical concern of dataset generalization, we conducted comprehensive experiments on CIFAR-10 with realistic non-IID distribution using Dirichlet(</w:t>
      </w:r>
      <m:oMath>
        <m:r>
          <m:t>α</m:t>
        </m:r>
      </m:oMath>
      <w:r>
        <w:t xml:space="preserve">=0.5). Table </w:t>
      </w:r>
      <w:hyperlink w:anchor="tab:cifar10_results">
        <w:r>
          <w:rPr>
            <w:rStyle w:val="Hyperlink"/>
          </w:rPr>
          <w:t xml:space="preserve">13</w:t>
        </w:r>
      </w:hyperlink>
      <w:r>
        <w:t xml:space="preserve"> </w:t>
      </w:r>
      <w:r>
        <w:t xml:space="preserve">presents the results under aggressive Byzantine attacks (label flip with scale=-5.0).</w:t>
      </w:r>
    </w:p>
    <w:bookmarkStart w:id="82" w:name="tab:cifar10_results"/>
    <w:p>
      <w:pPr>
        <w:pStyle w:val="TableCaption"/>
      </w:pPr>
      <w:r>
        <w:t xml:space="preserve">CIFAR-10 Results with Dirichlet(</w:t>
      </w:r>
      <m:oMath>
        <m:r>
          <m:t>α</m:t>
        </m:r>
      </m:oMath>
      <w:r>
        <w:t xml:space="preserve">=0.5) Non-IID Distribution</w:t>
      </w:r>
    </w:p>
    <w:tbl>
      <w:tblPr>
        <w:tblStyle w:val="Table"/>
        <w:tblW w:type="auto" w:w="0"/>
        <w:tblLook w:firstRow="0" w:lastRow="0" w:firstColumn="0" w:lastColumn="0" w:noHBand="0" w:noVBand="0" w:val="0000"/>
        <w:tblCaption w:val="CIFAR-10 Results with Dirichlet(\alpha=0.5) Non-IID Distribution"/>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50 Rounds</w:t>
            </w:r>
          </w:p>
        </w:tc>
        <w:tc>
          <w:tcPr/>
          <w:p>
            <w:pPr>
              <w:pStyle w:val="Compact"/>
              <w:jc w:val="center"/>
            </w:pPr>
            <w:r>
              <w:rPr>
                <w:b/>
                <w:bCs/>
              </w:rPr>
              <w:t xml:space="preserve">160 Rounds</w:t>
            </w:r>
          </w:p>
        </w:tc>
        <w:tc>
          <w:tcPr/>
          <w:p>
            <w:pPr>
              <w:pStyle w:val="Compact"/>
              <w:jc w:val="center"/>
            </w:pPr>
            <w:r>
              <w:rPr>
                <w:b/>
                <w:bCs/>
              </w:rPr>
              <w:t xml:space="preserve">Status</w:t>
            </w:r>
          </w:p>
        </w:tc>
      </w:tr>
      <w:tr>
        <w:tc>
          <w:tcPr/>
          <w:p>
            <w:pPr>
              <w:pStyle w:val="Compact"/>
            </w:pPr>
          </w:p>
        </w:tc>
        <w:tc>
          <w:tcPr/>
          <w:p>
            <w:pPr>
              <w:pStyle w:val="Compact"/>
              <w:jc w:val="center"/>
            </w:pPr>
            <w:r>
              <w:rPr>
                <w:b/>
                <w:bCs/>
              </w:rPr>
              <w:t xml:space="preserve">Accuracy (%)</w:t>
            </w:r>
          </w:p>
        </w:tc>
        <w:tc>
          <w:tcPr/>
          <w:p>
            <w:pPr>
              <w:pStyle w:val="Compact"/>
              <w:jc w:val="center"/>
            </w:pPr>
            <w:r>
              <w:rPr>
                <w:b/>
                <w:bCs/>
              </w:rPr>
              <w:t xml:space="preserve">Accuracy (%)</w:t>
            </w:r>
          </w:p>
        </w:tc>
        <w:tc>
          <w:tcPr/>
          <w:p>
            <w:pPr>
              <w:pStyle w:val="Compact"/>
            </w:pPr>
          </w:p>
        </w:tc>
      </w:tr>
      <w:tr>
        <w:tc>
          <w:tcPr/>
          <w:p>
            <w:pPr>
              <w:pStyle w:val="Compact"/>
              <w:jc w:val="left"/>
            </w:pPr>
            <w:r>
              <w:t xml:space="preserve">FedAvg</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Krum</w:t>
            </w:r>
          </w:p>
        </w:tc>
        <w:tc>
          <w:tcPr/>
          <w:p>
            <w:pPr>
              <w:pStyle w:val="Compact"/>
              <w:jc w:val="center"/>
            </w:pPr>
            <w:r>
              <w:t xml:space="preserve">36.71</w:t>
            </w:r>
          </w:p>
        </w:tc>
        <w:tc>
          <w:tcPr/>
          <w:p>
            <w:pPr>
              <w:pStyle w:val="Compact"/>
              <w:jc w:val="center"/>
            </w:pPr>
            <w:r>
              <w:t xml:space="preserve">43.41</w:t>
            </w:r>
          </w:p>
        </w:tc>
        <w:tc>
          <w:tcPr/>
          <w:p>
            <w:pPr>
              <w:pStyle w:val="Compact"/>
              <w:jc w:val="center"/>
            </w:pPr>
            <w:r>
              <w:t xml:space="preserve">Moderate</w:t>
            </w:r>
          </w:p>
        </w:tc>
      </w:tr>
      <w:tr>
        <w:tc>
          <w:tcPr/>
          <w:p>
            <w:pPr>
              <w:pStyle w:val="Compact"/>
              <w:jc w:val="left"/>
            </w:pPr>
            <w:r>
              <w:rPr>
                <w:b/>
                <w:bCs/>
              </w:rPr>
              <w:t xml:space="preserve">TrimmedMean</w:t>
            </w:r>
          </w:p>
        </w:tc>
        <w:tc>
          <w:tcPr/>
          <w:p>
            <w:pPr>
              <w:pStyle w:val="Compact"/>
              <w:jc w:val="center"/>
            </w:pPr>
            <w:r>
              <w:t xml:space="preserve">66.38</w:t>
            </w:r>
          </w:p>
        </w:tc>
        <w:tc>
          <w:tcPr/>
          <w:p>
            <w:pPr>
              <w:pStyle w:val="Compact"/>
              <w:jc w:val="center"/>
            </w:pPr>
            <w:r>
              <w:rPr>
                <w:b/>
                <w:bCs/>
              </w:rPr>
              <w:t xml:space="preserve">67.92</w:t>
            </w:r>
          </w:p>
        </w:tc>
        <w:tc>
          <w:tcPr/>
          <w:p>
            <w:pPr>
              <w:pStyle w:val="Compact"/>
              <w:jc w:val="center"/>
            </w:pPr>
            <w:r>
              <w:t xml:space="preserve">Best</w:t>
            </w:r>
          </w:p>
        </w:tc>
      </w:tr>
      <w:tr>
        <w:tc>
          <w:tcPr/>
          <w:p>
            <w:pPr>
              <w:pStyle w:val="Compact"/>
              <w:jc w:val="left"/>
            </w:pPr>
            <w:r>
              <w:rPr>
                <w:b/>
                <w:bCs/>
              </w:rPr>
              <w:t xml:space="preserve">ATMA</w:t>
            </w:r>
          </w:p>
        </w:tc>
        <w:tc>
          <w:tcPr/>
          <w:p>
            <w:pPr>
              <w:pStyle w:val="Compact"/>
              <w:jc w:val="center"/>
            </w:pPr>
            <w:r>
              <w:t xml:space="preserve">64.38</w:t>
            </w:r>
          </w:p>
        </w:tc>
        <w:tc>
          <w:tcPr/>
          <w:p>
            <w:pPr>
              <w:pStyle w:val="Compact"/>
              <w:jc w:val="center"/>
            </w:pPr>
            <w:r>
              <w:rPr>
                <w:b/>
                <w:bCs/>
              </w:rPr>
              <w:t xml:space="preserve">65.78</w:t>
            </w:r>
          </w:p>
        </w:tc>
        <w:tc>
          <w:tcPr/>
          <w:p>
            <w:pPr>
              <w:pStyle w:val="Compact"/>
              <w:jc w:val="center"/>
            </w:pPr>
            <w:r>
              <w:t xml:space="preserve">Competitive</w:t>
            </w:r>
          </w:p>
        </w:tc>
      </w:tr>
      <w:tr>
        <w:tc>
          <w:tcPr/>
          <w:p>
            <w:pPr>
              <w:pStyle w:val="Compact"/>
              <w:jc w:val="left"/>
            </w:pPr>
            <w:r>
              <w:t xml:space="preserve">FedProx (</w:t>
            </w:r>
            <m:oMath>
              <m:r>
                <m:t>μ</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FedDyn (</w:t>
            </w:r>
            <m:oMath>
              <m:r>
                <m:t>α</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bl>
    <w:bookmarkEnd w:id="80"/>
    <w:p>
      <w:pPr>
        <w:pStyle w:val="BodyText"/>
      </w:pPr>
      <w:r>
        <w:rPr>
          <w:b/>
          <w:bCs/>
        </w:rPr>
        <w:t xml:space="preserve">Key Findings:</w:t>
      </w:r>
    </w:p>
    <w:p>
      <w:pPr>
        <w:numPr>
          <w:ilvl w:val="0"/>
          <w:numId w:val="1049"/>
        </w:numPr>
      </w:pPr>
      <w:r>
        <w:rPr>
          <w:b/>
          <w:bCs/>
        </w:rPr>
        <w:t xml:space="preserve">TrimmedMean achieves best performance:</w:t>
      </w:r>
      <w:r>
        <w:t xml:space="preserve"> </w:t>
      </w:r>
      <w:r>
        <w:t xml:space="preserve">67.92% accuracy at 160 rounds, demonstrating robust defense on realistic dataset.</w:t>
      </w:r>
    </w:p>
    <w:p>
      <w:pPr>
        <w:numPr>
          <w:ilvl w:val="0"/>
          <w:numId w:val="1049"/>
        </w:numPr>
      </w:pPr>
      <w:r>
        <w:rPr>
          <w:b/>
          <w:bCs/>
        </w:rPr>
        <w:t xml:space="preserve">ATMA competitive:</w:t>
      </w:r>
      <w:r>
        <w:t xml:space="preserve"> </w:t>
      </w:r>
      <w:r>
        <w:t xml:space="preserve">65.78% accuracy (2.14% below TrimmedMean), showing adaptive aggregation remains effective.</w:t>
      </w:r>
    </w:p>
    <w:p>
      <w:pPr>
        <w:numPr>
          <w:ilvl w:val="0"/>
          <w:numId w:val="1049"/>
        </w:numPr>
      </w:pPr>
      <w:r>
        <w:rPr>
          <w:b/>
          <w:bCs/>
        </w:rPr>
        <w:t xml:space="preserve">FedAvg collapses completely:</w:t>
      </w:r>
      <w:r>
        <w:t xml:space="preserve"> </w:t>
      </w:r>
      <w:r>
        <w:t xml:space="preserve">10% (random guess) under aggressive attacks, validating the necessity of Byzantine-robust methods.</w:t>
      </w:r>
    </w:p>
    <w:p>
      <w:pPr>
        <w:numPr>
          <w:ilvl w:val="0"/>
          <w:numId w:val="1049"/>
        </w:numPr>
      </w:pPr>
      <w:r>
        <w:rPr>
          <w:b/>
          <w:bCs/>
        </w:rPr>
        <w:t xml:space="preserve">Krum limited effectiveness:</w:t>
      </w:r>
      <w:r>
        <w:t xml:space="preserve"> </w:t>
      </w:r>
      <w:r>
        <w:t xml:space="preserve">43.41% at 160 rounds—better than collapse but struggles with aggressive attacks.</w:t>
      </w:r>
    </w:p>
    <w:p>
      <w:pPr>
        <w:pStyle w:val="FirstParagraph"/>
      </w:pPr>
      <w:r>
        <w:rPr>
          <w:b/>
          <w:bCs/>
        </w:rPr>
        <w:t xml:space="preserve">Hyperparameter Note:</w:t>
      </w:r>
      <w:r>
        <w:t xml:space="preserve"> </w:t>
      </w:r>
      <w:r>
        <w:t xml:space="preserve">The CIFAR-10 experiments use different hyperparameters than MNIST for dataset-specific optimization: MNIST uses</w:t>
      </w:r>
      <w:r>
        <w:t xml:space="preserve"> </w:t>
      </w:r>
      <w:r>
        <w:rPr>
          <w:rStyle w:val="VerbatimChar"/>
        </w:rPr>
        <w:t xml:space="preserve">epochs=3, batch_size=256</w:t>
      </w:r>
      <w:r>
        <w:t xml:space="preserve"> </w:t>
      </w:r>
      <w:r>
        <w:t xml:space="preserve">(optimized for simple digit classification), while CIFAR-10 uses</w:t>
      </w:r>
      <w:r>
        <w:t xml:space="preserve"> </w:t>
      </w:r>
      <w:r>
        <w:rPr>
          <w:rStyle w:val="VerbatimChar"/>
        </w:rPr>
        <w:t xml:space="preserve">epochs=5, batch_size=32</w:t>
      </w:r>
      <w:r>
        <w:t xml:space="preserve"> </w:t>
      </w:r>
      <w:r>
        <w:t xml:space="preserve">(standard for complex image classification [1]). The multi-seed experiments (Table </w:t>
      </w:r>
      <w:hyperlink w:anchor="tab:multiseed_ci">
        <w:r>
          <w:rPr>
            <w:rStyle w:val="Hyperlink"/>
          </w:rPr>
          <w:t xml:space="preserve">15</w:t>
        </w:r>
      </w:hyperlink>
      <w:r>
        <w:t xml:space="preserve">) use reduced settings (</w:t>
      </w:r>
      <w:r>
        <w:rPr>
          <w:rStyle w:val="VerbatimChar"/>
        </w:rPr>
        <w:t xml:space="preserve">epochs=3, batch_size=64</w:t>
      </w:r>
      <w:r>
        <w:t xml:space="preserve">) for computational efficiency in 3-seed validation. These differences reflect standard practice in federated learning literature where hyperparameters are tuned per-dataset.</w:t>
      </w:r>
    </w:p>
    <w:bookmarkEnd w:id="81"/>
    <w:bookmarkStart w:id="83" w:name="X204e23c23a451be21fb6908bfae0df39a4b27ed"/>
    <w:p>
      <w:pPr>
        <w:pStyle w:val="Heading2"/>
      </w:pPr>
      <w:r>
        <w:t xml:space="preserve">Comparison with Recent Federated Optimization Methods</w:t>
      </w:r>
    </w:p>
    <w:p>
      <w:pPr>
        <w:pStyle w:val="FirstParagraph"/>
      </w:pPr>
      <w:r>
        <w:t xml:space="preserve">To compare with recent methods (2020-2025), we implemented and tested FedProx [44] and FedDyn [45]—federated optimization algorithms for non-IID data.</w:t>
      </w:r>
    </w:p>
    <w:p>
      <w:pPr>
        <w:pStyle w:val="BodyText"/>
      </w:pPr>
      <w:r>
        <w:rPr>
          <w:b/>
          <w:bCs/>
        </w:rPr>
        <w:t xml:space="preserve">Result:</w:t>
      </w:r>
      <w:r>
        <w:t xml:space="preserve"> </w:t>
      </w:r>
      <w:r>
        <w:t xml:space="preserve">Both FedProx (</w:t>
      </w:r>
      <m:oMath>
        <m:r>
          <m:t>μ</m:t>
        </m:r>
      </m:oMath>
      <w:r>
        <w:t xml:space="preserve">=0.01) and FedDyn (</w:t>
      </w:r>
      <m:oMath>
        <m:r>
          <m:t>α</m:t>
        </m:r>
      </m:oMath>
      <w:r>
        <w:t xml:space="preserve">=0.01) collapse to 10% accuracy under Byzantine attacks, supporting our core thesis:</w:t>
      </w:r>
    </w:p>
    <w:p>
      <w:pPr>
        <w:numPr>
          <w:ilvl w:val="0"/>
          <w:numId w:val="1050"/>
        </w:numPr>
      </w:pPr>
      <w:r>
        <w:t xml:space="preserve">General federated optimization methods are</w:t>
      </w:r>
      <w:r>
        <w:t xml:space="preserve"> </w:t>
      </w:r>
      <w:r>
        <w:rPr>
          <w:b/>
          <w:bCs/>
        </w:rPr>
        <w:t xml:space="preserve">NOT</w:t>
      </w:r>
      <w:r>
        <w:t xml:space="preserve"> </w:t>
      </w:r>
      <w:r>
        <w:t xml:space="preserve">Byzantine-robust</w:t>
      </w:r>
    </w:p>
    <w:p>
      <w:pPr>
        <w:numPr>
          <w:ilvl w:val="0"/>
          <w:numId w:val="1050"/>
        </w:numPr>
      </w:pPr>
      <w:r>
        <w:t xml:space="preserve">Specialized aggregation (TrimmedMean, ATMA) is</w:t>
      </w:r>
      <w:r>
        <w:t xml:space="preserve"> </w:t>
      </w:r>
      <w:r>
        <w:rPr>
          <w:b/>
          <w:bCs/>
        </w:rPr>
        <w:t xml:space="preserve">essential</w:t>
      </w:r>
      <w:r>
        <w:t xml:space="preserve"> </w:t>
      </w:r>
      <w:r>
        <w:t xml:space="preserve">for adversarial environments</w:t>
      </w:r>
    </w:p>
    <w:p>
      <w:pPr>
        <w:numPr>
          <w:ilvl w:val="0"/>
          <w:numId w:val="1050"/>
        </w:numPr>
      </w:pPr>
      <w:r>
        <w:t xml:space="preserve">Our Byzantine-specific approach is scientifically justified</w:t>
      </w:r>
    </w:p>
    <w:p>
      <w:pPr>
        <w:pStyle w:val="FirstParagraph"/>
      </w:pPr>
      <w:r>
        <w:rPr>
          <w:b/>
          <w:bCs/>
        </w:rPr>
        <w:t xml:space="preserve">Byzantine Degradation Analysis:</w:t>
      </w:r>
      <w:r>
        <w:t xml:space="preserve"> </w:t>
      </w:r>
      <w:r>
        <w:t xml:space="preserve">To quantify attack impact, we conduct controlled experiments measuring accuracy under clean conditions versus 30% Byzantine attack (random noise). Table </w:t>
      </w:r>
      <w:hyperlink w:anchor="tab:degradation">
        <w:r>
          <w:rPr>
            <w:rStyle w:val="Hyperlink"/>
          </w:rPr>
          <w:t xml:space="preserve">14</w:t>
        </w:r>
      </w:hyperlink>
      <w:r>
        <w:t xml:space="preserve"> </w:t>
      </w:r>
      <w:r>
        <w:t xml:space="preserve">presents our measured degradation values on CIFAR-10 with Dirichlet(</w:t>
      </w:r>
      <m:oMath>
        <m:r>
          <m:t>α</m:t>
        </m:r>
      </m:oMath>
      <w:r>
        <w:t xml:space="preserve">=0.5) non-IID distribution (10 clients, 20 rounds, seed=42):</w:t>
      </w:r>
    </w:p>
    <w:bookmarkStart w:id="84" w:name="tab:degradation"/>
    <w:p>
      <w:pPr>
        <w:pStyle w:val="TableCaption"/>
      </w:pPr>
      <w:r>
        <w:t xml:space="preserve">Byzantine Degradation Percentage (CIFAR-10, 30% Byzantine Attack)</w:t>
      </w:r>
    </w:p>
    <w:tbl>
      <w:tblPr>
        <w:tblStyle w:val="Table"/>
        <w:tblW w:type="auto" w:w="0"/>
        <w:tblLook w:firstRow="0" w:lastRow="0" w:firstColumn="0" w:lastColumn="0" w:noHBand="0" w:noVBand="0" w:val="0000"/>
        <w:tblCaption w:val="Byzantine Degradation Percentage (CIFAR-10, 30% Byzantine Attack)"/>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Clean Baseline</w:t>
            </w:r>
          </w:p>
        </w:tc>
        <w:tc>
          <w:tcPr/>
          <w:p>
            <w:pPr>
              <w:pStyle w:val="Compact"/>
              <w:jc w:val="center"/>
            </w:pPr>
            <w:r>
              <w:rPr>
                <w:b/>
                <w:bCs/>
              </w:rPr>
              <w:t xml:space="preserve">Under Attack</w:t>
            </w:r>
          </w:p>
        </w:tc>
        <w:tc>
          <w:tcPr/>
          <w:p>
            <w:pPr>
              <w:pStyle w:val="Compact"/>
              <w:jc w:val="center"/>
            </w:pPr>
            <w:r>
              <w:rPr>
                <w:b/>
                <w:bCs/>
              </w:rPr>
              <w:t xml:space="preserve">Degradation</w:t>
            </w:r>
          </w:p>
        </w:tc>
      </w:tr>
      <w:tr>
        <w:tc>
          <w:tcPr/>
          <w:p>
            <w:pPr>
              <w:pStyle w:val="Compact"/>
            </w:pPr>
          </w:p>
        </w:tc>
        <w:tc>
          <w:tcPr/>
          <w:p>
            <w:pPr>
              <w:pStyle w:val="Compact"/>
              <w:jc w:val="center"/>
            </w:pPr>
            <w:r>
              <w:rPr>
                <w:b/>
                <w:bCs/>
              </w:rPr>
              <w:t xml:space="preserve">(Our Exp.)</w:t>
            </w:r>
          </w:p>
        </w:tc>
        <w:tc>
          <w:tcPr/>
          <w:p>
            <w:pPr>
              <w:pStyle w:val="Compact"/>
              <w:jc w:val="center"/>
            </w:pPr>
            <w:r>
              <w:rPr>
                <w:b/>
                <w:bCs/>
              </w:rPr>
              <w:t xml:space="preserve">(30% Byzantine)</w:t>
            </w:r>
          </w:p>
        </w:tc>
        <w:tc>
          <w:tcPr/>
          <w:p>
            <w:pPr>
              <w:pStyle w:val="Compact"/>
              <w:jc w:val="center"/>
            </w:pPr>
            <w:r>
              <w:rPr>
                <w:b/>
                <w:bCs/>
              </w:rPr>
              <w:t xml:space="preserve">(%)</w:t>
            </w:r>
          </w:p>
        </w:tc>
      </w:tr>
      <w:tr>
        <w:tc>
          <w:tcPr/>
          <w:p>
            <w:pPr>
              <w:pStyle w:val="Compact"/>
              <w:jc w:val="left"/>
            </w:pPr>
            <w:r>
              <w:t xml:space="preserve">FedAvg</w:t>
            </w:r>
          </w:p>
        </w:tc>
        <w:tc>
          <w:tcPr/>
          <w:p>
            <w:pPr>
              <w:pStyle w:val="Compact"/>
              <w:jc w:val="center"/>
            </w:pPr>
            <w:r>
              <w:t xml:space="preserve">59.13%</w:t>
            </w:r>
          </w:p>
        </w:tc>
        <w:tc>
          <w:tcPr/>
          <w:p>
            <w:pPr>
              <w:pStyle w:val="Compact"/>
              <w:jc w:val="center"/>
            </w:pPr>
            <w:r>
              <w:t xml:space="preserve">54.99%</w:t>
            </w:r>
          </w:p>
        </w:tc>
        <w:tc>
          <w:tcPr/>
          <w:p>
            <w:pPr>
              <w:pStyle w:val="Compact"/>
              <w:jc w:val="center"/>
            </w:pPr>
            <w:r>
              <w:t xml:space="preserve">7.0%</w:t>
            </w:r>
          </w:p>
        </w:tc>
      </w:tr>
      <w:tr>
        <w:tc>
          <w:tcPr/>
          <w:p>
            <w:pPr>
              <w:pStyle w:val="Compact"/>
              <w:jc w:val="left"/>
            </w:pPr>
            <w:r>
              <w:t xml:space="preserve">FedProx</w:t>
            </w:r>
          </w:p>
        </w:tc>
        <w:tc>
          <w:tcPr/>
          <w:p>
            <w:pPr>
              <w:pStyle w:val="Compact"/>
              <w:jc w:val="center"/>
            </w:pPr>
            <w:r>
              <w:t xml:space="preserve">60.07%</w:t>
            </w:r>
          </w:p>
        </w:tc>
        <w:tc>
          <w:tcPr/>
          <w:p>
            <w:pPr>
              <w:pStyle w:val="Compact"/>
              <w:jc w:val="center"/>
            </w:pPr>
            <w:r>
              <w:t xml:space="preserve">56.67%</w:t>
            </w:r>
          </w:p>
        </w:tc>
        <w:tc>
          <w:tcPr/>
          <w:p>
            <w:pPr>
              <w:pStyle w:val="Compact"/>
              <w:jc w:val="center"/>
            </w:pPr>
            <w:r>
              <w:t xml:space="preserve">5.7%</w:t>
            </w:r>
          </w:p>
        </w:tc>
      </w:tr>
      <w:tr>
        <w:tc>
          <w:tcPr/>
          <w:p>
            <w:pPr>
              <w:pStyle w:val="Compact"/>
              <w:jc w:val="left"/>
            </w:pPr>
            <w:r>
              <w:t xml:space="preserve">TrimmedMean</w:t>
            </w:r>
          </w:p>
        </w:tc>
        <w:tc>
          <w:tcPr/>
          <w:p>
            <w:pPr>
              <w:pStyle w:val="Compact"/>
              <w:jc w:val="center"/>
            </w:pPr>
            <w:r>
              <w:t xml:space="preserve">56.68%</w:t>
            </w:r>
          </w:p>
        </w:tc>
        <w:tc>
          <w:tcPr/>
          <w:p>
            <w:pPr>
              <w:pStyle w:val="Compact"/>
              <w:jc w:val="center"/>
            </w:pPr>
            <w:r>
              <w:t xml:space="preserve">53.19%</w:t>
            </w:r>
          </w:p>
        </w:tc>
        <w:tc>
          <w:tcPr/>
          <w:p>
            <w:pPr>
              <w:pStyle w:val="Compact"/>
              <w:jc w:val="center"/>
            </w:pPr>
            <w:r>
              <w:t xml:space="preserve">6.2%</w:t>
            </w:r>
          </w:p>
        </w:tc>
      </w:tr>
    </w:tbl>
    <w:bookmarkEnd w:id="82"/>
    <w:p>
      <w:pPr>
        <w:pStyle w:val="BodyText"/>
      </w:pPr>
      <w:r>
        <w:br/>
      </w:r>
      <w:r>
        <w:t xml:space="preserve">Experimental setup: NVIDIA RTX 5060 Ti GPU, PyTorch 2.9.1+cu128, seed=42 for reproducibility.</w:t>
      </w:r>
    </w:p>
    <w:p>
      <w:pPr>
        <w:pStyle w:val="BodyText"/>
      </w:pPr>
      <w:r>
        <w:rPr>
          <w:b/>
          <w:bCs/>
        </w:rPr>
        <w:t xml:space="preserve">Key Insight:</w:t>
      </w:r>
      <w:r>
        <w:t xml:space="preserve"> </w:t>
      </w:r>
      <w:r>
        <w:t xml:space="preserve">Under 30% Byzantine attack with random noise, all methods experience 5–7% accuracy degradation. The relatively modest degradation (compared to</w:t>
      </w:r>
      <w:r>
        <w:t xml:space="preserve"> </w:t>
      </w:r>
      <m:oMath>
        <m:r>
          <m:rPr>
            <m:sty m:val="p"/>
          </m:rPr>
          <m:t>&gt;</m:t>
        </m:r>
      </m:oMath>
      <w:r>
        <w:t xml:space="preserve">80% reported in some literature) is due to our random noise attack model; more sophisticated attacks like label-flipping or model replacement attacks would cause significantly higher degradation, particularly for undefended methods (FedAvg, FedProx).</w:t>
      </w:r>
    </w:p>
    <w:bookmarkEnd w:id="83"/>
    <w:bookmarkStart w:id="85" w:name="multi-seed-confidence-intervals"/>
    <w:p>
      <w:pPr>
        <w:pStyle w:val="Heading2"/>
      </w:pPr>
      <w:r>
        <w:t xml:space="preserve">Multi-Seed Confidence Intervals</w:t>
      </w:r>
    </w:p>
    <w:p>
      <w:pPr>
        <w:pStyle w:val="FirstParagraph"/>
      </w:pPr>
      <w:r>
        <w:t xml:space="preserve">To provide statistical rigor, we conducted multi-seed experiments (seeds: 42, 43, 44) and report 95% confidence intervals.</w:t>
      </w:r>
    </w:p>
    <w:p>
      <w:pPr>
        <w:pStyle w:val="BodyText"/>
      </w:pPr>
      <w:r>
        <w:rPr>
          <w:b/>
          <w:bCs/>
        </w:rPr>
        <w:t xml:space="preserve">Important Note:</w:t>
      </w:r>
      <w:r>
        <w:t xml:space="preserve"> </w:t>
      </w:r>
      <w:r>
        <w:t xml:space="preserve">Table </w:t>
      </w:r>
      <w:hyperlink w:anchor="tab:multiseed_ci">
        <w:r>
          <w:rPr>
            <w:rStyle w:val="Hyperlink"/>
          </w:rPr>
          <w:t xml:space="preserve">15</w:t>
        </w:r>
      </w:hyperlink>
      <w:r>
        <w:t xml:space="preserve"> </w:t>
      </w:r>
      <w:r>
        <w:t xml:space="preserve">uses reduced hyperparameters (local_epochs=3, batch_size=256) compared to Table </w:t>
      </w:r>
      <w:hyperlink w:anchor="tab:cifar10_results">
        <w:r>
          <w:rPr>
            <w:rStyle w:val="Hyperlink"/>
          </w:rPr>
          <w:t xml:space="preserve">13</w:t>
        </w:r>
      </w:hyperlink>
      <w:r>
        <w:t xml:space="preserve"> </w:t>
      </w:r>
      <w:r>
        <w:t xml:space="preserve">(local_epochs=5, batch_size=128) to enable rapid multi-seed evaluation. The lower accuracy (34.62% vs 66.38%) reflects these reduced settings, not seed variation.</w:t>
      </w:r>
    </w:p>
    <w:bookmarkStart w:id="86" w:name="tab:multiseed_ci"/>
    <w:p>
      <w:pPr>
        <w:pStyle w:val="TableCaption"/>
      </w:pPr>
      <w:r>
        <w:t xml:space="preserve">Multi-Seed Results with 95% CI (CIFAR-10, 50 rounds, Reduced Settings</w:t>
      </w:r>
      <m:oMath>
        <m:sSup>
          <m:e>
            <m:r>
              <m:t>​</m:t>
            </m:r>
          </m:e>
          <m:sup>
            <m:r>
              <m:rPr>
                <m:sty m:val="p"/>
              </m:rPr>
              <m:t>*</m:t>
            </m:r>
          </m:sup>
        </m:sSup>
      </m:oMath>
      <w:r>
        <w:t xml:space="preserve">)</w:t>
      </w:r>
    </w:p>
    <w:tbl>
      <w:tblPr>
        <w:tblStyle w:val="Table"/>
        <w:tblW w:type="auto" w:w="0"/>
        <w:tblLook w:firstRow="1" w:lastRow="0" w:firstColumn="0" w:lastColumn="0" w:noHBand="0" w:noVBand="0" w:val="0020"/>
        <w:tblCaption w:val="Multi-Seed Results with 95% CI (CIFAR-10, 50 rounds, Reduced Setting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Mean Acc. (%)</w:t>
            </w:r>
          </w:p>
        </w:tc>
        <w:tc>
          <w:tcPr/>
          <w:p>
            <w:pPr>
              <w:pStyle w:val="Compact"/>
              <w:jc w:val="center"/>
            </w:pPr>
            <w:r>
              <w:rPr>
                <w:b/>
                <w:bCs/>
              </w:rPr>
              <w:t xml:space="preserve">Std Dev</w:t>
            </w:r>
          </w:p>
        </w:tc>
        <w:tc>
          <w:tcPr/>
          <w:p>
            <w:pPr>
              <w:pStyle w:val="Compact"/>
              <w:jc w:val="center"/>
            </w:pPr>
            <w:r>
              <w:rPr>
                <w:b/>
                <w:bCs/>
              </w:rPr>
              <w:t xml:space="preserve">95% CI</w:t>
            </w:r>
          </w:p>
        </w:tc>
      </w:tr>
      <w:tr>
        <w:tc>
          <w:tcPr/>
          <w:p>
            <w:pPr>
              <w:pStyle w:val="Compact"/>
              <w:jc w:val="left"/>
            </w:pPr>
            <w:r>
              <w:t xml:space="preserve">TrimmedMean</w:t>
            </w:r>
          </w:p>
        </w:tc>
        <w:tc>
          <w:tcPr/>
          <w:p>
            <w:pPr>
              <w:pStyle w:val="Compact"/>
              <w:jc w:val="center"/>
            </w:pPr>
            <w:r>
              <w:t xml:space="preserve">34.62</w:t>
            </w:r>
          </w:p>
        </w:tc>
        <w:tc>
          <w:tcPr/>
          <w:p>
            <w:pPr>
              <w:pStyle w:val="Compact"/>
              <w:jc w:val="center"/>
            </w:pPr>
            <m:oMath>
              <m:r>
                <m:rPr>
                  <m:sty m:val="p"/>
                </m:rPr>
                <m:t>±</m:t>
              </m:r>
            </m:oMath>
            <w:r>
              <w:t xml:space="preserve">1.75</w:t>
            </w:r>
          </w:p>
        </w:tc>
        <w:tc>
          <w:tcPr/>
          <w:p>
            <w:pPr>
              <w:pStyle w:val="Compact"/>
              <w:jc w:val="center"/>
            </w:pPr>
            <m:oMath>
              <m:r>
                <m:rPr>
                  <m:sty m:val="p"/>
                </m:rPr>
                <m:t>±</m:t>
              </m:r>
            </m:oMath>
            <w:r>
              <w:t xml:space="preserve">2.02</w:t>
            </w:r>
          </w:p>
        </w:tc>
      </w:tr>
      <w:tr>
        <w:tc>
          <w:tcPr/>
          <w:p>
            <w:pPr>
              <w:pStyle w:val="Compact"/>
              <w:jc w:val="left"/>
            </w:pPr>
            <w:r>
              <w:t xml:space="preserve">Krum</w:t>
            </w:r>
          </w:p>
        </w:tc>
        <w:tc>
          <w:tcPr/>
          <w:p>
            <w:pPr>
              <w:pStyle w:val="Compact"/>
              <w:jc w:val="center"/>
            </w:pPr>
            <w:r>
              <w:t xml:space="preserve">24.87</w:t>
            </w:r>
          </w:p>
        </w:tc>
        <w:tc>
          <w:tcPr/>
          <w:p>
            <w:pPr>
              <w:pStyle w:val="Compact"/>
              <w:jc w:val="center"/>
            </w:pPr>
            <m:oMath>
              <m:r>
                <m:rPr>
                  <m:sty m:val="p"/>
                </m:rPr>
                <m:t>±</m:t>
              </m:r>
            </m:oMath>
            <w:r>
              <w:t xml:space="preserve">1.52</w:t>
            </w:r>
          </w:p>
        </w:tc>
        <w:tc>
          <w:tcPr/>
          <w:p>
            <w:pPr>
              <w:pStyle w:val="Compact"/>
              <w:jc w:val="center"/>
            </w:pPr>
            <m:oMath>
              <m:r>
                <m:rPr>
                  <m:sty m:val="p"/>
                </m:rPr>
                <m:t>±</m:t>
              </m:r>
            </m:oMath>
            <w:r>
              <w:t xml:space="preserve">1.72</w:t>
            </w:r>
          </w:p>
        </w:tc>
      </w:tr>
      <w:tr>
        <w:tc>
          <w:tcPr/>
          <w:p>
            <w:pPr>
              <w:pStyle w:val="Compact"/>
              <w:jc w:val="left"/>
            </w:pPr>
            <w:r>
              <w:t xml:space="preserve">FedAvg</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FedProx</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FedDyn</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bl>
    <w:bookmarkEnd w:id="84"/>
    <w:p>
      <w:pPr>
        <w:pStyle w:val="BodyText"/>
      </w:pPr>
      <w:r>
        <w:br/>
      </w:r>
      <m:oMath>
        <m:sSup>
          <m:e>
            <m:r>
              <m:t>​</m:t>
            </m:r>
          </m:e>
          <m:sup>
            <m:r>
              <m:rPr>
                <m:sty m:val="p"/>
              </m:rPr>
              <m:t>*</m:t>
            </m:r>
          </m:sup>
        </m:sSup>
      </m:oMath>
      <w:r>
        <w:t xml:space="preserve">Reduced settings: local_epochs=3, batch_size=256 (vs Table </w:t>
      </w:r>
      <w:hyperlink w:anchor="tab:cifar10_results">
        <w:r>
          <w:rPr>
            <w:rStyle w:val="Hyperlink"/>
          </w:rPr>
          <w:t xml:space="preserve">13</w:t>
        </w:r>
      </w:hyperlink>
      <w:r>
        <w:t xml:space="preserve">: epochs=5, batch=128)</w:t>
      </w:r>
    </w:p>
    <w:bookmarkEnd w:id="85"/>
    <w:bookmarkStart w:id="87" w:name="blockchain-cost-benefit-analysis"/>
    <w:p>
      <w:pPr>
        <w:pStyle w:val="Heading2"/>
      </w:pPr>
      <w:r>
        <w:t xml:space="preserve">Blockchain Cost-Benefit Analysis</w:t>
      </w:r>
    </w:p>
    <w:p>
      <w:pPr>
        <w:pStyle w:val="FirstParagraph"/>
      </w:pPr>
      <w:r>
        <w:rPr>
          <w:b/>
          <w:bCs/>
        </w:rPr>
        <w:t xml:space="preserve">Blockchain Validation Environment:</w:t>
      </w:r>
      <w:r>
        <w:t xml:space="preserve"> </w:t>
      </w:r>
      <w:r>
        <w:t xml:space="preserve">All blockchain experiments use</w:t>
      </w:r>
      <w:r>
        <w:t xml:space="preserve"> </w:t>
      </w:r>
      <w:r>
        <w:rPr>
          <w:b/>
          <w:bCs/>
        </w:rPr>
        <w:t xml:space="preserve">Ganache local simulation</w:t>
      </w:r>
      <w:r>
        <w:t xml:space="preserve"> </w:t>
      </w:r>
      <w:r>
        <w:t xml:space="preserve">(Ethereum-compatible EVM) for controlled, reproducible experimentation. This choice is scientifically justified:</w:t>
      </w:r>
    </w:p>
    <w:p>
      <w:pPr>
        <w:pStyle w:val="BodyText"/>
      </w:pPr>
      <w:r>
        <w:rPr>
          <w:b/>
          <w:bCs/>
        </w:rPr>
        <w:t xml:space="preserve">Advantages of Ganache:</w:t>
      </w:r>
    </w:p>
    <w:p>
      <w:pPr>
        <w:numPr>
          <w:ilvl w:val="0"/>
          <w:numId w:val="1051"/>
        </w:numPr>
      </w:pPr>
      <w:r>
        <w:rPr>
          <w:b/>
          <w:bCs/>
        </w:rPr>
        <w:t xml:space="preserve">Accurate gas measurement:</w:t>
      </w:r>
      <w:r>
        <w:t xml:space="preserve"> </w:t>
      </w:r>
      <w:r>
        <w:t xml:space="preserve">Identical EVM execution to Ethereum mainnet ensures precise gas cost calculation</w:t>
      </w:r>
    </w:p>
    <w:p>
      <w:pPr>
        <w:numPr>
          <w:ilvl w:val="0"/>
          <w:numId w:val="1051"/>
        </w:numPr>
      </w:pPr>
      <w:r>
        <w:rPr>
          <w:b/>
          <w:bCs/>
        </w:rPr>
        <w:t xml:space="preserve">Reproducibility:</w:t>
      </w:r>
      <w:r>
        <w:t xml:space="preserve"> </w:t>
      </w:r>
      <w:r>
        <w:t xml:space="preserve">Controlled environment eliminates network variability (seed=42, fixed gas prices)</w:t>
      </w:r>
    </w:p>
    <w:p>
      <w:pPr>
        <w:numPr>
          <w:ilvl w:val="0"/>
          <w:numId w:val="1051"/>
        </w:numPr>
      </w:pPr>
      <w:r>
        <w:rPr>
          <w:b/>
          <w:bCs/>
        </w:rPr>
        <w:t xml:space="preserve">Free experimentation:</w:t>
      </w:r>
      <w:r>
        <w:t xml:space="preserve"> </w:t>
      </w:r>
      <w:r>
        <w:t xml:space="preserve">No testnet ETH required for extensive 160-round experiments</w:t>
      </w:r>
    </w:p>
    <w:p>
      <w:pPr>
        <w:numPr>
          <w:ilvl w:val="0"/>
          <w:numId w:val="1051"/>
        </w:numPr>
      </w:pPr>
      <w:r>
        <w:rPr>
          <w:b/>
          <w:bCs/>
        </w:rPr>
        <w:t xml:space="preserve">Rapid iteration:</w:t>
      </w:r>
      <w:r>
        <w:t xml:space="preserve"> </w:t>
      </w:r>
      <w:r>
        <w:t xml:space="preserve">Instant block mining enables faster experiment cycles</w:t>
      </w:r>
    </w:p>
    <w:p>
      <w:pPr>
        <w:pStyle w:val="FirstParagraph"/>
      </w:pPr>
      <w:r>
        <w:rPr>
          <w:b/>
          <w:bCs/>
        </w:rPr>
        <w:t xml:space="preserve">Known Limitations (testnet deployment would address):</w:t>
      </w:r>
    </w:p>
    <w:p>
      <w:pPr>
        <w:numPr>
          <w:ilvl w:val="0"/>
          <w:numId w:val="1052"/>
        </w:numPr>
      </w:pPr>
      <w:r>
        <w:rPr>
          <w:b/>
          <w:bCs/>
        </w:rPr>
        <w:t xml:space="preserve">Network latency:</w:t>
      </w:r>
      <w:r>
        <w:t xml:space="preserve"> </w:t>
      </w:r>
      <w:r>
        <w:t xml:space="preserve">Ganache uses instant mining; real networks have 12–15s block times</w:t>
      </w:r>
    </w:p>
    <w:p>
      <w:pPr>
        <w:numPr>
          <w:ilvl w:val="0"/>
          <w:numId w:val="1052"/>
        </w:numPr>
      </w:pPr>
      <w:r>
        <w:rPr>
          <w:b/>
          <w:bCs/>
        </w:rPr>
        <w:t xml:space="preserve">Transaction queuing:</w:t>
      </w:r>
      <w:r>
        <w:t xml:space="preserve"> </w:t>
      </w:r>
      <w:r>
        <w:t xml:space="preserve">No mempool congestion simulation</w:t>
      </w:r>
    </w:p>
    <w:p>
      <w:pPr>
        <w:numPr>
          <w:ilvl w:val="0"/>
          <w:numId w:val="1052"/>
        </w:numPr>
      </w:pPr>
      <w:r>
        <w:rPr>
          <w:b/>
          <w:bCs/>
        </w:rPr>
        <w:t xml:space="preserve">Gas price volatility:</w:t>
      </w:r>
      <w:r>
        <w:t xml:space="preserve"> </w:t>
      </w:r>
      <w:r>
        <w:t xml:space="preserve">Fixed prices (30 Gwei); production varies 10–500+ Gwei</w:t>
      </w:r>
    </w:p>
    <w:p>
      <w:pPr>
        <w:numPr>
          <w:ilvl w:val="0"/>
          <w:numId w:val="1052"/>
        </w:numPr>
      </w:pPr>
      <w:r>
        <w:rPr>
          <w:b/>
          <w:bCs/>
        </w:rPr>
        <w:t xml:space="preserve">Finality guarantees:</w:t>
      </w:r>
      <w:r>
        <w:t xml:space="preserve"> </w:t>
      </w:r>
      <w:r>
        <w:t xml:space="preserve">Instant vs. 12 confirmations ( 2.5 min on Ethereum)</w:t>
      </w:r>
    </w:p>
    <w:p>
      <w:pPr>
        <w:pStyle w:val="FirstParagraph"/>
      </w:pPr>
      <w:r>
        <w:rPr>
          <w:b/>
          <w:bCs/>
        </w:rPr>
        <w:t xml:space="preserve">L2 Cost Projections:</w:t>
      </w:r>
      <w:r>
        <w:t xml:space="preserve"> </w:t>
      </w:r>
      <w:r>
        <w:t xml:space="preserve">The 50–100x cost reduction for Layer-2 networks (Arbitrum, Optimism) is based on official Arbitrum documentation and L2Fees.info benchmarks, not measured deployments in this study.</w:t>
      </w:r>
    </w:p>
    <w:p>
      <w:pPr>
        <w:pStyle w:val="BodyText"/>
      </w:pPr>
      <w:r>
        <w:rPr>
          <w:b/>
          <w:bCs/>
        </w:rPr>
        <w:t xml:space="preserve">Future Testnet Validation:</w:t>
      </w:r>
      <w:r>
        <w:t xml:space="preserve"> </w:t>
      </w:r>
      <w:r>
        <w:t xml:space="preserve">Smart contracts and deployment scripts are available in our repository. Testnet deployment on Sepolia/Arbitrum is planned for future work to validate real-world network conditions (block latency, gas volatility).</w:t>
      </w:r>
    </w:p>
    <w:bookmarkStart w:id="88" w:name="tab:gas_cost"/>
    <w:p>
      <w:pPr>
        <w:pStyle w:val="TableCaption"/>
      </w:pPr>
      <w:r>
        <w:t xml:space="preserve">Blockchain Gas Cost Analysis</w:t>
      </w:r>
    </w:p>
    <w:tbl>
      <w:tblPr>
        <w:tblStyle w:val="Table"/>
        <w:tblW w:type="auto" w:w="0"/>
        <w:tblLook w:firstRow="1" w:lastRow="0" w:firstColumn="0" w:lastColumn="0" w:noHBand="0" w:noVBand="0" w:val="0020"/>
        <w:tblCaption w:val="Blockchain Gas Cost Analysis"/>
      </w:tblPr>
      <w:tblGrid>
        <w:gridCol w:w="2640"/>
        <w:gridCol w:w="2640"/>
        <w:gridCol w:w="2640"/>
      </w:tblGrid>
      <w:tr>
        <w:trPr>
          <w:tblHeader w:val="on"/>
        </w:trPr>
        <w:tc>
          <w:tcPr/>
          <w:p>
            <w:pPr>
              <w:pStyle w:val="Compact"/>
              <w:jc w:val="left"/>
            </w:pPr>
            <w:r>
              <w:rPr>
                <w:b/>
                <w:bCs/>
              </w:rPr>
              <w:t xml:space="preserve">Operation</w:t>
            </w:r>
          </w:p>
        </w:tc>
        <w:tc>
          <w:tcPr/>
          <w:p>
            <w:pPr>
              <w:pStyle w:val="Compact"/>
              <w:jc w:val="center"/>
            </w:pPr>
            <w:r>
              <w:rPr>
                <w:b/>
                <w:bCs/>
              </w:rPr>
              <w:t xml:space="preserve">Gas Used</w:t>
            </w:r>
          </w:p>
        </w:tc>
        <w:tc>
          <w:tcPr/>
          <w:p>
            <w:pPr>
              <w:pStyle w:val="Compact"/>
              <w:jc w:val="center"/>
            </w:pPr>
            <w:r>
              <w:rPr>
                <w:b/>
                <w:bCs/>
              </w:rPr>
              <w:t xml:space="preserve">USD Cost*</w:t>
            </w:r>
          </w:p>
        </w:tc>
      </w:tr>
      <w:tr>
        <w:tc>
          <w:tcPr/>
          <w:p>
            <w:pPr>
              <w:pStyle w:val="Compact"/>
              <w:jc w:val="left"/>
            </w:pPr>
            <w:r>
              <w:t xml:space="preserve">Contract Deployment</w:t>
            </w:r>
          </w:p>
        </w:tc>
        <w:tc>
          <w:tcPr/>
          <w:p>
            <w:pPr>
              <w:pStyle w:val="Compact"/>
              <w:jc w:val="center"/>
            </w:pPr>
            <w:r>
              <w:t xml:space="preserve">1,724,238</w:t>
            </w:r>
          </w:p>
        </w:tc>
        <w:tc>
          <w:tcPr/>
          <w:p>
            <w:pPr>
              <w:pStyle w:val="Compact"/>
              <w:jc w:val="center"/>
            </w:pPr>
            <w:r>
              <w:t xml:space="preserve">$25.86</w:t>
            </w:r>
          </w:p>
        </w:tc>
      </w:tr>
      <w:tr>
        <w:tc>
          <w:tcPr/>
          <w:p>
            <w:pPr>
              <w:pStyle w:val="Compact"/>
              <w:jc w:val="left"/>
            </w:pPr>
            <w:r>
              <w:t xml:space="preserve">Per-Round Aggregation</w:t>
            </w:r>
          </w:p>
        </w:tc>
        <w:tc>
          <w:tcPr/>
          <w:p>
            <w:pPr>
              <w:pStyle w:val="Compact"/>
              <w:jc w:val="center"/>
            </w:pPr>
            <w:r>
              <w:t xml:space="preserve">2,005,000</w:t>
            </w:r>
          </w:p>
        </w:tc>
        <w:tc>
          <w:tcPr/>
          <w:p>
            <w:pPr>
              <w:pStyle w:val="Compact"/>
              <w:jc w:val="center"/>
            </w:pPr>
            <w:r>
              <w:t xml:space="preserve">$30.08</w:t>
            </w:r>
          </w:p>
        </w:tc>
      </w:tr>
      <w:tr>
        <w:tc>
          <w:tcPr/>
          <w:p>
            <w:pPr>
              <w:pStyle w:val="Compact"/>
              <w:jc w:val="left"/>
            </w:pPr>
            <w:r>
              <w:t xml:space="preserve">160 Rounds Total</w:t>
            </w:r>
          </w:p>
        </w:tc>
        <w:tc>
          <w:tcPr/>
          <w:p>
            <w:pPr>
              <w:pStyle w:val="Compact"/>
              <w:jc w:val="center"/>
            </w:pPr>
            <w:r>
              <w:t xml:space="preserve">322,524,238</w:t>
            </w:r>
          </w:p>
        </w:tc>
        <w:tc>
          <w:tcPr/>
          <w:p>
            <w:pPr>
              <w:pStyle w:val="Compact"/>
              <w:jc w:val="center"/>
            </w:pPr>
            <w:r>
              <w:t xml:space="preserve">$48,391</w:t>
            </w:r>
          </w:p>
        </w:tc>
      </w:tr>
      <w:tr>
        <w:tc>
          <w:tcPr>
            <w:gridSpan w:val="3"/>
          </w:tcPr>
          <w:p>
            <w:pPr>
              <w:pStyle w:val="Compact"/>
              <w:jc w:val="left"/>
            </w:pPr>
            <w:r>
              <w:rPr>
                <w:i/>
                <w:iCs/>
              </w:rPr>
              <w:t xml:space="preserve">*At 50 Gwei gas price, $3,000 ETH</w:t>
            </w:r>
          </w:p>
        </w:tc>
      </w:tr>
    </w:tbl>
    <w:bookmarkEnd w:id="86"/>
    <w:p>
      <w:pPr>
        <w:pStyle w:val="BodyText"/>
      </w:pPr>
      <w:r>
        <w:rPr>
          <w:b/>
          <w:bCs/>
        </w:rPr>
        <w:t xml:space="preserve">Cost Scenarios:</w:t>
      </w:r>
    </w:p>
    <w:p>
      <w:pPr>
        <w:numPr>
          <w:ilvl w:val="0"/>
          <w:numId w:val="1053"/>
        </w:numPr>
      </w:pPr>
      <w:r>
        <w:rPr>
          <w:b/>
          <w:bCs/>
        </w:rPr>
        <w:t xml:space="preserve">Best case</w:t>
      </w:r>
      <w:r>
        <w:t xml:space="preserve"> </w:t>
      </w:r>
      <w:r>
        <w:t xml:space="preserve">(20 Gwei, $2000 ETH): $12,904</w:t>
      </w:r>
    </w:p>
    <w:p>
      <w:pPr>
        <w:numPr>
          <w:ilvl w:val="0"/>
          <w:numId w:val="1053"/>
        </w:numPr>
      </w:pPr>
      <w:r>
        <w:rPr>
          <w:b/>
          <w:bCs/>
        </w:rPr>
        <w:t xml:space="preserve">Typical</w:t>
      </w:r>
      <w:r>
        <w:t xml:space="preserve"> </w:t>
      </w:r>
      <w:r>
        <w:t xml:space="preserve">(50 Gwei, $3000 ETH): $48,391</w:t>
      </w:r>
    </w:p>
    <w:p>
      <w:pPr>
        <w:numPr>
          <w:ilvl w:val="0"/>
          <w:numId w:val="1053"/>
        </w:numPr>
      </w:pPr>
      <w:r>
        <w:rPr>
          <w:b/>
          <w:bCs/>
        </w:rPr>
        <w:t xml:space="preserve">Worst case</w:t>
      </w:r>
      <w:r>
        <w:t xml:space="preserve"> </w:t>
      </w:r>
      <w:r>
        <w:t xml:space="preserve">(100 Gwei, $4000 ETH): $129,044</w:t>
      </w:r>
    </w:p>
    <w:p>
      <w:pPr>
        <w:numPr>
          <w:ilvl w:val="0"/>
          <w:numId w:val="1053"/>
        </w:numPr>
      </w:pPr>
      <w:r>
        <w:rPr>
          <w:b/>
          <w:bCs/>
        </w:rPr>
        <w:t xml:space="preserve">Layer-2 solution</w:t>
      </w:r>
      <w:r>
        <w:t xml:space="preserve">: 99% reduction</w:t>
      </w:r>
      <w:r>
        <w:t xml:space="preserve"> </w:t>
      </w:r>
      <m:oMath>
        <m:r>
          <m:rPr>
            <m:sty m:val="p"/>
          </m:rPr>
          <m:t>→</m:t>
        </m:r>
      </m:oMath>
      <w:r>
        <w:t xml:space="preserve"> </w:t>
      </w:r>
      <w:r>
        <w:t xml:space="preserve">$484 typical</w:t>
      </w:r>
    </w:p>
    <w:p>
      <w:pPr>
        <w:pStyle w:val="FirstParagraph"/>
      </w:pPr>
      <w:r>
        <w:t xml:space="preserve">This cost is justified for high-stakes applications (healthcare, finance) where forensic auditability and Byzantine detection are critical.</w:t>
      </w:r>
    </w:p>
    <w:bookmarkEnd w:id="87"/>
    <w:bookmarkStart w:id="89" w:name="limitations-and-threats-to-validity"/>
    <w:p>
      <w:pPr>
        <w:pStyle w:val="Heading2"/>
      </w:pPr>
      <w:r>
        <w:t xml:space="preserve">Limitations and Threats to Validity</w:t>
      </w:r>
    </w:p>
    <w:p>
      <w:pPr>
        <w:numPr>
          <w:ilvl w:val="0"/>
          <w:numId w:val="1054"/>
        </w:numPr>
      </w:pPr>
      <w:r>
        <w:rPr>
          <w:b/>
          <w:bCs/>
        </w:rPr>
        <w:t xml:space="preserve">Dataset Validation:</w:t>
      </w:r>
      <w:r>
        <w:t xml:space="preserve"> </w:t>
      </w:r>
      <w:r>
        <w:t xml:space="preserve">Results validated on CIFAR-10 with Dirichlet(</w:t>
      </w:r>
      <m:oMath>
        <m:r>
          <m:t>α</m:t>
        </m:r>
      </m:oMath>
      <w:r>
        <w:t xml:space="preserve">=0.5) non-IID distribution (67.92% TrimmedMean accuracy).</w:t>
      </w:r>
    </w:p>
    <w:p>
      <w:pPr>
        <w:numPr>
          <w:ilvl w:val="0"/>
          <w:numId w:val="1054"/>
        </w:numPr>
      </w:pPr>
      <w:r>
        <w:rPr>
          <w:b/>
          <w:bCs/>
        </w:rPr>
        <w:t xml:space="preserve">Recent Methods Comparison:</w:t>
      </w:r>
      <w:r>
        <w:t xml:space="preserve"> </w:t>
      </w:r>
      <w:r>
        <w:t xml:space="preserve">FedProx and FedDyn tested; both collapse under Byzantine attacks.</w:t>
      </w:r>
    </w:p>
    <w:p>
      <w:pPr>
        <w:numPr>
          <w:ilvl w:val="0"/>
          <w:numId w:val="1054"/>
        </w:numPr>
      </w:pPr>
      <w:r>
        <w:rPr>
          <w:b/>
          <w:bCs/>
        </w:rPr>
        <w:t xml:space="preserve">Confidence Intervals:</w:t>
      </w:r>
      <w:r>
        <w:t xml:space="preserve"> </w:t>
      </w:r>
      <w:r>
        <w:t xml:space="preserve">Multi-seed experiments (42, 43, 44) provide statistical rigor.</w:t>
      </w:r>
    </w:p>
    <w:p>
      <w:pPr>
        <w:numPr>
          <w:ilvl w:val="0"/>
          <w:numId w:val="1054"/>
        </w:numPr>
      </w:pPr>
      <w:r>
        <w:rPr>
          <w:b/>
          <w:bCs/>
        </w:rPr>
        <w:t xml:space="preserve">Blockchain Cost Analysis:</w:t>
      </w:r>
      <w:r>
        <w:t xml:space="preserve"> </w:t>
      </w:r>
      <w:r>
        <w:t xml:space="preserve">Gas measurements with 9 cost scenarios.</w:t>
      </w:r>
    </w:p>
    <w:p>
      <w:pPr>
        <w:numPr>
          <w:ilvl w:val="0"/>
          <w:numId w:val="1054"/>
        </w:numPr>
      </w:pPr>
      <w:r>
        <w:rPr>
          <w:b/>
          <w:bCs/>
        </w:rPr>
        <w:t xml:space="preserve">Remaining Limitations:</w:t>
      </w:r>
    </w:p>
    <w:p>
      <w:pPr>
        <w:numPr>
          <w:ilvl w:val="1"/>
          <w:numId w:val="1055"/>
        </w:numPr>
      </w:pPr>
      <w:r>
        <w:t xml:space="preserve">Attack types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numPr>
          <w:ilvl w:val="1"/>
          <w:numId w:val="1055"/>
        </w:numPr>
      </w:pPr>
      <w:r>
        <w:t xml:space="preserve">Scalability validated to 1,000 clients; 10,000+ requires additional testing.</w:t>
      </w:r>
    </w:p>
    <w:p>
      <w:pPr>
        <w:numPr>
          <w:ilvl w:val="1"/>
          <w:numId w:val="1055"/>
        </w:numPr>
      </w:pPr>
      <w:r>
        <w:rPr>
          <w:b/>
          <w:bCs/>
        </w:rPr>
        <w:t xml:space="preserve">Blockchain Environment:</w:t>
      </w:r>
      <w:r>
        <w:t xml:space="preserve"> </w:t>
      </w:r>
      <w:r>
        <w:t xml:space="preserve">Ganache local simulation provides accurate gas measurements but does not capture real-world network conditions (block latency, gas volatility). Testnet validation is planned as future work.</w:t>
      </w:r>
    </w:p>
    <w:p>
      <w:pPr>
        <w:numPr>
          <w:ilvl w:val="1"/>
          <w:numId w:val="1055"/>
        </w:numPr>
      </w:pPr>
      <w:r>
        <w:rPr>
          <w:b/>
          <w:bCs/>
        </w:rPr>
        <w:t xml:space="preserve">L2 Cost Projections:</w:t>
      </w:r>
      <w:r>
        <w:t xml:space="preserve"> </w:t>
      </w:r>
      <w:r>
        <w:t xml:space="preserve">Layer-2 cost estimates are based on documentation, not measured deployments.</w:t>
      </w:r>
    </w:p>
    <w:bookmarkEnd w:id="88"/>
    <w:bookmarkStart w:id="90" w:name="future-research-directions"/>
    <w:p>
      <w:pPr>
        <w:pStyle w:val="Heading2"/>
      </w:pPr>
      <w:r>
        <w:t xml:space="preserve">Future Research Directions</w:t>
      </w:r>
    </w:p>
    <w:p>
      <w:pPr>
        <w:pStyle w:val="FirstParagraph"/>
      </w:pPr>
      <w:r>
        <w:t xml:space="preserve">Several promising research directions emerge from our work:</w:t>
      </w:r>
    </w:p>
    <w:p>
      <w:pPr>
        <w:numPr>
          <w:ilvl w:val="0"/>
          <w:numId w:val="1056"/>
        </w:numPr>
      </w:pPr>
      <w:r>
        <w:rPr>
          <w:b/>
          <w:bCs/>
        </w:rPr>
        <w:t xml:space="preserve">Extended ATMA Evaluation:</w:t>
      </w:r>
      <w:r>
        <w:t xml:space="preserve"> </w:t>
      </w:r>
      <w:r>
        <w:t xml:space="preserve">Test ATMA with 160-round training to determine if adaptive methods can match or exceed TrimmedMean’s 93.45% peak accuracy. Preliminary 50-round results (85.12%) are promising.</w:t>
      </w:r>
    </w:p>
    <w:p>
      <w:pPr>
        <w:numPr>
          <w:ilvl w:val="0"/>
          <w:numId w:val="1056"/>
        </w:numPr>
      </w:pPr>
      <w:r>
        <w:rPr>
          <w:b/>
          <w:bCs/>
        </w:rPr>
        <w:t xml:space="preserve">Hybrid Adaptive-Static Methods:</w:t>
      </w:r>
      <w:r>
        <w:t xml:space="preserve"> </w:t>
      </w:r>
      <w:r>
        <w:t xml:space="preserve">Combine ATMA’s dynamic threshold adjustment with TrimmedMean’s proven long-term convergence for optimal performance across all training regimes.</w:t>
      </w:r>
    </w:p>
    <w:p>
      <w:pPr>
        <w:numPr>
          <w:ilvl w:val="0"/>
          <w:numId w:val="1056"/>
        </w:numPr>
      </w:pPr>
      <w:r>
        <w:rPr>
          <w:b/>
          <w:bCs/>
        </w:rPr>
        <w:t xml:space="preserve">Multi-Dimensional Reputation Systems:</w:t>
      </w:r>
      <w:r>
        <w:t xml:space="preserve"> </w:t>
      </w:r>
      <w:r>
        <w:t xml:space="preserve">Leverage blockchain logs to build sophisticated reputation models incorporating attack history, contribution quality, and temporal behavior patterns.</w:t>
      </w:r>
    </w:p>
    <w:p>
      <w:pPr>
        <w:numPr>
          <w:ilvl w:val="0"/>
          <w:numId w:val="1056"/>
        </w:numPr>
      </w:pPr>
      <w:r>
        <w:rPr>
          <w:b/>
          <w:bCs/>
        </w:rPr>
        <w:t xml:space="preserve">Cross-Organizational Blockchain-FL:</w:t>
      </w:r>
      <w:r>
        <w:t xml:space="preserve"> </w:t>
      </w:r>
      <w:r>
        <w:t xml:space="preserve">Deploy federated learning across multiple competing organizations using shared blockchain for trustless coordination, expanding beyond single-organization settings tested here.</w:t>
      </w:r>
    </w:p>
    <w:p>
      <w:pPr>
        <w:numPr>
          <w:ilvl w:val="0"/>
          <w:numId w:val="1056"/>
        </w:numPr>
      </w:pPr>
      <w:r>
        <w:rPr>
          <w:b/>
          <w:bCs/>
        </w:rPr>
        <w:t xml:space="preserve">Advanced Adaptive Attacks:</w:t>
      </w:r>
      <w:r>
        <w:t xml:space="preserve"> </w:t>
      </w:r>
      <w:r>
        <w:t xml:space="preserve">Test against more sophisticated FLARE variants including mimicry attacks, delayed poisoning, and coordinated multi-client strategies beyond our current 11.6% success baseline.</w:t>
      </w:r>
    </w:p>
    <w:p>
      <w:pPr>
        <w:numPr>
          <w:ilvl w:val="0"/>
          <w:numId w:val="1056"/>
        </w:numPr>
      </w:pPr>
      <w:r>
        <w:rPr>
          <w:b/>
          <w:bCs/>
        </w:rPr>
        <w:t xml:space="preserve">Privacy-Preserving Aggregation:</w:t>
      </w:r>
      <w:r>
        <w:t xml:space="preserve"> </w:t>
      </w:r>
      <w:r>
        <w:t xml:space="preserve">Integrate differential privacy or secure multi-party computation [22] with blockchain-verifiable proofs to balance transparency with gradient privacy.</w:t>
      </w:r>
    </w:p>
    <w:p>
      <w:pPr>
        <w:numPr>
          <w:ilvl w:val="0"/>
          <w:numId w:val="1056"/>
        </w:numPr>
      </w:pPr>
      <w:r>
        <w:rPr>
          <w:b/>
          <w:bCs/>
        </w:rPr>
        <w:t xml:space="preserve">Economic Game Theory:</w:t>
      </w:r>
      <w:r>
        <w:t xml:space="preserve"> </w:t>
      </w:r>
      <w:r>
        <w:t xml:space="preserve">Model attacker-defender dynamics under blockchain incentive structures to predict equilibrium strategies and design optimal reward/penalty mechanisms.</w:t>
      </w:r>
    </w:p>
    <w:p>
      <w:pPr>
        <w:numPr>
          <w:ilvl w:val="0"/>
          <w:numId w:val="1056"/>
        </w:numPr>
      </w:pPr>
      <w:r>
        <w:rPr>
          <w:b/>
          <w:bCs/>
        </w:rPr>
        <w:t xml:space="preserve">Real-World Dataset Validation:</w:t>
      </w:r>
      <w:r>
        <w:t xml:space="preserve"> </w:t>
      </w:r>
      <w:r>
        <w:t xml:space="preserve">Extend ATMA and Transparency Paradox experiments to CIFAR-10, CIFAR-100, medical imaging, and financial datasets with realistic non-IID distributions.</w:t>
      </w:r>
    </w:p>
    <w:p>
      <w:pPr>
        <w:numPr>
          <w:ilvl w:val="0"/>
          <w:numId w:val="1056"/>
        </w:numPr>
      </w:pPr>
      <w:r>
        <w:rPr>
          <w:b/>
          <w:bCs/>
        </w:rPr>
        <w:t xml:space="preserve">Production Deployment:</w:t>
      </w:r>
      <w:r>
        <w:t xml:space="preserve"> </w:t>
      </w:r>
      <w:r>
        <w:t xml:space="preserve">Transition from simulated Layer-2 to live networks (Polygon, Arbitrum, Optimism) to measure real latency, throughput, and cost under production workloads [42].</w:t>
      </w:r>
    </w:p>
    <w:p>
      <w:pPr>
        <w:numPr>
          <w:ilvl w:val="0"/>
          <w:numId w:val="1056"/>
        </w:numPr>
      </w:pPr>
      <w:r>
        <w:rPr>
          <w:b/>
          <w:bCs/>
        </w:rPr>
        <w:t xml:space="preserve">Automated Threshold Tuning:</w:t>
      </w:r>
      <w:r>
        <w:t xml:space="preserve"> </w:t>
      </w:r>
      <w:r>
        <w:t xml:space="preserve">Develop meta-learning approaches to automatically configure ATMA’s adaptation rate and bounds based on dataset characteristics and observed Byzantine behavior.</w:t>
      </w:r>
    </w:p>
    <w:bookmarkEnd w:id="89"/>
    <w:bookmarkEnd w:id="90"/>
    <w:bookmarkStart w:id="91" w:name="sec:conclusion"/>
    <w:p>
      <w:pPr>
        <w:pStyle w:val="Heading1"/>
      </w:pPr>
      <w:r>
        <w:t xml:space="preserve">Conclusion</w:t>
      </w:r>
    </w:p>
    <w:p>
      <w:pPr>
        <w:pStyle w:val="FirstParagraph"/>
      </w:pPr>
      <w:r>
        <w:t xml:space="preserve">This paper presents a comprehensive empirical study of Byzantine-robust federated learning integrated with blockchain technology, validated on both MNIST and CIFAR-10 datasets under realistic non-IID conditions. We conducted over 36 controlled experiments across multiple aggregation algorithms, attack strategies, blockchain topologies, and training durations to provide actionable insights for deploying secure federated learning systems.</w:t>
      </w:r>
    </w:p>
    <w:bookmarkStart w:id="92" w:name="summary-of-key-findings"/>
    <w:p>
      <w:pPr>
        <w:pStyle w:val="Heading2"/>
      </w:pPr>
      <w:r>
        <w:t xml:space="preserve">Summary of Key Findings</w:t>
      </w:r>
    </w:p>
    <w:p>
      <w:pPr>
        <w:pStyle w:val="FirstParagraph"/>
      </w:pPr>
      <w:r>
        <w:rPr>
          <w:b/>
          <w:bCs/>
        </w:rPr>
        <w:t xml:space="preserve">(1) Byzantine-robust aggregation does not sacrifice accuracy.</w:t>
      </w:r>
      <w:r>
        <w:t xml:space="preserve"> </w:t>
      </w:r>
      <w:r>
        <w:t xml:space="preserve">Contrary to the common assumption that robust aggregation methods trade accuracy for security, our experiments demonstrate that TrimmedMean with 160 training rounds achieves 93.45% test accuracy on MNIST—surpassing the undefended FedAvg baseline (87.60%) by 5.85%. This is possible because TrimmedMean’s coordinate-wise trimming filters not only Byzantine updates but also noisy gradients from heterogeneous non-IID data. On the more challenging CIFAR-10 with Dirichlet(</w:t>
      </w:r>
      <m:oMath>
        <m:r>
          <m:t>α</m:t>
        </m:r>
      </m:oMath>
      <w:r>
        <w:t xml:space="preserve">=0.5) distribution, TrimmedMean achieves 67.92% under aggressive label-flip attacks (scale=-5.0), while FedAvg collapses to random guess (10%).</w:t>
      </w:r>
    </w:p>
    <w:p>
      <w:pPr>
        <w:pStyle w:val="BodyText"/>
      </w:pPr>
      <w:r>
        <w:rPr>
          <w:b/>
          <w:bCs/>
        </w:rPr>
        <w:t xml:space="preserve">(2) Adaptive aggregation provides measurable benefit.</w:t>
      </w:r>
      <w:r>
        <w:t xml:space="preserve"> </w:t>
      </w:r>
      <w:r>
        <w:t xml:space="preserve">ATMA, which dynamically adjusts its trimming threshold based on gradient variance and kurtosis, achieves 85.12% on MNIST (50 rounds) and 65.78% on CIFAR-10 (160 rounds). The +0.73% advantage over static TrimmedMean in blockchain environments, confirmed by paired t-test (</w:t>
      </w:r>
      <m:oMath>
        <m:r>
          <m:t>p</m:t>
        </m:r>
        <m:r>
          <m:rPr>
            <m:sty m:val="p"/>
          </m:rPr>
          <m:t>=</m:t>
        </m:r>
        <m:r>
          <m:t>0.002</m:t>
        </m:r>
      </m:oMath>
      <w:r>
        <w:t xml:space="preserve">, Cohen’s</w:t>
      </w:r>
      <w:r>
        <w:t xml:space="preserve"> </w:t>
      </w:r>
      <m:oMath>
        <m:r>
          <m:t>d</m:t>
        </m:r>
        <m:r>
          <m:rPr>
            <m:sty m:val="p"/>
          </m:rPr>
          <m:t>=</m:t>
        </m:r>
        <m:r>
          <m:t>0.57</m:t>
        </m:r>
      </m:oMath>
      <w:r>
        <w:t xml:space="preserve">), demonstrates that adaptive defense provides statistically significant benefit without manual threshold tuning.</w:t>
      </w:r>
    </w:p>
    <w:p>
      <w:pPr>
        <w:pStyle w:val="BodyText"/>
      </w:pPr>
      <w:r>
        <w:rPr>
          <w:b/>
          <w:bCs/>
        </w:rPr>
        <w:t xml:space="preserve">(3) General federated optimization methods are not Byzantine-robust.</w:t>
      </w:r>
      <w:r>
        <w:t xml:space="preserve"> </w:t>
      </w:r>
      <w:r>
        <w:t xml:space="preserve">FedProx (</w:t>
      </w:r>
      <m:oMath>
        <m:r>
          <m:t>μ</m:t>
        </m:r>
      </m:oMath>
      <w:r>
        <w:t xml:space="preserve">=0.01) and FedDyn (</w:t>
      </w:r>
      <m:oMath>
        <m:r>
          <m:t>α</m:t>
        </m:r>
      </m:oMath>
      <w:r>
        <w:t xml:space="preserve">=0.01), designed for non-IID data heterogeneity, both collapse entirely (10% accuracy) under Byzantine attacks on CIFAR-10. This confirms that methods addressing statistical heterogeneity do not inherently provide Byzantine resilience—specialized robust aggregation is essential.</w:t>
      </w:r>
    </w:p>
    <w:p>
      <w:pPr>
        <w:pStyle w:val="BodyText"/>
      </w:pPr>
      <w:r>
        <w:rPr>
          <w:b/>
          <w:bCs/>
        </w:rPr>
        <w:t xml:space="preserve">(4) Blockchain transparency benefits defenders more than attackers.</w:t>
      </w:r>
      <w:r>
        <w:t xml:space="preserve"> </w:t>
      </w:r>
      <w:r>
        <w:t xml:space="preserve">Our Transparency Paradox experiments show that blockchain-informed FLARE-style adaptive attackers achieve only 11.6% success rate with merely 1.8% model degradation. In contrast, defenders gain: (a) 100% forensic coverage (all 58 attack attempts permanently recorded), (b) 94.3% real-time detection accuracy, and (c) reputation-based defense capability that reduces repeat attack success to 2.3%.</w:t>
      </w:r>
    </w:p>
    <w:bookmarkEnd w:id="91"/>
    <w:bookmarkStart w:id="93" w:name="comparative-analysis-with-prior-work"/>
    <w:p>
      <w:pPr>
        <w:pStyle w:val="Heading2"/>
      </w:pPr>
      <w:r>
        <w:t xml:space="preserve">Comparative Analysis with Prior Work</w:t>
      </w:r>
    </w:p>
    <w:p>
      <w:pPr>
        <w:pStyle w:val="FirstParagraph"/>
      </w:pPr>
      <w:r>
        <w:t xml:space="preserve">Table </w:t>
      </w:r>
      <w:hyperlink w:anchor="tab:contribution_comparison">
        <w:r>
          <w:rPr>
            <w:rStyle w:val="Hyperlink"/>
          </w:rPr>
          <w:t xml:space="preserve">[tab:contribution_comparison]</w:t>
        </w:r>
      </w:hyperlink>
      <w:r>
        <w:t xml:space="preserve"> </w:t>
      </w:r>
      <w:r>
        <w:t xml:space="preserve">positions our work against key prior studies.</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left"/>
            </w:pPr>
            <w:r>
              <w:rPr>
                <w:b/>
                <w:bCs/>
              </w:rPr>
              <w:t xml:space="preserve">Study</w:t>
            </w:r>
          </w:p>
        </w:tc>
        <w:tc>
          <w:tcPr/>
          <w:p>
            <w:pPr>
              <w:pStyle w:val="Compact"/>
              <w:jc w:val="center"/>
            </w:pPr>
            <w:r>
              <w:rPr>
                <w:b/>
                <w:bCs/>
              </w:rPr>
              <w:t xml:space="preserve">Robust Agg.</w:t>
            </w:r>
          </w:p>
        </w:tc>
        <w:tc>
          <w:tcPr/>
          <w:p>
            <w:pPr>
              <w:pStyle w:val="Compact"/>
              <w:jc w:val="center"/>
            </w:pPr>
            <w:r>
              <w:rPr>
                <w:b/>
                <w:bCs/>
              </w:rPr>
              <w:t xml:space="preserve">Blockchain</w:t>
            </w:r>
          </w:p>
        </w:tc>
        <w:tc>
          <w:tcPr/>
          <w:p>
            <w:pPr>
              <w:pStyle w:val="Compact"/>
              <w:jc w:val="center"/>
            </w:pPr>
            <w:r>
              <w:rPr>
                <w:b/>
                <w:bCs/>
              </w:rPr>
              <w:t xml:space="preserve">Adaptive</w:t>
            </w:r>
          </w:p>
        </w:tc>
        <w:tc>
          <w:tcPr/>
          <w:p>
            <w:pPr>
              <w:pStyle w:val="Compact"/>
              <w:jc w:val="center"/>
            </w:pPr>
            <w:r>
              <w:rPr>
                <w:b/>
                <w:bCs/>
              </w:rPr>
              <w:t xml:space="preserve">Non-IID</w:t>
            </w:r>
          </w:p>
        </w:tc>
        <w:tc>
          <w:tcPr/>
          <w:p>
            <w:pPr>
              <w:pStyle w:val="Compact"/>
              <w:jc w:val="center"/>
            </w:pPr>
            <w:r>
              <w:rPr>
                <w:b/>
                <w:bCs/>
              </w:rPr>
              <w:t xml:space="preserve">Transparency</w:t>
            </w:r>
          </w:p>
        </w:tc>
        <w:tc>
          <w:tcPr/>
          <w:p>
            <w:pPr>
              <w:pStyle w:val="Compact"/>
              <w:jc w:val="center"/>
            </w:pPr>
            <w:r>
              <w:rPr>
                <w:b/>
                <w:bCs/>
              </w:rPr>
              <w:t xml:space="preserve">Multi-Seed</w:t>
            </w:r>
          </w:p>
        </w:tc>
      </w:tr>
      <w:tr>
        <w:tc>
          <w:tcPr/>
          <w:p>
            <w:pPr>
              <w:pStyle w:val="Compact"/>
            </w:pPr>
          </w:p>
        </w:tc>
        <w:tc>
          <w:tcPr/>
          <w:p>
            <w:pPr>
              <w:pStyle w:val="Compact"/>
            </w:pPr>
          </w:p>
        </w:tc>
        <w:tc>
          <w:tcPr/>
          <w:p>
            <w:pPr>
              <w:pStyle w:val="Compact"/>
              <w:jc w:val="center"/>
            </w:pPr>
            <w:r>
              <w:rPr>
                <w:b/>
                <w:bCs/>
              </w:rPr>
              <w:t xml:space="preserve">Audit</w:t>
            </w:r>
          </w:p>
        </w:tc>
        <w:tc>
          <w:tcPr/>
          <w:p>
            <w:pPr>
              <w:pStyle w:val="Compact"/>
              <w:jc w:val="center"/>
            </w:pPr>
            <w:r>
              <w:rPr>
                <w:b/>
                <w:bCs/>
              </w:rPr>
              <w:t xml:space="preserve">Defense</w:t>
            </w:r>
          </w:p>
        </w:tc>
        <w:tc>
          <w:tcPr/>
          <w:p>
            <w:pPr>
              <w:pStyle w:val="Compact"/>
              <w:jc w:val="center"/>
            </w:pPr>
            <w:r>
              <w:rPr>
                <w:b/>
                <w:bCs/>
              </w:rPr>
              <w:t xml:space="preserve">Validation</w:t>
            </w:r>
          </w:p>
        </w:tc>
        <w:tc>
          <w:tcPr/>
          <w:p>
            <w:pPr>
              <w:pStyle w:val="Compact"/>
              <w:jc w:val="center"/>
            </w:pPr>
            <w:r>
              <w:rPr>
                <w:b/>
                <w:bCs/>
              </w:rPr>
              <w:t xml:space="preserve">Paradox</w:t>
            </w:r>
          </w:p>
        </w:tc>
        <w:tc>
          <w:tcPr/>
          <w:p>
            <w:pPr>
              <w:pStyle w:val="Compact"/>
              <w:jc w:val="center"/>
            </w:pPr>
            <w:r>
              <w:rPr>
                <w:b/>
                <w:bCs/>
              </w:rPr>
              <w:t xml:space="preserve">CI</w:t>
            </w:r>
          </w:p>
        </w:tc>
      </w:tr>
      <w:tr>
        <w:tc>
          <w:tcPr/>
          <w:p>
            <w:pPr>
              <w:pStyle w:val="Compact"/>
              <w:jc w:val="left"/>
            </w:pPr>
            <w:r>
              <w:t xml:space="preserve">Blanchard et al. [3] (Krum)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Yin et al. [4] (TrimmedMean)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Shayan et al. [27] (Biscotti)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Kalibbala et al. [46] (ATMA)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Cao et al. [35] (Survey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This 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Our primary contributions beyond prior work are: (a) integrating blockchain auditability with Byzantine-robust aggregation, which no prior study has empirically evaluated end-to-end; (b) introducing and resolving the Transparency Paradox through controlled experiments with adaptive attackers; (c) validating ATMA in blockchain environments, demonstrating that adaptive aggregation maintains consistency across centralized and decentralized architectures (only 0.16% accuracy difference); and (d) providing multi-seed confidence intervals and cross-dataset validation (MNIST + CIFAR-10) for statistical rigor.</w:t>
      </w:r>
    </w:p>
    <w:bookmarkEnd w:id="92"/>
    <w:bookmarkStart w:id="94" w:name="Xe9c65600cad1fc109f9df991a5945fb00ee7c48"/>
    <w:p>
      <w:pPr>
        <w:pStyle w:val="Heading2"/>
      </w:pPr>
      <w:r>
        <w:t xml:space="preserve">Practical Contributions and Deployment Guidelines</w:t>
      </w:r>
    </w:p>
    <w:p>
      <w:pPr>
        <w:pStyle w:val="FirstParagraph"/>
      </w:pPr>
      <w:r>
        <w:t xml:space="preserve">Based on our empirical findings, we provide concrete deployment recommendations:</w:t>
      </w:r>
    </w:p>
    <w:p>
      <w:pPr>
        <w:numPr>
          <w:ilvl w:val="0"/>
          <w:numId w:val="1057"/>
        </w:numPr>
      </w:pPr>
      <w:r>
        <w:rPr>
          <w:b/>
          <w:bCs/>
        </w:rPr>
        <w:t xml:space="preserve">Algorithm selection:</w:t>
      </w:r>
      <w:r>
        <w:t xml:space="preserve"> </w:t>
      </w:r>
      <w:r>
        <w:t xml:space="preserve">Use TrimmedMean (</w:t>
      </w:r>
      <m:oMath>
        <m:r>
          <m:t>β</m:t>
        </m:r>
        <m:r>
          <m:rPr>
            <m:sty m:val="p"/>
          </m:rPr>
          <m:t>=</m:t>
        </m:r>
        <m:r>
          <m:t>0.2</m:t>
        </m:r>
      </m:oMath>
      <w:r>
        <w:t xml:space="preserve">) for applications requiring peak accuracy with stable threat models and sufficient training budget (160+ rounds). Use ATMA for dynamic environments with unknown or variable Byzantine ratios, where automatic threshold adaptation eliminates manual tuning.</w:t>
      </w:r>
    </w:p>
    <w:p>
      <w:pPr>
        <w:numPr>
          <w:ilvl w:val="0"/>
          <w:numId w:val="1057"/>
        </w:numPr>
      </w:pPr>
      <w:r>
        <w:rPr>
          <w:b/>
          <w:bCs/>
        </w:rPr>
        <w:t xml:space="preserve">Cost management:</w:t>
      </w:r>
      <w:r>
        <w:t xml:space="preserve"> </w:t>
      </w:r>
      <w:r>
        <w:t xml:space="preserve">Ethereum Layer-1 deployment costs $48,391 for 160 rounds (at 50 Gwei, $3,000 ETH). Layer-2 solutions reduce this by 99% to approximately $484, making blockchain-integrated FL economically viable for production deployment.</w:t>
      </w:r>
    </w:p>
    <w:p>
      <w:pPr>
        <w:numPr>
          <w:ilvl w:val="0"/>
          <w:numId w:val="1057"/>
        </w:numPr>
      </w:pPr>
      <w:r>
        <w:rPr>
          <w:b/>
          <w:bCs/>
        </w:rPr>
        <w:t xml:space="preserve">Scalability:</w:t>
      </w:r>
      <w:r>
        <w:t xml:space="preserve"> </w:t>
      </w:r>
      <w:r>
        <w:t xml:space="preserve">Our 1,000-client scalability tests confirm that the system maintains Byzantine detection (F1=0.68) at scale, with L2 blockchain costs of $9,000 (vs. $900,000 on L1).</w:t>
      </w:r>
    </w:p>
    <w:p>
      <w:pPr>
        <w:numPr>
          <w:ilvl w:val="0"/>
          <w:numId w:val="1057"/>
        </w:numPr>
      </w:pPr>
      <w:r>
        <w:rPr>
          <w:b/>
          <w:bCs/>
        </w:rPr>
        <w:t xml:space="preserve">Security posture:</w:t>
      </w:r>
      <w:r>
        <w:t xml:space="preserve"> </w:t>
      </w:r>
      <w:r>
        <w:t xml:space="preserve">Implement multi-layered defense combining robust aggregation (TrimmedMean/ATMA) + blockchain-based detection + reputation systems. This defense-in-depth approach limits even blockchain-informed adaptive attackers to 1.8% model degradation.</w:t>
      </w:r>
    </w:p>
    <w:bookmarkEnd w:id="93"/>
    <w:bookmarkStart w:id="95" w:name="limitations"/>
    <w:p>
      <w:pPr>
        <w:pStyle w:val="Heading2"/>
      </w:pPr>
      <w:r>
        <w:t xml:space="preserve">Limitations</w:t>
      </w:r>
    </w:p>
    <w:p>
      <w:pPr>
        <w:pStyle w:val="FirstParagraph"/>
      </w:pPr>
      <w:r>
        <w:t xml:space="preserve">We acknowledge the following limitations. (1) Attack types are limited to label-flip, sign-flip, and random noise; more sophisticated attacks such as the</w:t>
      </w:r>
      <w:r>
        <w:t xml:space="preserve"> </w:t>
      </w:r>
      <w:r>
        <w:t xml:space="preserve">“A Little Is Enough”</w:t>
      </w:r>
      <w:r>
        <w:t xml:space="preserve"> </w:t>
      </w:r>
      <w:r>
        <w:t xml:space="preserve">(ALIE) approach [10] and backdoor attacks [11] require future study. (2) All blockchain experiments use Ganache local simulation, which provides accurate gas measurements but does not capture real-world network latency (12–15s block times) or gas price volatility. (3) Krum’s poor performance (26.56% on MNIST, 43.41% on CIFAR-10) was observed only under our aggressive attack setting; clean-baseline Krum experiments were not conducted. (4) The ATMA evaluation is limited to 50 rounds for most configurations; 160-round ATMA experiments are available for CIFAR-10 only.</w:t>
      </w:r>
    </w:p>
    <w:bookmarkEnd w:id="94"/>
    <w:bookmarkStart w:id="96" w:name="future-work"/>
    <w:p>
      <w:pPr>
        <w:pStyle w:val="Heading2"/>
      </w:pPr>
      <w:r>
        <w:t xml:space="preserve">Future Work</w:t>
      </w:r>
    </w:p>
    <w:p>
      <w:pPr>
        <w:pStyle w:val="FirstParagraph"/>
      </w:pPr>
      <w:r>
        <w:t xml:space="preserve">Key directions for future research include: (1) testnet deployment on Sepolia/Arbitrum to validate blockchain costs under real network conditions, (2) extended ATMA evaluation with 160-round training on MNIST to determine whether adaptive methods can match TrimmedMean’s 93.45% peak, (3) hybrid adaptive-static aggregation combining ATMA’s dynamic threshold with TrimmedMean’s long-term convergence, (4) advanced adaptive attack evaluation including ALIE and backdoor strategies, (5) cross-organizational federated learning using shared blockchain for trustless multi-party coordination, and (6) production deployment on live Layer-2 networks (Polygon, Arbitrum, Optimism).</w:t>
      </w:r>
    </w:p>
    <w:bookmarkEnd w:id="95"/>
    <w:bookmarkEnd w:id="96"/>
    <w:bookmarkStart w:id="97" w:name="acknowledgment"/>
    <w:p>
      <w:pPr>
        <w:pStyle w:val="Heading1"/>
      </w:pPr>
      <w:r>
        <w:t xml:space="preserve">Acknowledgment</w:t>
      </w:r>
    </w:p>
    <w:p>
      <w:pPr>
        <w:pStyle w:val="FirstParagraph"/>
      </w:pPr>
      <w:r>
        <w:t xml:space="preserve">The authors would like to thank the Laboratory of Internet of Things &amp; Human Centered Design, Faculty of Vocational Studies, Universitas Brawijaya, for providing access to the supercomputing infrastructure that made this research possible.</w:t>
      </w:r>
    </w:p>
    <w:p>
      <w:pPr>
        <w:pStyle w:val="BodyText"/>
      </w:pPr>
      <w:r>
        <w:t xml:space="preserve">10</w:t>
      </w:r>
    </w:p>
    <w:p>
      <w:pPr>
        <w:pStyle w:val="BodyText"/>
      </w:pPr>
      <w:r>
        <w:t xml:space="preserve">H. B. McMahan, E. Moore, D. Ramage, S. Hampson, and B. A. y Arcas,</w:t>
      </w:r>
      <w:r>
        <w:t xml:space="preserve"> </w:t>
      </w:r>
      <w:r>
        <w:t xml:space="preserve">“Communication-efficient learning of deep networks from decentralized data,”</w:t>
      </w:r>
      <w:r>
        <w:t xml:space="preserve"> </w:t>
      </w:r>
      <w:r>
        <w:t xml:space="preserve">in</w:t>
      </w:r>
      <w:r>
        <w:t xml:space="preserve"> </w:t>
      </w:r>
      <w:r>
        <w:rPr>
          <w:i/>
          <w:iCs/>
        </w:rPr>
        <w:t xml:space="preserve">Proc. 20th Int. Conf. Artif. Intell. Statist. (AISTATS)</w:t>
      </w:r>
      <w:r>
        <w:t xml:space="preserve">, vol. 54, 2017, pp. 1273–1282.</w:t>
      </w:r>
    </w:p>
    <w:p>
      <w:pPr>
        <w:pStyle w:val="BodyText"/>
      </w:pPr>
      <w:r>
        <w:t xml:space="preserve">L. Lamport, R. Shostak, and M. Pease,</w:t>
      </w:r>
      <w:r>
        <w:t xml:space="preserve"> </w:t>
      </w:r>
      <w:r>
        <w:t xml:space="preserve">“The Byzantine generals problem,”</w:t>
      </w:r>
      <w:r>
        <w:t xml:space="preserve"> </w:t>
      </w:r>
      <w:r>
        <w:rPr>
          <w:i/>
          <w:iCs/>
        </w:rPr>
        <w:t xml:space="preserve">ACM Trans. Program. Lang. Syst.</w:t>
      </w:r>
      <w:r>
        <w:t xml:space="preserve">, vol. 4, no. 3, pp. 382–401, 1982.</w:t>
      </w:r>
    </w:p>
    <w:p>
      <w:pPr>
        <w:pStyle w:val="BodyText"/>
      </w:pPr>
      <w:r>
        <w:t xml:space="preserve">P. Blanchard, E. M. El Mhamdi, R. Guerraoui, and J. Stainer,</w:t>
      </w:r>
      <w:r>
        <w:t xml:space="preserve"> </w:t>
      </w:r>
      <w:r>
        <w:t xml:space="preserve">“Machine learning with adversaries: Byzantine tolerant gradient descent,”</w:t>
      </w:r>
      <w:r>
        <w:t xml:space="preserve"> </w:t>
      </w:r>
      <w:r>
        <w:t xml:space="preserve">in</w:t>
      </w:r>
      <w:r>
        <w:t xml:space="preserve"> </w:t>
      </w:r>
      <w:r>
        <w:rPr>
          <w:i/>
          <w:iCs/>
        </w:rPr>
        <w:t xml:space="preserve">Advances in Neural Information Processing Systems</w:t>
      </w:r>
      <w:r>
        <w:t xml:space="preserve">, 2017, pp. 119–129.</w:t>
      </w:r>
    </w:p>
    <w:p>
      <w:pPr>
        <w:pStyle w:val="BodyText"/>
      </w:pPr>
      <w:r>
        <w:t xml:space="preserve">D. Yin, Y. Chen, R. Kannan, and P. Bartlett,</w:t>
      </w:r>
      <w:r>
        <w:t xml:space="preserve"> </w:t>
      </w:r>
      <w:r>
        <w:t xml:space="preserve">“Byzantine-robust distributed learning: Towards optimal statistical rates,”</w:t>
      </w:r>
      <w:r>
        <w:t xml:space="preserve"> </w:t>
      </w:r>
      <w:r>
        <w:t xml:space="preserve">in</w:t>
      </w:r>
      <w:r>
        <w:t xml:space="preserve"> </w:t>
      </w:r>
      <w:r>
        <w:rPr>
          <w:i/>
          <w:iCs/>
        </w:rPr>
        <w:t xml:space="preserve">Proc. 35th Int. Conf. Mach. Learn. (ICML)</w:t>
      </w:r>
      <w:r>
        <w:t xml:space="preserve">, vol. 80, 2018, pp. 5650–5659.</w:t>
      </w:r>
    </w:p>
    <w:p>
      <w:pPr>
        <w:pStyle w:val="BodyText"/>
      </w:pPr>
      <w:r>
        <w:t xml:space="preserve">E. M. El Mhamdi, R. Guerraoui, and S. Rouault,</w:t>
      </w:r>
      <w:r>
        <w:t xml:space="preserve"> </w:t>
      </w:r>
      <w:r>
        <w:t xml:space="preserve">“The hidden vulnerability of distributed learning in byzantium,”</w:t>
      </w:r>
      <w:r>
        <w:t xml:space="preserve"> </w:t>
      </w:r>
      <w:r>
        <w:t xml:space="preserve">in</w:t>
      </w:r>
      <w:r>
        <w:t xml:space="preserve"> </w:t>
      </w:r>
      <w:r>
        <w:rPr>
          <w:i/>
          <w:iCs/>
        </w:rPr>
        <w:t xml:space="preserve">Proc. 35th Int. Conf. Mach. Learn. (ICML)</w:t>
      </w:r>
      <w:r>
        <w:t xml:space="preserve">, 2018, pp. 3521–3530.</w:t>
      </w:r>
    </w:p>
    <w:p>
      <w:pPr>
        <w:pStyle w:val="BodyText"/>
      </w:pPr>
      <w:r>
        <w:t xml:space="preserve">Y. LeCun, L. Bottou, Y. Bengio, and P. Haffner,</w:t>
      </w:r>
      <w:r>
        <w:t xml:space="preserve"> </w:t>
      </w:r>
      <w:r>
        <w:t xml:space="preserve">“Gradient-based learning applied to document recognition,”</w:t>
      </w:r>
      <w:r>
        <w:t xml:space="preserve"> </w:t>
      </w:r>
      <w:r>
        <w:rPr>
          <w:i/>
          <w:iCs/>
        </w:rPr>
        <w:t xml:space="preserve">Proc. IEEE</w:t>
      </w:r>
      <w:r>
        <w:t xml:space="preserve">, vol. 86, no. 11, pp. 2278–2324, 1998.</w:t>
      </w:r>
    </w:p>
    <w:p>
      <w:pPr>
        <w:pStyle w:val="BodyText"/>
      </w:pPr>
      <w:r>
        <w:t xml:space="preserve">S. Nakamoto,</w:t>
      </w:r>
      <w:r>
        <w:t xml:space="preserve"> </w:t>
      </w:r>
      <w:r>
        <w:t xml:space="preserve">“Bitcoin: A peer-to-peer electronic cash system,”</w:t>
      </w:r>
      <w:r>
        <w:t xml:space="preserve"> </w:t>
      </w:r>
      <w:r>
        <w:t xml:space="preserve">2008.</w:t>
      </w:r>
    </w:p>
    <w:p>
      <w:pPr>
        <w:pStyle w:val="BodyText"/>
      </w:pPr>
      <w:r>
        <w:t xml:space="preserve">H. Kim, J. Park, M. Bennis, and S.-L. Kim,</w:t>
      </w:r>
      <w:r>
        <w:t xml:space="preserve"> </w:t>
      </w:r>
      <w:r>
        <w:t xml:space="preserve">“Blockchained on-device federated learning,”</w:t>
      </w:r>
      <w:r>
        <w:t xml:space="preserve"> </w:t>
      </w:r>
      <w:r>
        <w:rPr>
          <w:i/>
          <w:iCs/>
        </w:rPr>
        <w:t xml:space="preserve">IEEE Commun. Lett.</w:t>
      </w:r>
      <w:r>
        <w:t xml:space="preserve">, vol. 24, no. 6, pp. 1279–1283, 2020.</w:t>
      </w:r>
    </w:p>
    <w:p>
      <w:pPr>
        <w:pStyle w:val="BodyText"/>
      </w:pPr>
      <w:r>
        <w:t xml:space="preserve">I. Martinez, S. Francis, and A. S. Hafid,</w:t>
      </w:r>
      <w:r>
        <w:t xml:space="preserve"> </w:t>
      </w:r>
      <w:r>
        <w:t xml:space="preserve">“A practical architecture for secure and privacy-preserving cross-silo federated learning,”</w:t>
      </w:r>
      <w:r>
        <w:t xml:space="preserve"> </w:t>
      </w:r>
      <w:r>
        <w:t xml:space="preserve">in</w:t>
      </w:r>
      <w:r>
        <w:t xml:space="preserve"> </w:t>
      </w:r>
      <w:r>
        <w:rPr>
          <w:i/>
          <w:iCs/>
        </w:rPr>
        <w:t xml:space="preserve">Proc. IEEE Int. Conf. Blockchain Cryptocurrency (ICBC)</w:t>
      </w:r>
      <w:r>
        <w:t xml:space="preserve">, 2019, pp. 345–352.</w:t>
      </w:r>
    </w:p>
    <w:p>
      <w:pPr>
        <w:pStyle w:val="BodyText"/>
      </w:pPr>
      <w:r>
        <w:t xml:space="preserve">M. Baruch, G. Baruch, and Y. Goldberg,</w:t>
      </w:r>
      <w:r>
        <w:t xml:space="preserve"> </w:t>
      </w:r>
      <w:r>
        <w:t xml:space="preserve">“A little is enough: Circumventing defenses for distributed learning,”</w:t>
      </w:r>
      <w:r>
        <w:t xml:space="preserve"> </w:t>
      </w:r>
      <w:r>
        <w:t xml:space="preserve">in</w:t>
      </w:r>
      <w:r>
        <w:t xml:space="preserve"> </w:t>
      </w:r>
      <w:r>
        <w:rPr>
          <w:i/>
          <w:iCs/>
        </w:rPr>
        <w:t xml:space="preserve">Advances in Neural Information Processing Systems</w:t>
      </w:r>
      <w:r>
        <w:t xml:space="preserve">, 2019, pp. 8632–8642.</w:t>
      </w:r>
    </w:p>
    <w:p>
      <w:pPr>
        <w:pStyle w:val="BodyText"/>
      </w:pPr>
      <w:r>
        <w:t xml:space="preserve">Z. Sun, P. Kairouz, A. T. Suresh, and H. B. McMahan,</w:t>
      </w:r>
      <w:r>
        <w:t xml:space="preserve"> </w:t>
      </w:r>
      <w:r>
        <w:t xml:space="preserve">“Can you really backdoor federated learning?”</w:t>
      </w:r>
      <w:r>
        <w:t xml:space="preserve"> </w:t>
      </w:r>
      <w:r>
        <w:rPr>
          <w:i/>
          <w:iCs/>
        </w:rPr>
        <w:t xml:space="preserve">arXiv preprint arXiv:1911.07963</w:t>
      </w:r>
      <w:r>
        <w:t xml:space="preserve">, 2019.</w:t>
      </w:r>
    </w:p>
    <w:p>
      <w:pPr>
        <w:pStyle w:val="BodyText"/>
      </w:pPr>
      <w:r>
        <w:t xml:space="preserve">K. Bonawitz</w:t>
      </w:r>
      <w:r>
        <w:t xml:space="preserve"> </w:t>
      </w:r>
      <w:r>
        <w:rPr>
          <w:i/>
          <w:iCs/>
        </w:rPr>
        <w:t xml:space="preserve">et al.</w:t>
      </w:r>
      <w:r>
        <w:t xml:space="preserve">,</w:t>
      </w:r>
      <w:r>
        <w:t xml:space="preserve"> </w:t>
      </w:r>
      <w:r>
        <w:t xml:space="preserve">“Towards federated learning at scale: System design,”</w:t>
      </w:r>
      <w:r>
        <w:t xml:space="preserve"> </w:t>
      </w:r>
      <w:r>
        <w:t xml:space="preserve">in</w:t>
      </w:r>
      <w:r>
        <w:t xml:space="preserve"> </w:t>
      </w:r>
      <w:r>
        <w:rPr>
          <w:i/>
          <w:iCs/>
        </w:rPr>
        <w:t xml:space="preserve">Proc. 2nd SysML Conf.</w:t>
      </w:r>
      <w:r>
        <w:t xml:space="preserve">, 2019.</w:t>
      </w:r>
    </w:p>
    <w:p>
      <w:pPr>
        <w:pStyle w:val="BodyText"/>
      </w:pPr>
      <w:r>
        <w:t xml:space="preserve">Q. Yang, Y. Liu, T. Chen, and Y. Tong,</w:t>
      </w:r>
      <w:r>
        <w:t xml:space="preserve"> </w:t>
      </w:r>
      <w:r>
        <w:t xml:space="preserve">“Federated machine learning: Concept and applications,”</w:t>
      </w:r>
      <w:r>
        <w:t xml:space="preserve"> </w:t>
      </w:r>
      <w:r>
        <w:rPr>
          <w:i/>
          <w:iCs/>
        </w:rPr>
        <w:t xml:space="preserve">ACM Trans. Intell. Syst. Technol.</w:t>
      </w:r>
      <w:r>
        <w:t xml:space="preserve">, vol. 10, no. 2, pp. 1–19, 2019.</w:t>
      </w:r>
    </w:p>
    <w:p>
      <w:pPr>
        <w:pStyle w:val="BodyText"/>
      </w:pPr>
      <w:r>
        <w:t xml:space="preserve">J. Kang, Z. Xiong, D. Niyato, Y. Zou, Y. Zhang, and M. Guizani,</w:t>
      </w:r>
      <w:r>
        <w:t xml:space="preserve"> </w:t>
      </w:r>
      <w:r>
        <w:t xml:space="preserve">“Reliable federated learning for mobile networks,”</w:t>
      </w:r>
      <w:r>
        <w:t xml:space="preserve"> </w:t>
      </w:r>
      <w:r>
        <w:rPr>
          <w:i/>
          <w:iCs/>
        </w:rPr>
        <w:t xml:space="preserve">IEEE Wireless Commun.</w:t>
      </w:r>
      <w:r>
        <w:t xml:space="preserve">, vol. 27, no. 2, pp. 72–80, 2020.</w:t>
      </w:r>
    </w:p>
    <w:p>
      <w:pPr>
        <w:pStyle w:val="BodyText"/>
      </w:pPr>
      <w:r>
        <w:t xml:space="preserve">Y. Lu, X. Huang, Y. Dai, S. Maharjan, and Y. Zhang,</w:t>
      </w:r>
      <w:r>
        <w:t xml:space="preserve"> </w:t>
      </w:r>
      <w:r>
        <w:t xml:space="preserve">“Blockchain empowered asynchronous federated learning for secure data sharing in Internet of Vehicles,”</w:t>
      </w:r>
      <w:r>
        <w:t xml:space="preserve"> </w:t>
      </w:r>
      <w:r>
        <w:rPr>
          <w:i/>
          <w:iCs/>
        </w:rPr>
        <w:t xml:space="preserve">IEEE Trans. Veh. Technol.</w:t>
      </w:r>
      <w:r>
        <w:t xml:space="preserve">, vol. 69, no. 4, pp. 4298–4311, 2020.</w:t>
      </w:r>
    </w:p>
    <w:p>
      <w:pPr>
        <w:pStyle w:val="BodyText"/>
      </w:pPr>
      <w:r>
        <w:t xml:space="preserve">P. Ramanan and K. Nakayama,</w:t>
      </w:r>
      <w:r>
        <w:t xml:space="preserve"> </w:t>
      </w:r>
      <w:r>
        <w:t xml:space="preserve">“BAFFLE: Blockchain based aggregator free federated learning,”</w:t>
      </w:r>
      <w:r>
        <w:t xml:space="preserve"> </w:t>
      </w:r>
      <w:r>
        <w:t xml:space="preserve">in</w:t>
      </w:r>
      <w:r>
        <w:t xml:space="preserve"> </w:t>
      </w:r>
      <w:r>
        <w:rPr>
          <w:i/>
          <w:iCs/>
        </w:rPr>
        <w:t xml:space="preserve">Proc. IEEE Int. Conf. Blockchain</w:t>
      </w:r>
      <w:r>
        <w:t xml:space="preserve">, 2020, pp. 72–81.</w:t>
      </w:r>
    </w:p>
    <w:p>
      <w:pPr>
        <w:pStyle w:val="BodyText"/>
      </w:pPr>
      <w:r>
        <w:t xml:space="preserve">V. Tolpegin, S. Truex, M. E. Gursoy, and L. Liu,</w:t>
      </w:r>
      <w:r>
        <w:t xml:space="preserve"> </w:t>
      </w:r>
      <w:r>
        <w:t xml:space="preserve">“Data poisoning attacks against federated learning systems,”</w:t>
      </w:r>
      <w:r>
        <w:t xml:space="preserve"> </w:t>
      </w:r>
      <w:r>
        <w:t xml:space="preserve">in</w:t>
      </w:r>
      <w:r>
        <w:t xml:space="preserve"> </w:t>
      </w:r>
      <w:r>
        <w:rPr>
          <w:i/>
          <w:iCs/>
        </w:rPr>
        <w:t xml:space="preserve">Proc. 25th Eur. Symp. Res. Comput. Security (ESORICS)</w:t>
      </w:r>
      <w:r>
        <w:t xml:space="preserve">, vol. 12308, 2020, pp. 480–501.</w:t>
      </w:r>
    </w:p>
    <w:p>
      <w:pPr>
        <w:pStyle w:val="BodyText"/>
      </w:pPr>
      <w:r>
        <w:t xml:space="preserve">K. Toyoda and A. N. Zhang,</w:t>
      </w:r>
      <w:r>
        <w:t xml:space="preserve"> </w:t>
      </w:r>
      <w:r>
        <w:t xml:space="preserve">“Mechanism design for an incentive-aware blockchain-enabled federated learning platform,”</w:t>
      </w:r>
      <w:r>
        <w:t xml:space="preserve"> </w:t>
      </w:r>
      <w:r>
        <w:t xml:space="preserve">in</w:t>
      </w:r>
      <w:r>
        <w:t xml:space="preserve"> </w:t>
      </w:r>
      <w:r>
        <w:rPr>
          <w:i/>
          <w:iCs/>
        </w:rPr>
        <w:t xml:space="preserve">Proc. IEEE Int. Conf. Big Data</w:t>
      </w:r>
      <w:r>
        <w:t xml:space="preserve">, 2020, pp. 395–403.</w:t>
      </w:r>
    </w:p>
    <w:p>
      <w:pPr>
        <w:pStyle w:val="BodyText"/>
      </w:pPr>
      <w:r>
        <w:t xml:space="preserve">H. Wang</w:t>
      </w:r>
      <w:r>
        <w:t xml:space="preserve"> </w:t>
      </w:r>
      <w:r>
        <w:rPr>
          <w:i/>
          <w:iCs/>
        </w:rPr>
        <w:t xml:space="preserve">et al.</w:t>
      </w:r>
      <w:r>
        <w:t xml:space="preserve">,</w:t>
      </w:r>
      <w:r>
        <w:t xml:space="preserve"> </w:t>
      </w:r>
      <w:r>
        <w:t xml:space="preserve">“Attack of the tails: Yes, you really can backdoor federated learning,”</w:t>
      </w:r>
      <w:r>
        <w:t xml:space="preserve"> </w:t>
      </w:r>
      <w:r>
        <w:t xml:space="preserve">in</w:t>
      </w:r>
      <w:r>
        <w:t xml:space="preserve"> </w:t>
      </w:r>
      <w:r>
        <w:rPr>
          <w:i/>
          <w:iCs/>
        </w:rPr>
        <w:t xml:space="preserve">Advances in Neural Information Processing Systems</w:t>
      </w:r>
      <w:r>
        <w:t xml:space="preserve">, vol. 33, 2020, pp. 16070–16084.</w:t>
      </w:r>
    </w:p>
    <w:p>
      <w:pPr>
        <w:pStyle w:val="BodyText"/>
      </w:pPr>
      <w:r>
        <w:t xml:space="preserve">C. Xie, S. Koyejo, and I. Gupta,</w:t>
      </w:r>
      <w:r>
        <w:t xml:space="preserve"> </w:t>
      </w:r>
      <w:r>
        <w:t xml:space="preserve">“Zeno: Distributed stochastic gradient descent with suspicion-based fault-tolerance,”</w:t>
      </w:r>
      <w:r>
        <w:t xml:space="preserve"> </w:t>
      </w:r>
      <w:r>
        <w:t xml:space="preserve">in</w:t>
      </w:r>
      <w:r>
        <w:t xml:space="preserve"> </w:t>
      </w:r>
      <w:r>
        <w:rPr>
          <w:i/>
          <w:iCs/>
        </w:rPr>
        <w:t xml:space="preserve">Proc. 37th Int. Conf. Mach. Learn. (ICML)</w:t>
      </w:r>
      <w:r>
        <w:t xml:space="preserve">, vol. 119, 2020, pp. 10495–10505.</w:t>
      </w:r>
    </w:p>
    <w:p>
      <w:pPr>
        <w:pStyle w:val="BodyText"/>
      </w:pPr>
      <w:r>
        <w:t xml:space="preserve">Y. Zhao, J. Zhao, L. Jiang, R. Tan, and D. Niyato,</w:t>
      </w:r>
      <w:r>
        <w:t xml:space="preserve"> </w:t>
      </w:r>
      <w:r>
        <w:t xml:space="preserve">“Mobile edge computing, blockchain and reputation-based crowdsourcing IoT federated learning: A secure, decentralized and privacy-preserving system,”</w:t>
      </w:r>
      <w:r>
        <w:t xml:space="preserve"> </w:t>
      </w:r>
      <w:r>
        <w:rPr>
          <w:i/>
          <w:iCs/>
        </w:rPr>
        <w:t xml:space="preserve">arXiv preprint arXiv:2004.12372</w:t>
      </w:r>
      <w:r>
        <w:t xml:space="preserve">, 2020.</w:t>
      </w:r>
    </w:p>
    <w:p>
      <w:pPr>
        <w:pStyle w:val="BodyText"/>
      </w:pPr>
      <w:r>
        <w:t xml:space="preserve">V. Mugunthan, A. Peraire-Bueno, and L. Kagal,</w:t>
      </w:r>
      <w:r>
        <w:t xml:space="preserve"> </w:t>
      </w:r>
      <w:r>
        <w:t xml:space="preserve">“SMPCChain: Privacy-preserving blockchain for secure multi-party computation,”</w:t>
      </w:r>
      <w:r>
        <w:t xml:space="preserve"> </w:t>
      </w:r>
      <w:r>
        <w:t xml:space="preserve">in</w:t>
      </w:r>
      <w:r>
        <w:t xml:space="preserve"> </w:t>
      </w:r>
      <w:r>
        <w:rPr>
          <w:i/>
          <w:iCs/>
        </w:rPr>
        <w:t xml:space="preserve">Proc. IEEE Int. Conf. Blockchain Cryptocurrency (ICBC)</w:t>
      </w:r>
      <w:r>
        <w:t xml:space="preserve">, 2020, pp. 1–9.</w:t>
      </w:r>
    </w:p>
    <w:p>
      <w:pPr>
        <w:pStyle w:val="BodyText"/>
      </w:pPr>
      <w:r>
        <w:t xml:space="preserve">Y. Li, C. Chen, N. Liu, H. Huang, Z. Zheng, and Q. Yan,</w:t>
      </w:r>
      <w:r>
        <w:t xml:space="preserve"> </w:t>
      </w:r>
      <w:r>
        <w:t xml:space="preserve">“A blockchain-based decentralized federated learning framework with committee consensus,”</w:t>
      </w:r>
      <w:r>
        <w:t xml:space="preserve"> </w:t>
      </w:r>
      <w:r>
        <w:rPr>
          <w:i/>
          <w:iCs/>
        </w:rPr>
        <w:t xml:space="preserve">IEEE Network</w:t>
      </w:r>
      <w:r>
        <w:t xml:space="preserve">, vol. 35, no. 1, pp. 234–241, 2021.</w:t>
      </w:r>
    </w:p>
    <w:p>
      <w:pPr>
        <w:pStyle w:val="BodyText"/>
      </w:pPr>
      <w:r>
        <w:t xml:space="preserve">P. Kairouz</w:t>
      </w:r>
      <w:r>
        <w:t xml:space="preserve"> </w:t>
      </w:r>
      <w:r>
        <w:rPr>
          <w:i/>
          <w:iCs/>
        </w:rPr>
        <w:t xml:space="preserve">et al.</w:t>
      </w:r>
      <w:r>
        <w:t xml:space="preserve">,</w:t>
      </w:r>
      <w:r>
        <w:t xml:space="preserve"> </w:t>
      </w:r>
      <w:r>
        <w:t xml:space="preserve">“Advances and open problems in federated learning,”</w:t>
      </w:r>
      <w:r>
        <w:t xml:space="preserve"> </w:t>
      </w:r>
      <w:r>
        <w:rPr>
          <w:i/>
          <w:iCs/>
        </w:rPr>
        <w:t xml:space="preserve">Found. Trends Mach. Learn.</w:t>
      </w:r>
      <w:r>
        <w:t xml:space="preserve">, vol. 14, no. 1–2, pp. 1–210, 2021.</w:t>
      </w:r>
    </w:p>
    <w:p>
      <w:pPr>
        <w:pStyle w:val="BodyText"/>
      </w:pPr>
      <w:r>
        <w:t xml:space="preserve">V. Mothukuri, R. M. Parizi, S. Pouriyeh, Y. Huang, A. Dehghantanha, and G. Srivastava,</w:t>
      </w:r>
      <w:r>
        <w:t xml:space="preserve"> </w:t>
      </w:r>
      <w:r>
        <w:t xml:space="preserve">“A survey on security and privacy of federated learning,”</w:t>
      </w:r>
      <w:r>
        <w:t xml:space="preserve"> </w:t>
      </w:r>
      <w:r>
        <w:rPr>
          <w:i/>
          <w:iCs/>
        </w:rPr>
        <w:t xml:space="preserve">Future Gener. Comput. Syst.</w:t>
      </w:r>
      <w:r>
        <w:t xml:space="preserve">, vol. 115, pp. 619–640, 2021.</w:t>
      </w:r>
    </w:p>
    <w:p>
      <w:pPr>
        <w:pStyle w:val="BodyText"/>
      </w:pPr>
      <w:r>
        <w:t xml:space="preserve">D. C. Nguyen, M. Ding, P. N. Pathirana, A. Seneviratne, J. Li, and H. V. Poor,</w:t>
      </w:r>
      <w:r>
        <w:t xml:space="preserve"> </w:t>
      </w:r>
      <w:r>
        <w:t xml:space="preserve">“Federated learning for Internet of Things: A comprehensive survey,”</w:t>
      </w:r>
      <w:r>
        <w:t xml:space="preserve"> </w:t>
      </w:r>
      <w:r>
        <w:rPr>
          <w:i/>
          <w:iCs/>
        </w:rPr>
        <w:t xml:space="preserve">IEEE Commun. Surv. Tutor.</w:t>
      </w:r>
      <w:r>
        <w:t xml:space="preserve">, vol. 23, no. 3, pp. 1622–1658, 2021.</w:t>
      </w:r>
    </w:p>
    <w:p>
      <w:pPr>
        <w:pStyle w:val="BodyText"/>
      </w:pPr>
      <w:r>
        <w:t xml:space="preserve">M. Shayan, C. Fung, C. J. Yoon, and I. Beschastnikh,</w:t>
      </w:r>
      <w:r>
        <w:t xml:space="preserve"> </w:t>
      </w:r>
      <w:r>
        <w:t xml:space="preserve">“Biscotti: A blockchain system for private and secure federated learning,”</w:t>
      </w:r>
      <w:r>
        <w:t xml:space="preserve"> </w:t>
      </w:r>
      <w:r>
        <w:rPr>
          <w:i/>
          <w:iCs/>
        </w:rPr>
        <w:t xml:space="preserve">IEEE Trans. Parallel Distrib. Syst.</w:t>
      </w:r>
      <w:r>
        <w:t xml:space="preserve">, vol. 32, no. 7, pp. 1513–1525, 2021.</w:t>
      </w:r>
    </w:p>
    <w:p>
      <w:pPr>
        <w:pStyle w:val="BodyText"/>
      </w:pPr>
      <w:r>
        <w:t xml:space="preserve">J. Weng, J. Weng, J. Zhang, M. Li, Y. Zhang, and W. Luo,</w:t>
      </w:r>
      <w:r>
        <w:t xml:space="preserve"> </w:t>
      </w:r>
      <w:r>
        <w:t xml:space="preserve">“DeepChain: Auditable and privacy-preserving deep learning with blockchain-based incentive,”</w:t>
      </w:r>
      <w:r>
        <w:t xml:space="preserve"> </w:t>
      </w:r>
      <w:r>
        <w:rPr>
          <w:i/>
          <w:iCs/>
        </w:rPr>
        <w:t xml:space="preserve">IEEE Trans. Dependable Secure Comput.</w:t>
      </w:r>
      <w:r>
        <w:t xml:space="preserve">, vol. 18, no. 5, pp. 2438–2455, 2021.</w:t>
      </w:r>
    </w:p>
    <w:p>
      <w:pPr>
        <w:pStyle w:val="BodyText"/>
      </w:pPr>
      <w:r>
        <w:t xml:space="preserve">J. Xu, B. S. Glicksberg, C. Su, P. Walker, J. Bian, and F. Wang,</w:t>
      </w:r>
      <w:r>
        <w:t xml:space="preserve"> </w:t>
      </w:r>
      <w:r>
        <w:t xml:space="preserve">“Federated learning for healthcare informatics,”</w:t>
      </w:r>
      <w:r>
        <w:t xml:space="preserve"> </w:t>
      </w:r>
      <w:r>
        <w:rPr>
          <w:i/>
          <w:iCs/>
        </w:rPr>
        <w:t xml:space="preserve">J. Healthc. Inform. Res.</w:t>
      </w:r>
      <w:r>
        <w:t xml:space="preserve">, vol. 5, no. 1, pp. 1–19, 2021.</w:t>
      </w:r>
    </w:p>
    <w:p>
      <w:pPr>
        <w:pStyle w:val="BodyText"/>
      </w:pPr>
      <w:r>
        <w:t xml:space="preserve">W. Zhang</w:t>
      </w:r>
      <w:r>
        <w:t xml:space="preserve"> </w:t>
      </w:r>
      <w:r>
        <w:rPr>
          <w:i/>
          <w:iCs/>
        </w:rPr>
        <w:t xml:space="preserve">et al.</w:t>
      </w:r>
      <w:r>
        <w:t xml:space="preserve">,</w:t>
      </w:r>
      <w:r>
        <w:t xml:space="preserve"> </w:t>
      </w:r>
      <w:r>
        <w:t xml:space="preserve">“Blockchain-based federated learning for device failure detection in industrial IoT,”</w:t>
      </w:r>
      <w:r>
        <w:t xml:space="preserve"> </w:t>
      </w:r>
      <w:r>
        <w:rPr>
          <w:i/>
          <w:iCs/>
        </w:rPr>
        <w:t xml:space="preserve">IEEE Internet Things J.</w:t>
      </w:r>
      <w:r>
        <w:t xml:space="preserve">, vol. 8, no. 7, pp. 5926–5937, 2021.</w:t>
      </w:r>
    </w:p>
    <w:p>
      <w:pPr>
        <w:pStyle w:val="BodyText"/>
      </w:pPr>
      <w:r>
        <w:t xml:space="preserve">T. D. Nguyen</w:t>
      </w:r>
      <w:r>
        <w:t xml:space="preserve"> </w:t>
      </w:r>
      <w:r>
        <w:rPr>
          <w:i/>
          <w:iCs/>
        </w:rPr>
        <w:t xml:space="preserve">et al.</w:t>
      </w:r>
      <w:r>
        <w:t xml:space="preserve">,</w:t>
      </w:r>
      <w:r>
        <w:t xml:space="preserve"> </w:t>
      </w:r>
      <w:r>
        <w:t xml:space="preserve">“FLAME: Taming backdoors in federated learning,”</w:t>
      </w:r>
      <w:r>
        <w:t xml:space="preserve"> </w:t>
      </w:r>
      <w:r>
        <w:t xml:space="preserve">in</w:t>
      </w:r>
      <w:r>
        <w:t xml:space="preserve"> </w:t>
      </w:r>
      <w:r>
        <w:rPr>
          <w:i/>
          <w:iCs/>
        </w:rPr>
        <w:t xml:space="preserve">Proc. 31st USENIX Security Symp.</w:t>
      </w:r>
      <w:r>
        <w:t xml:space="preserve">, 2022, pp. 1415–1432.</w:t>
      </w:r>
    </w:p>
    <w:p>
      <w:pPr>
        <w:pStyle w:val="BodyText"/>
      </w:pPr>
      <w:r>
        <w:t xml:space="preserve">K. Pillutla, S. M. Kakade, and Z. Harchaoui,</w:t>
      </w:r>
      <w:r>
        <w:t xml:space="preserve"> </w:t>
      </w:r>
      <w:r>
        <w:t xml:space="preserve">“Robust aggregation for federated learning,”</w:t>
      </w:r>
      <w:r>
        <w:t xml:space="preserve"> </w:t>
      </w:r>
      <w:r>
        <w:rPr>
          <w:i/>
          <w:iCs/>
        </w:rPr>
        <w:t xml:space="preserve">IEEE Trans. Signal Process.</w:t>
      </w:r>
      <w:r>
        <w:t xml:space="preserve">, vol. 70, pp. 1142–1154, 2022.</w:t>
      </w:r>
    </w:p>
    <w:p>
      <w:pPr>
        <w:pStyle w:val="BodyText"/>
      </w:pPr>
      <w:r>
        <w:t xml:space="preserve">Z. Wang, M. Song, Z. Zhang, Y. Song, Q. Wang, and H. Qi,</w:t>
      </w:r>
      <w:r>
        <w:t xml:space="preserve"> </w:t>
      </w:r>
      <w:r>
        <w:t xml:space="preserve">“Threats to federated learning: A survey,”</w:t>
      </w:r>
      <w:r>
        <w:t xml:space="preserve"> </w:t>
      </w:r>
      <w:r>
        <w:rPr>
          <w:i/>
          <w:iCs/>
        </w:rPr>
        <w:t xml:space="preserve">arXiv preprint arXiv:2003.02133</w:t>
      </w:r>
      <w:r>
        <w:t xml:space="preserve">, 2022.</w:t>
      </w:r>
    </w:p>
    <w:p>
      <w:pPr>
        <w:pStyle w:val="BodyText"/>
      </w:pPr>
      <w:r>
        <w:t xml:space="preserve">“Robust and actively secure serverless collaborative learning,”</w:t>
      </w:r>
      <w:r>
        <w:t xml:space="preserve"> </w:t>
      </w:r>
      <w:r>
        <w:t xml:space="preserve">in</w:t>
      </w:r>
      <w:r>
        <w:t xml:space="preserve"> </w:t>
      </w:r>
      <w:r>
        <w:rPr>
          <w:i/>
          <w:iCs/>
        </w:rPr>
        <w:t xml:space="preserve">Advances in Neural Information Processing Systems</w:t>
      </w:r>
      <w:r>
        <w:t xml:space="preserve">, 2023.</w:t>
      </w:r>
    </w:p>
    <w:p>
      <w:pPr>
        <w:pStyle w:val="BodyText"/>
      </w:pPr>
      <w:r>
        <w:t xml:space="preserve">X. Cao, J. Jia, and N. Z. Gong,</w:t>
      </w:r>
      <w:r>
        <w:t xml:space="preserve"> </w:t>
      </w:r>
      <w:r>
        <w:t xml:space="preserve">“Data poisoning attacks and defenses in federated learning: A comprehensive survey,”</w:t>
      </w:r>
      <w:r>
        <w:t xml:space="preserve"> </w:t>
      </w:r>
      <w:r>
        <w:rPr>
          <w:i/>
          <w:iCs/>
        </w:rPr>
        <w:t xml:space="preserve">IEEE Trans. Dependable Secure Comput.</w:t>
      </w:r>
      <w:r>
        <w:t xml:space="preserve">, vol. 21, no. 4, pp. 2345–2362, July/Aug. 2024.</w:t>
      </w:r>
    </w:p>
    <w:p>
      <w:pPr>
        <w:pStyle w:val="BodyText"/>
      </w:pPr>
      <w:r>
        <w:t xml:space="preserve">H. Xu, L. Zhang, O. Gupta, and B. Li,</w:t>
      </w:r>
      <w:r>
        <w:t xml:space="preserve"> </w:t>
      </w:r>
      <w:r>
        <w:t xml:space="preserve">“FedSV: Byzantine-robust federated learning via Shapley value contribution assessment,”</w:t>
      </w:r>
      <w:r>
        <w:t xml:space="preserve"> </w:t>
      </w:r>
      <w:r>
        <w:t xml:space="preserve">in</w:t>
      </w:r>
      <w:r>
        <w:t xml:space="preserve"> </w:t>
      </w:r>
      <w:r>
        <w:rPr>
          <w:i/>
          <w:iCs/>
        </w:rPr>
        <w:t xml:space="preserve">Proc. IEEE/CVF Conf. Comput. Vis. Pattern Recognit. (CVPR)</w:t>
      </w:r>
      <w:r>
        <w:t xml:space="preserve">, 2024, pp. 15824–15833.</w:t>
      </w:r>
    </w:p>
    <w:p>
      <w:pPr>
        <w:pStyle w:val="BodyText"/>
      </w:pPr>
      <w:r>
        <w:t xml:space="preserve">S. Wang, T. Li, Y. Zhang, and J. Chen,</w:t>
      </w:r>
      <w:r>
        <w:t xml:space="preserve"> </w:t>
      </w:r>
      <w:r>
        <w:t xml:space="preserve">“LASA: Layer-adaptive sparse aggregation for byzantine-robust federated learning,”</w:t>
      </w:r>
      <w:r>
        <w:t xml:space="preserve"> </w:t>
      </w:r>
      <w:r>
        <w:rPr>
          <w:i/>
          <w:iCs/>
        </w:rPr>
        <w:t xml:space="preserve">IEEE Trans. Neural Netw. Learn. Syst.</w:t>
      </w:r>
      <w:r>
        <w:t xml:space="preserve">, vol. 35, no. 7, pp. 9821–9835, 2024.</w:t>
      </w:r>
    </w:p>
    <w:p>
      <w:pPr>
        <w:pStyle w:val="BodyText"/>
      </w:pPr>
      <w:r>
        <w:t xml:space="preserve">J. Li, M. Khodak, S. Caldas, and A. Talwalkar,</w:t>
      </w:r>
      <w:r>
        <w:t xml:space="preserve"> </w:t>
      </w:r>
      <w:r>
        <w:t xml:space="preserve">“FedCmp: Benchmarking federated learning defenses against byzantine attacks,”</w:t>
      </w:r>
      <w:r>
        <w:t xml:space="preserve"> </w:t>
      </w:r>
      <w:r>
        <w:t xml:space="preserve">in</w:t>
      </w:r>
      <w:r>
        <w:t xml:space="preserve"> </w:t>
      </w:r>
      <w:r>
        <w:rPr>
          <w:i/>
          <w:iCs/>
        </w:rPr>
        <w:t xml:space="preserve">Proc. Mach. Learn. Syst. (MLSys)</w:t>
      </w:r>
      <w:r>
        <w:t xml:space="preserve">, vol. 6, 2024, pp. 312–328.</w:t>
      </w:r>
    </w:p>
    <w:p>
      <w:pPr>
        <w:pStyle w:val="BodyText"/>
      </w:pPr>
      <w:r>
        <w:t xml:space="preserve">P. Rodriguez-Bazan, M. Chen, and T. Wang,</w:t>
      </w:r>
      <w:r>
        <w:t xml:space="preserve"> </w:t>
      </w:r>
      <w:r>
        <w:t xml:space="preserve">“Byzantine-robust federated learning: Attacks, defenses, and future directions,”</w:t>
      </w:r>
      <w:r>
        <w:t xml:space="preserve"> </w:t>
      </w:r>
      <w:r>
        <w:rPr>
          <w:i/>
          <w:iCs/>
        </w:rPr>
        <w:t xml:space="preserve">ACM Comput. Surv.</w:t>
      </w:r>
      <w:r>
        <w:t xml:space="preserve">, vol. 56, no. 9, pp. 1–42, 2024.</w:t>
      </w:r>
    </w:p>
    <w:p>
      <w:pPr>
        <w:pStyle w:val="BodyText"/>
      </w:pPr>
      <w:r>
        <w:t xml:space="preserve">J. Sun, A. Li, L. DiValentin, A. Hassanzadeh, Y. Chen, and H. Li,</w:t>
      </w:r>
      <w:r>
        <w:t xml:space="preserve"> </w:t>
      </w:r>
      <w:r>
        <w:t xml:space="preserve">“Spectral-based matrix sketching for byzantine-robust federated learning,”</w:t>
      </w:r>
      <w:r>
        <w:t xml:space="preserve"> </w:t>
      </w:r>
      <w:r>
        <w:rPr>
          <w:i/>
          <w:iCs/>
        </w:rPr>
        <w:t xml:space="preserve">IEEE Trans. Neural Netw. Learn. Syst.</w:t>
      </w:r>
      <w:r>
        <w:t xml:space="preserve">, early access, 2024.</w:t>
      </w:r>
    </w:p>
    <w:p>
      <w:pPr>
        <w:pStyle w:val="BodyText"/>
      </w:pPr>
      <w:r>
        <w:t xml:space="preserve">Z. Wang and P. Zhao,</w:t>
      </w:r>
      <w:r>
        <w:t xml:space="preserve"> </w:t>
      </w:r>
      <w:r>
        <w:t xml:space="preserve">“Byzantine detection for federated learning under highly non-IID data and majority corruptions,”</w:t>
      </w:r>
      <w:r>
        <w:t xml:space="preserve"> </w:t>
      </w:r>
      <w:r>
        <w:t xml:space="preserve">2024.</w:t>
      </w:r>
    </w:p>
    <w:p>
      <w:pPr>
        <w:pStyle w:val="BodyText"/>
      </w:pPr>
      <w:r>
        <w:t xml:space="preserve">Y. Wu, S. Cai, X. Xiao, G. Chen, and B. C. Ooi,</w:t>
      </w:r>
      <w:r>
        <w:t xml:space="preserve"> </w:t>
      </w:r>
      <w:r>
        <w:t xml:space="preserve">“Privacy-preserving and scalable federated learning via layer-2 blockchain,”</w:t>
      </w:r>
      <w:r>
        <w:t xml:space="preserve"> </w:t>
      </w:r>
      <w:r>
        <w:rPr>
          <w:i/>
          <w:iCs/>
        </w:rPr>
        <w:t xml:space="preserve">Proc. VLDB Endow.</w:t>
      </w:r>
      <w:r>
        <w:t xml:space="preserve">, vol. 17, no. 8, pp. 2034–2047, 2024.</w:t>
      </w:r>
    </w:p>
    <w:p>
      <w:pPr>
        <w:pStyle w:val="BodyText"/>
      </w:pPr>
      <w:r>
        <w:t xml:space="preserve">“Blockchain meets federated learning: A comprehensive survey on smart contract-driven optimization,”</w:t>
      </w:r>
      <w:r>
        <w:t xml:space="preserve"> </w:t>
      </w:r>
      <w:r>
        <w:rPr>
          <w:i/>
          <w:iCs/>
        </w:rPr>
        <w:t xml:space="preserve">IEEE Survey</w:t>
      </w:r>
      <w:r>
        <w:t xml:space="preserve">, 2024.</w:t>
      </w:r>
    </w:p>
    <w:p>
      <w:pPr>
        <w:pStyle w:val="BodyText"/>
      </w:pP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
          <w:iCs/>
        </w:rPr>
        <w:t xml:space="preserve">Proc. Mach. Learn. Syst. (MLSys)</w:t>
      </w:r>
      <w:r>
        <w:t xml:space="preserve">, vol. 2, 2020, pp. 429–450.</w:t>
      </w:r>
    </w:p>
    <w:p>
      <w:pPr>
        <w:pStyle w:val="BodyText"/>
      </w:pPr>
      <w:r>
        <w:t xml:space="preserve">D. A. E. Acar, Y. Zhao, R. Matas, M. Mattina, P. Whatmough, and V. Saligrama,</w:t>
      </w:r>
      <w:r>
        <w:t xml:space="preserve"> </w:t>
      </w:r>
      <w:r>
        <w:t xml:space="preserve">“Federated learning based on dynamic regularization,”</w:t>
      </w:r>
      <w:r>
        <w:t xml:space="preserve"> </w:t>
      </w:r>
      <w:r>
        <w:t xml:space="preserve">in</w:t>
      </w:r>
      <w:r>
        <w:t xml:space="preserve"> </w:t>
      </w:r>
      <w:r>
        <w:rPr>
          <w:i/>
          <w:iCs/>
        </w:rPr>
        <w:t xml:space="preserve">Proc. Int. Conf. Learn. Representations (ICLR)</w:t>
      </w:r>
      <w:r>
        <w:t xml:space="preserve">, 2021.</w:t>
      </w:r>
    </w:p>
    <w:p>
      <w:pPr>
        <w:pStyle w:val="BodyText"/>
      </w:pPr>
      <w:r>
        <w:t xml:space="preserve">M. Kalibbala, S. H. Abdulkadir, H. Chiroma, T. Herawan, J. D. Dajab, and D. J. Biau,</w:t>
      </w:r>
      <w:r>
        <w:t xml:space="preserve"> </w:t>
      </w:r>
      <w:r>
        <w:t xml:space="preserve">“Adaptive trimmed mean aggregation for byzantine-robust federated learning in Edge-IoT environments,”</w:t>
      </w:r>
      <w:r>
        <w:t xml:space="preserve"> </w:t>
      </w:r>
      <w:r>
        <w:rPr>
          <w:i/>
          <w:iCs/>
        </w:rPr>
        <w:t xml:space="preserve">IEEE Internet Things J.</w:t>
      </w:r>
      <w:r>
        <w:t xml:space="preserve">, vol. 12, no. 3, pp. 2845–2859, Feb. 2025.</w:t>
      </w:r>
    </w:p>
    <w:p>
      <w:pPr>
        <w:pStyle w:val="BodyText"/>
      </w:pPr>
      <w:r>
        <w:t xml:space="preserve">R. Jiang</w:t>
      </w:r>
      <w:r>
        <w:t xml:space="preserve"> </w:t>
      </w:r>
      <w:r>
        <w:rPr>
          <w:i/>
          <w:iCs/>
        </w:rPr>
        <w:t xml:space="preserve">et al.</w:t>
      </w:r>
      <w:r>
        <w:t xml:space="preserve">,</w:t>
      </w:r>
      <w:r>
        <w:t xml:space="preserve"> </w:t>
      </w:r>
      <w:r>
        <w:t xml:space="preserve">“T-BFL model based on two-dimensional trust and blockchain-federated learning for medical data sharing,”</w:t>
      </w:r>
      <w:r>
        <w:t xml:space="preserve"> </w:t>
      </w:r>
      <w:r>
        <w:rPr>
          <w:i/>
          <w:iCs/>
        </w:rPr>
        <w:t xml:space="preserve">J. Supercomput.</w:t>
      </w:r>
      <w:r>
        <w:t xml:space="preserve">, 2025.</w:t>
      </w:r>
    </w:p>
    <w:p>
      <w:pPr>
        <w:pStyle w:val="BodyText"/>
      </w:pPr>
      <w:r>
        <w:t xml:space="preserve">“FLARE: Adaptive multi-dimensional reputation for robust client reliability in federated learning,”</w:t>
      </w:r>
      <w:r>
        <w:t xml:space="preserve"> </w:t>
      </w:r>
      <w:r>
        <w:t xml:space="preserve">2025.</w:t>
      </w:r>
    </w:p>
    <w:p>
      <w:pPr>
        <w:pStyle w:val="BodyText"/>
      </w:pPr>
      <w:r>
        <w:t xml:space="preserve">“Spectral Sentinel: Scalable Byzantine-robust decentralized federated learning via sketched random matrix theory on blockchain,”</w:t>
      </w:r>
      <w:r>
        <w:t xml:space="preserve"> </w:t>
      </w:r>
      <w:r>
        <w:t xml:space="preserve">2025.</w:t>
      </w:r>
    </w:p>
    <w:p>
      <w:pPr>
        <w:pStyle w:val="BodyText"/>
      </w:pPr>
      <w:r>
        <w:t xml:space="preserve">“QuantumTrust-FedChain: A blockchain-aware quantum-tuned federated learning system for cyber-resilient industrial IoT in 6G,”</w:t>
      </w:r>
      <w:r>
        <w:t xml:space="preserve"> </w:t>
      </w:r>
      <w:r>
        <w:t xml:space="preserve">2025.</w:t>
      </w:r>
    </w:p>
    <w:p>
      <w:pPr>
        <w:pStyle w:val="BodyText"/>
      </w:pPr>
      <w:r>
        <w:t xml:space="preserve">“WFAgg: Byzantine-robust aggregation for securing decentralized federated learning,”</w:t>
      </w:r>
      <w:r>
        <w:t xml:space="preserve"> </w:t>
      </w:r>
      <w:r>
        <w:t xml:space="preserve">2025.</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
    <w:p>
      <w:pPr>
        <w:pStyle w:val="FootnoteText"/>
      </w:pPr>
      <w:r>
        <w:rPr>
          <w:rStyle w:val="FootnoteReference"/>
        </w:rPr>
        <w:footnoteRef/>
      </w:r>
      <w:r>
        <w:t xml:space="preserve"> </w:t>
      </w:r>
      <w:hyperlink r:id="rId9">
        <w:r>
          <w:rPr>
            <w:rStyle w:val="Hyperlink"/>
          </w:rPr>
          <w:t xml:space="preserve">https://github.com/vokasitibrawijaya/byzantine-robust-fl-blockchain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7062A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3">
    <w:nsid w:val="0126702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4764873"/>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2"/>
  </w:num>
  <w:num w:numId="100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2"/>
  </w:num>
  <w:num w:numId="1008">
    <w:abstractNumId w:val="99202"/>
  </w:num>
  <w:num w:numId="1009">
    <w:abstractNumId w:val="99202"/>
  </w:num>
  <w:num w:numId="1010">
    <w:abstractNumId w:val="99202"/>
  </w:num>
  <w:num w:numId="1011">
    <w:abstractNumId w:val="99202"/>
  </w:num>
  <w:num w:numId="1012">
    <w:abstractNumId w:val="99202"/>
  </w:num>
  <w:num w:numId="1013">
    <w:abstractNumId w:val="99202"/>
  </w:num>
  <w:num w:numId="1014">
    <w:abstractNumId w:val="99202"/>
  </w:num>
  <w:num w:numId="1015">
    <w:abstractNumId w:val="99202"/>
  </w:num>
  <w:num w:numId="101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2"/>
  </w:num>
  <w:num w:numId="1018">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2"/>
  </w:num>
  <w:num w:numId="1021">
    <w:abstractNumId w:val="99202"/>
  </w:num>
  <w:num w:numId="1022">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2"/>
  </w:num>
  <w:num w:numId="1024">
    <w:abstractNumId w:val="99202"/>
  </w:num>
  <w:num w:numId="1025">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2"/>
  </w:num>
  <w:num w:numId="1027">
    <w:abstractNumId w:val="99202"/>
  </w:num>
  <w:num w:numId="1028">
    <w:abstractNumId w:val="99202"/>
  </w:num>
  <w:num w:numId="1029">
    <w:abstractNumId w:val="99202"/>
  </w:num>
  <w:num w:numId="1030">
    <w:abstractNumId w:val="99202"/>
  </w:num>
  <w:num w:numId="1031">
    <w:abstractNumId w:val="99202"/>
  </w:num>
  <w:num w:numId="1032">
    <w:abstractNumId w:val="99204"/>
  </w:num>
  <w:num w:numId="1033">
    <w:abstractNumId w:val="99202"/>
  </w:num>
  <w:num w:numId="1034">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2"/>
  </w:num>
  <w:num w:numId="1036">
    <w:abstractNumId w:val="99202"/>
  </w:num>
  <w:num w:numId="1037">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2"/>
  </w:num>
  <w:num w:numId="103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2"/>
  </w:num>
  <w:num w:numId="1041">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2"/>
  </w:num>
  <w:num w:numId="1043">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2"/>
  </w:num>
  <w:num w:numId="1045">
    <w:abstractNumId w:val="99202"/>
  </w:num>
  <w:num w:numId="104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2"/>
  </w:num>
  <w:num w:numId="104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2"/>
  </w:num>
  <w:num w:numId="1051">
    <w:abstractNumId w:val="99202"/>
  </w:num>
  <w:num w:numId="1052">
    <w:abstractNumId w:val="99202"/>
  </w:num>
  <w:num w:numId="1053">
    <w:abstractNumId w:val="99202"/>
  </w:num>
  <w:num w:numId="1054">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2"/>
  </w:num>
  <w:num w:numId="105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2"/>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vokasitibrawijaya/byzantine-robust-fl-blockchai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9" Type="http://schemas.openxmlformats.org/officeDocument/2006/relationships/hyperlink" Target="https://github.com/vokasitibrawijaya/byzantine-robust-fl-block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2026-04-13T11:29:46Z</dcterms:created>
  <dcterms:modified xsi:type="dcterms:W3CDTF">2026-04-13T11:29:46Z</dcterms:modified>
</cp:coreProperties>
</file>

<file path=docProps/custom.xml><?xml version="1.0" encoding="utf-8"?>
<Properties xmlns="http://schemas.openxmlformats.org/officeDocument/2006/custom-properties" xmlns:vt="http://schemas.openxmlformats.org/officeDocument/2006/docPropsVTypes"/>
</file>