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Response to Reviewer Comments</w:t>
      </w:r>
      <w:r>
        <w:br/>
      </w:r>
      <w:r>
        <w:t xml:space="preserve">Manuscript #18579</w:t>
      </w:r>
      <w:r>
        <w:br/>
      </w:r>
      <w:r>
        <w:t xml:space="preserve">“Byzantine-Robust Federated Learning with Adaptive Aggregation and Blockchain:</w:t>
      </w:r>
      <w:r>
        <w:br/>
      </w:r>
      <w:r>
        <w:t xml:space="preserve">Empirical Validation of ATMA and Resolution of the Transparency Paradox”</w:t>
      </w:r>
      <w:r>
        <w:br/>
      </w:r>
      <w:r>
        <w:t xml:space="preserve">2026-04-13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sincerely thank the editor and reviewers for their constructive feedback. We have carefully addressed every comment below. All changes in the revised manuscript are marked with</w:t>
      </w:r>
      <w:r>
        <w:t xml:space="preserve"> </w:t>
      </w:r>
      <w:r>
        <w:t xml:space="preserve">blue text</w:t>
      </w:r>
      <w:r>
        <w:t xml:space="preserve"> </w:t>
      </w:r>
      <w:r>
        <w:t xml:space="preserve">where feasible. Page and section numbers refer to the revised manuscript that follows this response.</w:t>
      </w:r>
    </w:p>
    <w:p>
      <w:pPr>
        <w:pStyle w:val="BodyText"/>
      </w:pPr>
      <w:r>
        <w:rPr>
          <w:b/>
          <w:bCs/>
        </w:rPr>
        <w:t xml:space="preserve">Reviewer A</w:t>
      </w:r>
    </w:p>
    <w:p>
      <w:pPr>
        <w:pStyle w:val="BodyText"/>
      </w:pPr>
      <w:r>
        <w:rPr>
          <w:b/>
          <w:bCs/>
        </w:rPr>
        <w:t xml:space="preserve">Comment A1:</w:t>
      </w:r>
      <w:r>
        <w:t xml:space="preserve"> </w:t>
      </w:r>
      <w:r>
        <w:rPr>
          <w:i/>
          <w:iCs/>
        </w:rPr>
        <w:t xml:space="preserve">“Attack types are limited to label-flip and random noise; sophisticated attacks (ALIE [18], backdoor [20]) require future study.”</w:t>
      </w:r>
      <w:r>
        <w:rPr>
          <w:i/>
          <w:iCs/>
        </w:rPr>
        <w:t xml:space="preserve"> </w:t>
      </w:r>
      <w:r>
        <w:rPr>
          <w:i/>
          <w:iCs/>
        </w:rPr>
        <w:t xml:space="preserve">rephrase this as the citations look strange now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We agree that the inline citation format was unclear. We have rephrased the sentence in Section 7 (Limitations) as follows:</w:t>
      </w:r>
    </w:p>
    <w:p>
      <w:pPr>
        <w:pStyle w:val="BlockText"/>
      </w:pPr>
      <w:r>
        <w:t xml:space="preserve">“Attack types are limited to random noise and label-flip attacks. More sophisticated attack strategies, such as the</w:t>
      </w:r>
      <w:r>
        <w:t xml:space="preserve"> </w:t>
      </w:r>
      <w:r>
        <w:t xml:space="preserve">‘A Little Is Enough’</w:t>
      </w:r>
      <w:r>
        <w:t xml:space="preserve"> </w:t>
      </w:r>
      <w:r>
        <w:t xml:space="preserve">(ALIE) approach proposed by Baruch et al. [10] and backdoor attacks studied by Sun et al. [11], were not fully evaluated in this work and require future study.”</w:t>
      </w:r>
    </w:p>
    <w:p>
      <w:pPr>
        <w:pStyle w:val="FirstParagraph"/>
      </w:pPr>
      <w:r>
        <w:t xml:space="preserve">The citation numbers now clearly refer to the named authors and their specific attack methods, eliminating the ambiguity.</w:t>
      </w:r>
    </w:p>
    <w:p>
      <w:pPr>
        <w:pStyle w:val="BodyText"/>
      </w:pPr>
      <w:r>
        <w:rPr>
          <w:b/>
          <w:bCs/>
        </w:rPr>
        <w:t xml:space="preserve">Comment A2:</w:t>
      </w:r>
      <w:r>
        <w:t xml:space="preserve"> </w:t>
      </w:r>
      <w:r>
        <w:rPr>
          <w:i/>
          <w:iCs/>
        </w:rPr>
        <w:t xml:space="preserve">Figures 1-2 not readable.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We have fully regenerated both figures: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 1 (Convergence Comparison):</w:t>
      </w:r>
      <w:r>
        <w:t xml:space="preserve"> </w:t>
      </w:r>
      <w:r>
        <w:t xml:space="preserve">Regenerated at 300 DPI with distinct markers (square, triangle, diamond, circle), distinct colors, thicker lines (2.0–2.5 pt), and larger axis labels (13 pt bold). The figure now clearly shows CIFAR-10 convergence curves for all four algorithms (TrimmedMean, ATMA, Krum, FedAvg) over 160 rounds, with final accuracy values in the legend.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 2 (ROC Curve):</w:t>
      </w:r>
      <w:r>
        <w:t xml:space="preserve"> </w:t>
      </w:r>
      <w:r>
        <w:t xml:space="preserve">Regenerated at 300 DPI with thicker curve lines (3.0 pt for blockchain, 2.5 pt for centralized), annotated optimal operating point (FPR=0.00, TPR=0.81), 13 pt bold axis labels, and clear legend showing AUC values.</w:t>
      </w:r>
    </w:p>
    <w:p>
      <w:pPr>
        <w:pStyle w:val="FirstParagraph"/>
      </w:pPr>
      <w:r>
        <w:t xml:space="preserve">Both figures are now publication-quality at 300 DPI with clearly distinguishable elements. The previous version suffered from low resolution and thin lines that became illegible in the Word document conversion.</w:t>
      </w:r>
    </w:p>
    <w:p>
      <w:pPr>
        <w:pStyle w:val="BodyText"/>
      </w:pPr>
      <w:r>
        <w:rPr>
          <w:b/>
          <w:bCs/>
        </w:rPr>
        <w:t xml:space="preserve">Comment A3:</w:t>
      </w:r>
      <w:r>
        <w:t xml:space="preserve"> </w:t>
      </w:r>
      <w:r>
        <w:rPr>
          <w:i/>
          <w:iCs/>
        </w:rPr>
        <w:t xml:space="preserve">Conclusion (and article) too short I think.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We have substantially expanded the Conclusion section from one page to approximately three pages. The expanded conclusion now includes: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 7.1 (Summary of Key Findings):</w:t>
      </w:r>
      <w:r>
        <w:t xml:space="preserve"> </w:t>
      </w:r>
      <w:r>
        <w:t xml:space="preserve">Four clearly numbered findings with specific accuracy values and statistical tests.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 7.2 (Comparative Analysis with Prior Work):</w:t>
      </w:r>
      <w:r>
        <w:t xml:space="preserve"> </w:t>
      </w:r>
      <w:r>
        <w:t xml:space="preserve">A new Table XII comparing our contributions against Blanchard et al. [3], Yin et al. [4], Shayan et al. [27], Kalibbala et al. [46], and Cao et al. [35] across six dimensions (robust aggregation, blockchain audit, adaptive defense, non-IID validation, transparency paradox, multi-seed CI).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 7.3 (Practical Contributions and Deployment Guidelines):</w:t>
      </w:r>
      <w:r>
        <w:t xml:space="preserve"> </w:t>
      </w:r>
      <w:r>
        <w:t xml:space="preserve">Concrete recommendations for algorithm selection, cost management, scalability, and security posture.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 7.4 (Limitations):</w:t>
      </w:r>
      <w:r>
        <w:t xml:space="preserve"> </w:t>
      </w:r>
      <w:r>
        <w:t xml:space="preserve">Honest enumeration of four specific limitations.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Section 7.5 (Future Work):</w:t>
      </w:r>
      <w:r>
        <w:t xml:space="preserve"> </w:t>
      </w:r>
      <w:r>
        <w:t xml:space="preserve">Six concrete future research directions.</w:t>
      </w:r>
    </w:p>
    <w:p>
      <w:pPr>
        <w:pStyle w:val="FirstParagraph"/>
      </w:pPr>
      <w:r>
        <w:rPr>
          <w:b/>
          <w:bCs/>
        </w:rPr>
        <w:t xml:space="preserve">Comment A4:</w:t>
      </w:r>
      <w:r>
        <w:t xml:space="preserve"> </w:t>
      </w:r>
      <w:r>
        <w:rPr>
          <w:i/>
          <w:iCs/>
        </w:rPr>
        <w:t xml:space="preserve">Expand it to include comparative analysis, contribution discussion.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Addressed in Comment A3 above. Table XII in the revised conclusion provides a structured comparative analysis against five key prior studies, and the</w:t>
      </w:r>
      <w:r>
        <w:t xml:space="preserve"> </w:t>
      </w:r>
      <w:r>
        <w:t xml:space="preserve">“Practical Contributions”</w:t>
      </w:r>
      <w:r>
        <w:t xml:space="preserve"> </w:t>
      </w:r>
      <w:r>
        <w:t xml:space="preserve">subsection explicitly discusses what each contribution means for practitioners deploying Byzantine-robust federated learning.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Reviewer B</w:t>
      </w:r>
    </w:p>
    <w:p>
      <w:pPr>
        <w:pStyle w:val="BodyText"/>
      </w:pPr>
      <w:r>
        <w:rPr>
          <w:b/>
          <w:bCs/>
        </w:rPr>
        <w:t xml:space="preserve">Comment B1:</w:t>
      </w:r>
      <w:r>
        <w:t xml:space="preserve"> </w:t>
      </w:r>
      <w:r>
        <w:rPr>
          <w:i/>
          <w:iCs/>
        </w:rPr>
        <w:t xml:space="preserve">It is not clear what EXACTLY the authors did and how (step by step).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We acknowledge this was a significant weakness in the original manuscript. We have added a new subsection</w:t>
      </w:r>
      <w:r>
        <w:t xml:space="preserve"> </w:t>
      </w:r>
      <w:r>
        <w:rPr>
          <w:b/>
          <w:bCs/>
        </w:rPr>
        <w:t xml:space="preserve">Section 4.6</w:t>
      </w:r>
      <w:r>
        <w:rPr>
          <w:b/>
          <w:bCs/>
        </w:rPr>
        <w:t xml:space="preserve"> </w:t>
      </w:r>
      <w:r>
        <w:rPr>
          <w:b/>
          <w:bCs/>
        </w:rPr>
        <w:t xml:space="preserve">“Step-by-Step Experimental Procedure”</w:t>
      </w:r>
      <w:r>
        <w:t xml:space="preserve"> </w:t>
      </w:r>
      <w:r>
        <w:t xml:space="preserve">that describes the exact procedure we executed, with no generic terms: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Loading:</w:t>
      </w:r>
      <w:r>
        <w:t xml:space="preserve"> </w:t>
      </w:r>
      <w:r>
        <w:t xml:space="preserve">Downloaded MNIST via</w:t>
      </w:r>
      <w:r>
        <w:t xml:space="preserve"> </w:t>
      </w:r>
      <w:r>
        <w:rPr>
          <w:rStyle w:val="VerbatimChar"/>
        </w:rPr>
        <w:t xml:space="preserve">torchvision.datasets.MNIST</w:t>
      </w:r>
      <w:r>
        <w:t xml:space="preserve"> </w:t>
      </w:r>
      <w:r>
        <w:t xml:space="preserve">and CIFAR-10 via</w:t>
      </w:r>
      <w:r>
        <w:t xml:space="preserve"> </w:t>
      </w:r>
      <w:r>
        <w:rPr>
          <w:rStyle w:val="VerbatimChar"/>
        </w:rPr>
        <w:t xml:space="preserve">torchvision.datasets.CIFAR10</w:t>
      </w:r>
      <w:r>
        <w:t xml:space="preserve">; normalized with dataset-specific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Non-IID Partitioning:</w:t>
      </w:r>
      <w:r>
        <w:t xml:space="preserve"> </w:t>
      </w:r>
      <w:r>
        <w:t xml:space="preserve">Applied 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allocation using</w:t>
      </w:r>
      <w:r>
        <w:t xml:space="preserve"> </w:t>
      </w:r>
      <w:r>
        <w:rPr>
          <w:rStyle w:val="VerbatimChar"/>
        </w:rPr>
        <w:t xml:space="preserve">numpy.random.dirichlet</w:t>
      </w:r>
      <w:r>
        <w:t xml:space="preserve"> </w:t>
      </w:r>
      <w:r>
        <w:t xml:space="preserve">to create heterogeneous per-client data splits.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Model Initialization:</w:t>
      </w:r>
      <w:r>
        <w:t xml:space="preserve"> </w:t>
      </w:r>
      <w:r>
        <w:t xml:space="preserve">SimpleMNISTNet for MNIST (2 Conv + 2 FC); ResNet-18 for CIFAR-10. Same seed for identical initialization.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Byzantine Client Selection:</w:t>
      </w:r>
      <w:r>
        <w:t xml:space="preserve"> </w:t>
      </w:r>
      <w:r>
        <w:t xml:space="preserve">Randomly selected 4 of 20 clients as Byzantine, fixed per seed.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Blockchain Contract Deployment:</w:t>
      </w:r>
      <w:r>
        <w:t xml:space="preserve"> </w:t>
      </w:r>
      <w:r>
        <w:t xml:space="preserve">Deployed</w:t>
      </w:r>
      <w:r>
        <w:t xml:space="preserve"> </w:t>
      </w:r>
      <w:r>
        <w:rPr>
          <w:rStyle w:val="VerbatimChar"/>
        </w:rPr>
        <w:t xml:space="preserve">FederatedLearningAggregator</w:t>
      </w:r>
      <w:r>
        <w:t xml:space="preserve"> </w:t>
      </w:r>
      <w:r>
        <w:t xml:space="preserve">Solidity contract to Ganache using</w:t>
      </w:r>
      <w:r>
        <w:t xml:space="preserve"> </w:t>
      </w:r>
      <w:r>
        <w:rPr>
          <w:rStyle w:val="VerbatimChar"/>
        </w:rPr>
        <w:t xml:space="preserve">solcx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Training Loop</w:t>
      </w:r>
      <w:r>
        <w:t xml:space="preserve"> </w:t>
      </w:r>
      <w:r>
        <w:t xml:space="preserve">(per round): client selection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local SGD training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Byzantine attack injection (label-flip + scale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5.0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blockchain submission (SHA-256 hash)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server-side aggregation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Byzantine detection logging (on-chain)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global model update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test evaluation.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Result Serialization:</w:t>
      </w:r>
      <w:r>
        <w:t xml:space="preserve"> </w:t>
      </w:r>
      <w:r>
        <w:t xml:space="preserve">All metrics saved to JSON.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Multi-Seed Replication:</w:t>
      </w:r>
      <w:r>
        <w:t xml:space="preserve"> </w:t>
      </w:r>
      <w:r>
        <w:t xml:space="preserve">Seeds 42, 43, 44 for confidence intervals.</w:t>
      </w:r>
    </w:p>
    <w:p>
      <w:pPr>
        <w:pStyle w:val="FirstParagraph"/>
      </w:pPr>
      <w:r>
        <w:t xml:space="preserve">The detailed 8-step procedure in the revised manuscript specifies every operation, parameter value, and code-level function, so that another researcher can reproduce our work exactly.</w:t>
      </w:r>
    </w:p>
    <w:p>
      <w:pPr>
        <w:pStyle w:val="BodyText"/>
      </w:pPr>
      <w:r>
        <w:rPr>
          <w:b/>
          <w:bCs/>
        </w:rPr>
        <w:t xml:space="preserve">Comment B2:</w:t>
      </w:r>
      <w:r>
        <w:t xml:space="preserve"> </w:t>
      </w:r>
      <w:r>
        <w:rPr>
          <w:i/>
          <w:iCs/>
        </w:rPr>
        <w:t xml:space="preserve">There is no point in throwing a lot of terms without being specific on what you did exactly and how. Not generic information. SPECIFICALLY in this work.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We completely agree. Beyond the new Step-by-Step procedure (Section 4.6), we have reviewed the entire paper to ensure specificity. Key improvements: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Every aggregation algorithm</w:t>
      </w:r>
      <w:r>
        <w:t xml:space="preserve"> </w:t>
      </w:r>
      <w:r>
        <w:t xml:space="preserve">is described with its exact formula and our configuration (e.g., TrimmedMean: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</m:t>
        </m:r>
      </m:oMath>
      <w:r>
        <w:t xml:space="preserve">, meaning top/bottom 20% trimmed per coordinate; ATMA: adaptation rate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bounds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0.30</m:t>
        </m:r>
        <m:r>
          <m:rPr>
            <m:sty m:val="p"/>
          </m:rPr>
          <m:t>]</m:t>
        </m:r>
      </m:oMath>
      <w:r>
        <w:t xml:space="preserve">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Every experiment</w:t>
      </w:r>
      <w:r>
        <w:t xml:space="preserve"> </w:t>
      </w:r>
      <w:r>
        <w:t xml:space="preserve">references the</w:t>
      </w:r>
      <w:r>
        <w:t xml:space="preserve"> </w:t>
      </w:r>
      <w:r>
        <w:rPr>
          <w:b/>
          <w:bCs/>
        </w:rPr>
        <w:t xml:space="preserve">specific result file</w:t>
      </w:r>
      <w:r>
        <w:t xml:space="preserve"> </w:t>
      </w:r>
      <w:r>
        <w:t xml:space="preserve">in our public repository (Table I lists file names:</w:t>
      </w:r>
      <w:r>
        <w:t xml:space="preserve"> </w:t>
      </w:r>
      <w:r>
        <w:rPr>
          <w:rStyle w:val="VerbatimChar"/>
        </w:rPr>
        <w:t xml:space="preserve">h2_valid_rerun.json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real_fl_FIXED.json</w:t>
      </w:r>
      <w:r>
        <w:t xml:space="preserve">, etc.).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Specific data paths:</w:t>
      </w:r>
      <w:r>
        <w:t xml:space="preserve"> </w:t>
      </w:r>
      <w:r>
        <w:t xml:space="preserve">We state that MNIST is loaded</w:t>
      </w:r>
      <w:r>
        <w:t xml:space="preserve"> </w:t>
      </w:r>
      <w:r>
        <w:t xml:space="preserve">“via</w:t>
      </w:r>
      <w:r>
        <w:t xml:space="preserve"> </w:t>
      </w:r>
      <w:r>
        <w:rPr>
          <w:rStyle w:val="VerbatimChar"/>
        </w:rPr>
        <w:t xml:space="preserve">torchvision.datasets.MNIST</w:t>
      </w:r>
      <w:r>
        <w:t xml:space="preserve">”</w:t>
      </w:r>
      <w:r>
        <w:t xml:space="preserve"> </w:t>
      </w:r>
      <w:r>
        <w:t xml:space="preserve">(not just</w:t>
      </w:r>
      <w:r>
        <w:t xml:space="preserve"> </w:t>
      </w:r>
      <w:r>
        <w:t xml:space="preserve">“MNIST dataset”</w:t>
      </w:r>
      <w:r>
        <w:t xml:space="preserve">), Dirichlet partitioning is done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numpy.random.dirichlet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Blockchain operations:</w:t>
      </w:r>
      <w:r>
        <w:t xml:space="preserve"> </w:t>
      </w:r>
      <w:r>
        <w:t xml:space="preserve">Contract deployment gas (1,724,238 gas), per-submission gas (</w:t>
      </w:r>
      <m:oMath>
        <m:r>
          <m:rPr>
            <m:sty m:val="p"/>
          </m:rPr>
          <m:t>≈</m:t>
        </m:r>
      </m:oMath>
      <w:r>
        <w:t xml:space="preserve">75,000 gas), and each on-chain function call (</w:t>
      </w:r>
      <w:r>
        <w:rPr>
          <w:rStyle w:val="VerbatimChar"/>
        </w:rPr>
        <w:t xml:space="preserve">submitUpdate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markByzantine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completeRound</w:t>
      </w:r>
      <w:r>
        <w:t xml:space="preserve">) are explicitly described.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All source code</w:t>
      </w:r>
      <w:r>
        <w:t xml:space="preserve"> </w:t>
      </w:r>
      <w:r>
        <w:t xml:space="preserve">is available at</w:t>
      </w:r>
      <w:r>
        <w:t xml:space="preserve"> </w:t>
      </w:r>
      <w:hyperlink r:id="rId9">
        <w:r>
          <w:rPr>
            <w:rStyle w:val="Hyperlink"/>
          </w:rPr>
          <w:t xml:space="preserve">https://github.com/vokasitibrawijaya/byzantine-robust-fl-blockchain</w:t>
        </w:r>
      </w:hyperlink>
      <w:r>
        <w:t xml:space="preserve"> </w:t>
      </w:r>
      <w:r>
        <w:t xml:space="preserve">for full reproducibility.</w:t>
      </w:r>
    </w:p>
    <w:p>
      <w:pPr>
        <w:pStyle w:val="FirstParagraph"/>
      </w:pPr>
      <w:r>
        <w:rPr>
          <w:b/>
          <w:bCs/>
        </w:rPr>
        <w:t xml:space="preserve">— REVISED MANUSCRIPT FOLLOWS —</w:t>
      </w:r>
      <w:r>
        <w:br/>
      </w:r>
      <w:r>
        <w:t xml:space="preserve">See separate file:</w:t>
      </w:r>
      <w:r>
        <w:t xml:space="preserve"> </w:t>
      </w:r>
      <w:r>
        <w:rPr>
          <w:rStyle w:val="VerbatimChar"/>
        </w:rPr>
        <w:t xml:space="preserve">1kolomByzantine_Robust_Federated_Learning_</w:t>
      </w:r>
      <w:r>
        <w:br/>
      </w:r>
      <w:r>
        <w:rPr>
          <w:rStyle w:val="VerbatimChar"/>
        </w:rPr>
        <w:t xml:space="preserve">with_Adaptive_Aggregation_and_Blockchain_FIXED.tex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vokasitibrawijaya/byzantine-robust-fl-block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vokasitibrawijaya/byzantine-robust-fl-blockch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2026-04-13T11:29:46Z</dcterms:created>
  <dcterms:modified xsi:type="dcterms:W3CDTF">2026-04-13T11:29:46Z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