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1.png" ContentType="image/png"/>
  <Override PartName="/word/media/rId45.png" ContentType="image/png"/>
  <Override PartName="/word/media/image1.wmf" ContentType="image/x-wmf"/>
  <Override PartName="/word/media/image2.wmf" ContentType="image/x-wmf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sponse-to-reviewer-comments"/>
    <w:p>
      <w:pPr>
        <w:pStyle w:val="Title"/>
        <w:jc w:val="left"/>
      </w:pPr>
      <w:r>
        <w:t xml:space="preserve">Response to Reviewer Comments</w:t>
      </w:r>
    </w:p>
    <w:p>
      <w:pPr>
        <w:pStyle w:val="FirstParagraph"/>
      </w:pPr>
      <w:r>
        <w:rPr>
          <w:b/>
          <w:bCs/>
        </w:rPr>
        <w:t xml:space="preserve">Manuscript #18579</w:t>
      </w:r>
      <w:r>
        <w:br/>
      </w:r>
      <w:r>
        <w:rPr>
          <w:b/>
          <w:bCs/>
        </w:rPr>
        <w:t xml:space="preserve">Revised title:</w:t>
      </w:r>
      <w:r>
        <w:rPr>
          <w:b/>
          <w:bCs/>
        </w:rPr>
        <w:t xml:space="preserve"> </w:t>
      </w:r>
      <w:r>
        <w:rPr>
          <w:b/>
          <w:bCs/>
        </w:rPr>
        <w:t xml:space="preserve">“Byzantine-Robust Federated Learning with Adaptive Aggregation and Blockchain: A Reproducible Empirical Evaluation”</w:t>
      </w:r>
    </w:p>
    <w:p>
      <w:pPr>
        <w:pStyle w:val="BodyText"/>
      </w:pPr>
      <w:r>
        <w:t xml:space="preserve">We thank the editor and reviewers for their constructive comments. The manuscript</w:t>
      </w:r>
      <w:r>
        <w:t xml:space="preserve"> </w:t>
      </w:r>
      <w:r>
        <w:t xml:space="preserve">has been rebuilt around one reproducible experiment rather than combining results</w:t>
      </w:r>
      <w:r>
        <w:t xml:space="preserve"> </w:t>
      </w:r>
      <w:r>
        <w:t xml:space="preserve">from incompatible configurations. In this final revision we additionally made the</w:t>
      </w:r>
      <w:r>
        <w:t xml:space="preserve"> </w:t>
      </w:r>
      <w:r>
        <w:t xml:space="preserve">audit contract write-once, verified both client records and complete round</w:t>
      </w:r>
      <w:r>
        <w:t xml:space="preserve"> </w:t>
      </w:r>
      <w:r>
        <w:t xml:space="preserve">summaries by contract read-back, distinguished our distance–MAD adaptive rule</w:t>
      </w:r>
      <w:r>
        <w:t xml:space="preserve"> </w:t>
      </w:r>
      <w:r>
        <w:t xml:space="preserve">from the previously published ATMA method, enlarged the figures at their final</w:t>
      </w:r>
      <w:r>
        <w:t xml:space="preserve"> </w:t>
      </w:r>
      <w:r>
        <w:t xml:space="preserve">column dimensions, and rebuilt the Word file with the native ETASR styles. Claims</w:t>
      </w:r>
      <w:r>
        <w:t xml:space="preserve"> </w:t>
      </w:r>
      <w:r>
        <w:t xml:space="preserve">not supported by the executed experiment remain removed. The comments, answers,</w:t>
      </w:r>
      <w:r>
        <w:t xml:space="preserve"> </w:t>
      </w:r>
      <w:r>
        <w:t xml:space="preserve">and revised manuscript are supplied in one Word file as requested.</w:t>
      </w:r>
    </w:p>
    <w:bookmarkStart w:id="24" w:name="reviewer-a"/>
    <w:p>
      <w:pPr>
        <w:pStyle w:val="Heading2"/>
      </w:pPr>
      <w:r>
        <w:t xml:space="preserve">Reviewer A</w:t>
      </w:r>
    </w:p>
    <w:p>
      <w:pPr>
        <w:pStyle w:val="FirstParagraph"/>
      </w:pPr>
      <w:r>
        <w:rPr>
          <w:b/>
          <w:bCs/>
        </w:rPr>
        <w:t xml:space="preserve">Comment A1:</w:t>
      </w:r>
      <w:r>
        <w:t xml:space="preserve"> </w:t>
      </w:r>
      <w:r>
        <w:t xml:space="preserve">“Attack types are limited to label-flip and random noise;</w:t>
      </w:r>
      <w:r>
        <w:t xml:space="preserve"> </w:t>
      </w:r>
      <w:r>
        <w:t xml:space="preserve">sophisticated attacks (ALIE [18], backdoor [20]) require future study.”</w:t>
      </w:r>
      <w:r>
        <w:t xml:space="preserve"> </w:t>
      </w:r>
      <w:r>
        <w:t xml:space="preserve">Rephrase</w:t>
      </w:r>
      <w:r>
        <w:t xml:space="preserve"> </w:t>
      </w:r>
      <w:r>
        <w:t xml:space="preserve">this as the citations look strange now.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The limitation is now stated with named authors and methods:</w:t>
      </w:r>
      <w:r>
        <w:t xml:space="preserve"> </w:t>
      </w:r>
      <w:r>
        <w:t xml:space="preserve">“This study evaluates one combined untargeted attack consisting of cyclic label</w:t>
      </w:r>
      <w:r>
        <w:t xml:space="preserve"> </w:t>
      </w:r>
      <w:r>
        <w:t xml:space="preserve">flipping and scaled model updates. More sophisticated attacks, including the A</w:t>
      </w:r>
      <w:r>
        <w:t xml:space="preserve"> </w:t>
      </w:r>
      <w:r>
        <w:t xml:space="preserve">Little Is Enough attack introduced by Baruch et al. [5] and targeted backdoor</w:t>
      </w:r>
      <w:r>
        <w:t xml:space="preserve"> </w:t>
      </w:r>
      <w:r>
        <w:t xml:space="preserve">attacks studied by Sun et al. [6], remain outside the present scope.”</w:t>
      </w:r>
      <w:r>
        <w:t xml:space="preserve"> </w:t>
      </w:r>
      <w:r>
        <w:t xml:space="preserve">The</w:t>
      </w:r>
      <w:r>
        <w:t xml:space="preserve"> </w:t>
      </w:r>
      <w:r>
        <w:t xml:space="preserve">references now unambiguously identify the cited attacks.</w:t>
      </w:r>
    </w:p>
    <w:p>
      <w:pPr>
        <w:pStyle w:val="BodyText"/>
      </w:pPr>
      <w:r>
        <w:rPr>
          <w:b/>
          <w:bCs/>
        </w:rPr>
        <w:t xml:space="preserve">Comment A2:</w:t>
      </w:r>
      <w:r>
        <w:t xml:space="preserve"> </w:t>
      </w:r>
      <w:r>
        <w:t xml:space="preserve">Figures 1–2 not readable.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Figures 1 and 2 were regenerated directly from the final</w:t>
      </w:r>
      <w:r>
        <w:t xml:space="preserve"> </w:t>
      </w:r>
      <w:r>
        <w:t xml:space="preserve">three-seed result file at their actual one-column publication width and 300 DPI.</w:t>
      </w:r>
      <w:r>
        <w:t xml:space="preserve"> </w:t>
      </w:r>
      <w:r>
        <w:t xml:space="preserve">Figure 1 reports mean convergence with one-standard-deviation bands. Figure 2</w:t>
      </w:r>
      <w:r>
        <w:t xml:space="preserve"> </w:t>
      </w:r>
      <w:r>
        <w:t xml:space="preserve">reports final mean accuracy with</w:t>
      </w:r>
      <w:r>
        <w:t xml:space="preserve"> </w:t>
      </w:r>
      <m:oMath>
        <m:r>
          <m:t>t</m:t>
        </m:r>
      </m:oMath>
      <w:r>
        <w:t xml:space="preserve">-distribution 95% confidence intervals.</w:t>
      </w:r>
      <w:r>
        <w:t xml:space="preserve"> </w:t>
      </w:r>
      <w:r>
        <w:t xml:space="preserve">Fonts, labels, line widths, markers, and legends were set for the final displayed</w:t>
      </w:r>
      <w:r>
        <w:t xml:space="preserve"> </w:t>
      </w:r>
      <w:r>
        <w:t xml:space="preserve">size rather than being reduced from a large canvas.</w:t>
      </w:r>
    </w:p>
    <w:p>
      <w:pPr>
        <w:pStyle w:val="BodyText"/>
      </w:pPr>
      <w:r>
        <w:rPr>
          <w:b/>
          <w:bCs/>
        </w:rPr>
        <w:t xml:space="preserve">Comment A3:</w:t>
      </w:r>
      <w:r>
        <w:t xml:space="preserve"> </w:t>
      </w:r>
      <w:r>
        <w:t xml:space="preserve">Conclusion (and article) too short I think.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The manuscript now provides a complete threat model, exact</w:t>
      </w:r>
      <w:r>
        <w:t xml:space="preserve"> </w:t>
      </w:r>
      <w:r>
        <w:t xml:space="preserve">implementation parameters, formal aggregation equations, a step-by-step</w:t>
      </w:r>
      <w:r>
        <w:t xml:space="preserve"> </w:t>
      </w:r>
      <w:r>
        <w:t xml:space="preserve">procedure, computational considerations, statistical analysis, measured</w:t>
      </w:r>
      <w:r>
        <w:t xml:space="preserve"> </w:t>
      </w:r>
      <w:r>
        <w:t xml:space="preserve">blockchain evidence, a security-scope discussion, limitations, and an expanded</w:t>
      </w:r>
      <w:r>
        <w:t xml:space="preserve"> </w:t>
      </w:r>
      <w:r>
        <w:t xml:space="preserve">conclusion. The manuscript body has also been expanded toward the journal’s</w:t>
      </w:r>
      <w:r>
        <w:t xml:space="preserve"> </w:t>
      </w:r>
      <w:r>
        <w:t xml:space="preserve">standard article length.</w:t>
      </w:r>
    </w:p>
    <w:p>
      <w:pPr>
        <w:pStyle w:val="BodyText"/>
      </w:pPr>
      <w:r>
        <w:rPr>
          <w:b/>
          <w:bCs/>
        </w:rPr>
        <w:t xml:space="preserve">Comment A4:</w:t>
      </w:r>
      <w:r>
        <w:t xml:space="preserve"> </w:t>
      </w:r>
      <w:r>
        <w:t xml:space="preserve">Expand it to include comparative analysis, contribution</w:t>
      </w:r>
      <w:r>
        <w:t xml:space="preserve"> </w:t>
      </w:r>
      <w:r>
        <w:t xml:space="preserve">discussion.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Sections 3 and 4 now compare clean FedAvg, attacked FedAvg,</w:t>
      </w:r>
      <w:r>
        <w:t xml:space="preserve"> </w:t>
      </w:r>
      <w:r>
        <w:t xml:space="preserve">Krum, TrimmedMean, and the implemented adaptive rule under the same configuration.</w:t>
      </w:r>
      <w:r>
        <w:t xml:space="preserve"> </w:t>
      </w:r>
      <w:r>
        <w:t xml:space="preserve">The discussion distinguishes accuracy, robustness, adaptation, assumptions,</w:t>
      </w:r>
      <w:r>
        <w:t xml:space="preserve"> </w:t>
      </w:r>
      <w:r>
        <w:t xml:space="preserve">computational cost, and auditability. We report that no statistically significant</w:t>
      </w:r>
      <w:r>
        <w:t xml:space="preserve"> </w:t>
      </w:r>
      <w:r>
        <w:t xml:space="preserve">final-accuracy difference was detected between adaptive and static trimming in</w:t>
      </w:r>
      <w:r>
        <w:t xml:space="preserve"> </w:t>
      </w:r>
      <w:r>
        <w:t xml:space="preserve">this three-seed experiment. We also compare the implemented distance–MAD rule</w:t>
      </w:r>
      <w:r>
        <w:t xml:space="preserve"> </w:t>
      </w:r>
      <w:r>
        <w:t xml:space="preserve">with the variance-based ATMA method published by Mukisa et al. in 2025.</w:t>
      </w:r>
    </w:p>
    <w:bookmarkEnd w:id="24"/>
    <w:bookmarkStart w:id="25" w:name="reviewer-b"/>
    <w:p>
      <w:pPr>
        <w:pStyle w:val="Heading2"/>
      </w:pPr>
      <w:r>
        <w:t xml:space="preserve">Reviewer B</w:t>
      </w:r>
    </w:p>
    <w:p>
      <w:pPr>
        <w:pStyle w:val="FirstParagraph"/>
      </w:pPr>
      <w:r>
        <w:rPr>
          <w:b/>
          <w:bCs/>
        </w:rPr>
        <w:t xml:space="preserve">Comment B1:</w:t>
      </w:r>
      <w:r>
        <w:t xml:space="preserve"> </w:t>
      </w:r>
      <w:r>
        <w:t xml:space="preserve">It is not clear what EXACTLY the authors did and how</w:t>
      </w:r>
      <w:r>
        <w:t xml:space="preserve"> </w:t>
      </w:r>
      <w:r>
        <w:t xml:space="preserve">(step by step).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Section 2.8 now lists the executed procedure step by step. The</w:t>
      </w:r>
      <w:r>
        <w:t xml:space="preserve"> </w:t>
      </w:r>
      <w:r>
        <w:t xml:space="preserve">single experiment uses the actual MNIST dataset, one fixed CNN architecture,</w:t>
      </w:r>
      <w:r>
        <w:t xml:space="preserve"> </w:t>
      </w:r>
      <w:r>
        <w:t xml:space="preserve">20 clients, full participation, four fixed Byzantine clients, Dirichlet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partitioning, 20 rounds, three SGD mini-batches per client per</w:t>
      </w:r>
      <w:r>
        <w:t xml:space="preserve"> </w:t>
      </w:r>
      <w:r>
        <w:t xml:space="preserve">round, learning rate 0.05, seeds 42/43/44, and the same combined label-flip and</w:t>
      </w:r>
      <w:r>
        <w:t xml:space="preserve"> </w:t>
      </w:r>
      <w:r>
        <w:t xml:space="preserve">scaled-update attack for all defended and undefended methods. The exact result</w:t>
      </w:r>
      <w:r>
        <w:t xml:space="preserve"> </w:t>
      </w:r>
      <w:r>
        <w:t xml:space="preserve">artifact is</w:t>
      </w:r>
      <w:r>
        <w:t xml:space="preserve"> </w:t>
      </w:r>
      <w:r>
        <w:rPr>
          <w:rStyle w:val="VerbatimChar"/>
        </w:rPr>
        <w:t xml:space="preserve">results/unified_mnist_actual.json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Comment B2:</w:t>
      </w:r>
      <w:r>
        <w:t xml:space="preserve"> </w:t>
      </w:r>
      <w:r>
        <w:t xml:space="preserve">There is no point in throwing a lot of terms without being</w:t>
      </w:r>
      <w:r>
        <w:t xml:space="preserve"> </w:t>
      </w:r>
      <w:r>
        <w:t xml:space="preserve">specific on what you did exactly and how. Not generic information. SPECIFICALLY</w:t>
      </w:r>
      <w:r>
        <w:t xml:space="preserve"> </w:t>
      </w:r>
      <w:r>
        <w:t xml:space="preserve">in this work.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Generic and unsupported sections were removed. The revised</w:t>
      </w:r>
      <w:r>
        <w:t xml:space="preserve"> </w:t>
      </w:r>
      <w:r>
        <w:t xml:space="preserve">methodology defines every transformation, aggregator, statistical calculation,</w:t>
      </w:r>
      <w:r>
        <w:t xml:space="preserve"> </w:t>
      </w:r>
      <w:r>
        <w:t xml:space="preserve">and blockchain transaction used in this work. The Krum implementation excludes</w:t>
      </w:r>
      <w:r>
        <w:t xml:space="preserve"> </w:t>
      </w:r>
      <w:r>
        <w:t xml:space="preserve">self-distance and uses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other neighbors. The adaptive rule is stateful,</w:t>
      </w:r>
      <w:r>
        <w:t xml:space="preserve"> </w:t>
      </w:r>
      <w:r>
        <w:t xml:space="preserve">uses a 25% safety ceiling rather than the known 20% Byzantine fraction, and</w:t>
      </w:r>
      <w:r>
        <w:t xml:space="preserve"> </w:t>
      </w:r>
      <w:r>
        <w:t xml:space="preserve">updates its trim ratio from the observed robust outlier fraction. Blockchain</w:t>
      </w:r>
      <w:r>
        <w:t xml:space="preserve"> </w:t>
      </w:r>
      <w:r>
        <w:t xml:space="preserve">evidence comes from an actually deployed write-once Solidity contract on Ganache</w:t>
      </w:r>
      <w:r>
        <w:t xml:space="preserve"> </w:t>
      </w:r>
      <w:r>
        <w:t xml:space="preserve">and includes 420 successful transactions plus deployment. Client hashes, flags,</w:t>
      </w:r>
      <w:r>
        <w:t xml:space="preserve"> </w:t>
      </w:r>
      <w:r>
        <w:t xml:space="preserve">aggregate hashes, submitted counts, flagged counts, and trim counts are all</w:t>
      </w:r>
      <w:r>
        <w:t xml:space="preserve"> </w:t>
      </w:r>
      <w:r>
        <w:t xml:space="preserve">verified by read-back.</w:t>
      </w:r>
    </w:p>
    <w:p>
      <w:pPr>
        <w:pStyle w:val="BodyText"/>
        <w:sectPr w:rsidR="004C4824" w:rsidSect="004C4824">
          <w:headerReference w:type="default" r:id="rId8"/>
          <w:footerReference w:type="default" r:id="rId9"/>
          <w:type w:val="nextPage"/>
          <w:pgSz w:w="12240" w:h="15840" w:code="1"/>
          <w:pgMar w:top="1080" w:right="893" w:bottom="1440" w:left="893" w:header="720" w:footer="720" w:gutter="0"/>
          <w:cols w:space="360"/>
          <w:rtlGutter/>
          <w:docGrid w:linePitch="360"/>
        </w:sectPr>
        <w:jc w:val="center"/>
      </w:pPr>
      <w:r>
        <w:rPr>
          <w:b/>
          <w:bCs/>
        </w:rPr>
        <w:t xml:space="preserve">REVISED MANUSCRIPT FOLLOWS</w:t>
      </w:r>
    </w:p>
    <w:p>
      <w:pPr>
        <w:pStyle w:val="ETASRpapertitle"/>
        <w:jc w:val="left"/>
        <w:pageBreakBefore/>
      </w:pPr>
      <w:r>
        <w:rPr>
          <w:b/>
          <w:bCs/>
        </w:rPr>
        <w:t xml:space="preserve">Byzantine-Robust Federated Learning with Adaptive Aggregation</w:t>
      </w:r>
      <w:r>
        <w:rPr>
          <w:b/>
          <w:bCs/>
        </w:rPr>
        <w:t xml:space="preserve"> </w:t>
      </w:r>
      <w:r>
        <w:rPr>
          <w:b/>
          <w:bCs/>
        </w:rPr>
        <w:t xml:space="preserve">and Blockchain: A Reproducible Empirical Evaluation</w:t>
      </w:r>
    </w:p>
    <w:p>
      <w:pPr>
        <w:pStyle w:val="ETASRauthor"/>
        <w:jc w:val="left"/>
      </w:pPr>
      <w:r>
        <w:rPr>
          <w:b/>
          <w:bCs/>
        </w:rPr>
        <w:t xml:space="preserve">Rachmad Andri Atmoko</w:t>
      </w:r>
    </w:p>
    <w:p>
      <w:pPr>
        <w:pStyle w:val="ETASRaffiliation"/>
        <w:jc w:val="left"/>
      </w:pPr>
      <w:r>
        <w:t xml:space="preserve">Faculty of Vocational Studies, Universitas Brawijaya, Malang, Indonesia |</w:t>
      </w:r>
      <w:r>
        <w:t xml:space="preserve"> </w:t>
      </w:r>
      <w:r>
        <w:t xml:space="preserve">ra.atmoko@ub.ac.id</w:t>
      </w:r>
    </w:p>
    <w:p>
      <w:pPr>
        <w:pStyle w:val="ETASRauthor"/>
        <w:jc w:val="left"/>
      </w:pPr>
      <w:r>
        <w:rPr>
          <w:b/>
          <w:bCs/>
        </w:rPr>
        <w:t xml:space="preserve">Sholeh Hadi Pramono</w:t>
      </w:r>
    </w:p>
    <w:p>
      <w:pPr>
        <w:pStyle w:val="ETASRaffiliation"/>
        <w:jc w:val="left"/>
      </w:pPr>
      <w:r>
        <w:t xml:space="preserve">Electrical Engineering Department, Universitas Brawijaya, Malang, Indonesia |</w:t>
      </w:r>
      <w:r>
        <w:t xml:space="preserve"> </w:t>
      </w:r>
      <w:r>
        <w:t xml:space="preserve">sholehpramono@ub.ac.id (corresponding author)</w:t>
      </w:r>
    </w:p>
    <w:p>
      <w:pPr>
        <w:pStyle w:val="ETASRauthor"/>
        <w:jc w:val="left"/>
      </w:pPr>
      <w:r>
        <w:rPr>
          <w:b/>
          <w:bCs/>
        </w:rPr>
        <w:t xml:space="preserve">Muhammad Fauzan Edy Purnomo</w:t>
      </w:r>
    </w:p>
    <w:p>
      <w:pPr>
        <w:pStyle w:val="ETASRaffiliation"/>
        <w:jc w:val="left"/>
      </w:pPr>
      <w:r>
        <w:t xml:space="preserve">Electrical Engineering Department, Universitas Brawijaya, Malang, Indonesia |</w:t>
      </w:r>
      <w:r>
        <w:t xml:space="preserve"> </w:t>
      </w:r>
      <w:r>
        <w:t xml:space="preserve">mfauzanep@ub.ac.id</w:t>
      </w:r>
    </w:p>
    <w:p>
      <w:pPr>
        <w:pStyle w:val="ETASRauthor"/>
        <w:jc w:val="left"/>
      </w:pPr>
      <w:r>
        <w:rPr>
          <w:b/>
          <w:bCs/>
        </w:rPr>
        <w:t xml:space="preserve">Panca Mudjirahardjo</w:t>
      </w:r>
    </w:p>
    <w:p>
      <w:pPr>
        <w:pStyle w:val="ETASRaffiliation"/>
        <w:jc w:val="left"/>
      </w:pPr>
      <w:r>
        <w:t xml:space="preserve">Electrical Engineering Department, Universitas Brawijaya, Malang, Indonesia |</w:t>
      </w:r>
      <w:r>
        <w:t xml:space="preserve"> </w:t>
      </w:r>
      <w:r>
        <w:t xml:space="preserve">panca@ub.ac.id</w:t>
      </w:r>
    </w:p>
    <w:p>
      <w:pPr>
        <w:pStyle w:val="ETASRauthor"/>
        <w:jc w:val="left"/>
      </w:pPr>
      <w:r>
        <w:rPr>
          <w:b/>
          <w:bCs/>
        </w:rPr>
        <w:t xml:space="preserve">Mahdin Rohmatillah</w:t>
      </w:r>
    </w:p>
    <w:p>
      <w:pPr>
        <w:pStyle w:val="ETASRaffiliation"/>
        <w:jc w:val="left"/>
      </w:pPr>
      <w:r>
        <w:t xml:space="preserve">Electrical Engineering Department, Universitas Brawijaya, Malang, Indonesia |</w:t>
      </w:r>
      <w:r>
        <w:t xml:space="preserve"> </w:t>
      </w:r>
      <w:r>
        <w:t xml:space="preserve">mahdin94@ub.ac.id</w:t>
      </w:r>
    </w:p>
    <w:p>
      <w:pPr>
        <w:pStyle w:val="ETASRauthor"/>
        <w:jc w:val="left"/>
      </w:pPr>
      <w:r>
        <w:rPr>
          <w:b/>
          <w:bCs/>
        </w:rPr>
        <w:t xml:space="preserve">Cries Avian</w:t>
      </w:r>
    </w:p>
    <w:p>
      <w:pPr>
        <w:pStyle w:val="ETASRaffiliation"/>
        <w:jc w:val="left"/>
      </w:pPr>
      <w:r>
        <w:t xml:space="preserve">Electrical Engineering Department, Universitas Brawijaya, Malang, Indonesia |</w:t>
      </w:r>
      <w:r>
        <w:t xml:space="preserve"> </w:t>
      </w:r>
      <w:r>
        <w:t xml:space="preserve">cries.avian@ub.ac.id</w:t>
      </w:r>
    </w:p>
    <w:bookmarkEnd w:id="25"/>
    <w:bookmarkEnd w:id="26"/>
    <w:bookmarkStart w:id="27" w:name="abstract"/>
    <w:p>
      <w:pPr>
        <w:pStyle w:val="ETASRHeading5bold"/>
        <w:jc w:val="left"/>
      </w:pPr>
      <w:r>
        <w:t xml:space="preserve">Abstract</w:t>
      </w:r>
    </w:p>
    <w:p>
      <w:pPr>
        <w:pStyle w:val="ETASRabstract"/>
        <w:jc w:val="both"/>
      </w:pPr>
      <w:r>
        <w:t xml:space="preserve">Federated learning is vulnerable to Byzantine clients that transmit malicious</w:t>
      </w:r>
      <w:r>
        <w:t xml:space="preserve"> </w:t>
      </w:r>
      <w:r>
        <w:t xml:space="preserve">model updates. This study presents a reproducible comparison of FedAvg, Krum,</w:t>
      </w:r>
      <w:r>
        <w:t xml:space="preserve"> </w:t>
      </w:r>
      <w:r>
        <w:t xml:space="preserve">coordinate-wise TrimmedMean, and a distance–MAD adaptive trimmed mean</w:t>
      </w:r>
      <w:r>
        <w:t xml:space="preserve"> </w:t>
      </w:r>
      <w:r>
        <w:t xml:space="preserve">(MAD-ATMA), coupled to an Ethereum-compatible audit contract. All methods use</w:t>
      </w:r>
      <w:r>
        <w:t xml:space="preserve"> </w:t>
      </w:r>
      <w:r>
        <w:t xml:space="preserve">MNIST, 20 clients, four fixed Byzantine clients, Dirichlet(</w:t>
      </w:r>
      <m:oMath>
        <m:r>
          <m:t>α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non-IID partitions, full participation, 20 communication rounds, and seeds 42,</w:t>
      </w:r>
      <w:r>
        <w:t xml:space="preserve"> </w:t>
      </w:r>
      <w:r>
        <w:t xml:space="preserve">43, and 44. Byzantine clients train on cyclically shifted labels and multiply</w:t>
      </w:r>
      <w:r>
        <w:t xml:space="preserve"> </w:t>
      </w:r>
      <w:r>
        <w:t xml:space="preserve">their transmitted model delta by 5. Clean FedAvg reaches</w:t>
      </w:r>
      <w:r>
        <w:t xml:space="preserve"> </w:t>
      </w:r>
      <m:oMath>
        <m:r>
          <m:t>82.49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1.29</m:t>
        </m:r>
        <m:r>
          <m:rPr>
            <m:sty m:val="p"/>
          </m:rPr>
          <m:t>%</m:t>
        </m:r>
      </m:oMath>
      <w:r>
        <w:t xml:space="preserve"> </w:t>
      </w:r>
      <w:r>
        <w:t xml:space="preserve">final accuracy, whereas attacked FedAvg falls to</w:t>
      </w:r>
      <w:r>
        <w:t xml:space="preserve"> </w:t>
      </w:r>
      <m:oMath>
        <m:r>
          <m:t>22.36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2.81</m:t>
        </m:r>
        <m:r>
          <m:rPr>
            <m:sty m:val="p"/>
          </m:rPr>
          <m:t>%</m:t>
        </m:r>
      </m:oMath>
      <w:r>
        <w:t xml:space="preserve">. Krum reaches</w:t>
      </w:r>
      <w:r>
        <w:t xml:space="preserve"> </w:t>
      </w:r>
      <m:oMath>
        <m:r>
          <m:t>60.01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7.37</m:t>
        </m:r>
        <m:r>
          <m:rPr>
            <m:sty m:val="p"/>
          </m:rPr>
          <m:t>%</m:t>
        </m:r>
      </m:oMath>
      <w:r>
        <w:t xml:space="preserve">, TrimmedMean reaches</w:t>
      </w:r>
      <w:r>
        <w:t xml:space="preserve"> </w:t>
      </w:r>
      <m:oMath>
        <m:r>
          <m:t>78.23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1.51</m:t>
        </m:r>
        <m:r>
          <m:rPr>
            <m:sty m:val="p"/>
          </m:rPr>
          <m:t>%</m:t>
        </m:r>
      </m:oMath>
      <w:r>
        <w:t xml:space="preserve">, and MAD-ATMA reaches</w:t>
      </w:r>
      <w:r>
        <w:t xml:space="preserve"> </w:t>
      </w:r>
      <m:oMath>
        <m:r>
          <m:t>78.22</m:t>
        </m:r>
        <m:r>
          <m:rPr>
            <m:sty m:val="p"/>
          </m:rPr>
          <m:t>%</m:t>
        </m:r>
        <m:r>
          <m:rPr>
            <m:sty m:val="p"/>
          </m:rPr>
          <m:t>±</m:t>
        </m:r>
        <m:r>
          <m:t>1.98</m:t>
        </m:r>
        <m:r>
          <m:rPr>
            <m:sty m:val="p"/>
          </m:rPr>
          <m:t>%</m:t>
        </m:r>
      </m:oMath>
      <w:r>
        <w:t xml:space="preserve">. No significant</w:t>
      </w:r>
      <w:r>
        <w:t xml:space="preserve"> </w:t>
      </w:r>
      <w:r>
        <w:t xml:space="preserve">final-accuracy difference is detected between MAD-ATMA and TrimmedMean</w:t>
      </w:r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0.967</m:t>
        </m:r>
      </m:oMath>
      <w:r>
        <w:t xml:space="preserve">, three paired seeds). MAD-ATMA adapts its per-tail ratio within a</w:t>
      </w:r>
      <w:r>
        <w:t xml:space="preserve"> </w:t>
      </w:r>
      <w:r>
        <w:t xml:space="preserve">prespecified 5–25% safety interval and obtains 96.77% precision, 100%</w:t>
      </w:r>
      <w:r>
        <w:t xml:space="preserve"> </w:t>
      </w:r>
      <w:r>
        <w:t xml:space="preserve">recall, and 98.36% F1 for Byzantine-client flagging over 60 rounds. For one</w:t>
      </w:r>
      <w:r>
        <w:t xml:space="preserve"> </w:t>
      </w:r>
      <w:r>
        <w:t xml:space="preserve">audited run, a write-once Solidity contract records 400 client-update</w:t>
      </w:r>
      <w:r>
        <w:t xml:space="preserve"> </w:t>
      </w:r>
      <w:r>
        <w:t xml:space="preserve">commitments and 20 complete round summaries in 420 successful Ganache</w:t>
      </w:r>
      <w:r>
        <w:t xml:space="preserve"> </w:t>
      </w:r>
      <w:r>
        <w:t xml:space="preserve">transactions. All recorded fields pass contract read-back verification. The</w:t>
      </w:r>
      <w:r>
        <w:t xml:space="preserve"> </w:t>
      </w:r>
      <w:r>
        <w:t xml:space="preserve">results support robust aggregation for utility preservation while defining the</w:t>
      </w:r>
      <w:r>
        <w:t xml:space="preserve"> </w:t>
      </w:r>
      <w:r>
        <w:t xml:space="preserve">blockchain component as an audit mechanism rather than an</w:t>
      </w:r>
      <w:r>
        <w:t xml:space="preserve"> </w:t>
      </w:r>
      <w:r>
        <w:t xml:space="preserve">accuracy-improving component.</w:t>
      </w:r>
    </w:p>
    <w:p>
      <w:pPr>
        <w:pStyle w:val="ETASRkeywords"/>
        <w:sectPr w:rsidR="004C4824" w:rsidSect="004C4824">
          <w:headerReference w:type="default" r:id="rId8"/>
          <w:footerReference w:type="default" r:id="rId9"/>
          <w:type w:val="continuous"/>
          <w:pgSz w:w="12240" w:h="15840" w:code="1"/>
          <w:pgMar w:top="1080" w:right="893" w:bottom="1440" w:left="893" w:header="720" w:footer="720" w:gutter="0"/>
          <w:cols w:space="360"/>
          <w:rtlGutter/>
          <w:docGrid w:linePitch="360"/>
        </w:sectPr>
        <w:jc w:val="both"/>
      </w:pPr>
      <w:r>
        <w:rPr>
          <w:b/>
          <w:bCs/>
        </w:rPr>
        <w:t xml:space="preserve">Keywords:</w:t>
      </w:r>
      <w:r>
        <w:t xml:space="preserve"> </w:t>
      </w:r>
      <w:r>
        <w:t xml:space="preserve">federated learning, Byzantine robustness, Krum,</w:t>
      </w:r>
      <w:r>
        <w:t xml:space="preserve"> </w:t>
      </w:r>
      <w:r>
        <w:t xml:space="preserve">trimmed mean, adaptive aggregation, blockchain auditability</w:t>
      </w:r>
    </w:p>
    <w:bookmarkEnd w:id="27"/>
    <w:bookmarkStart w:id="28" w:name="introduction"/>
    <w:p>
      <w:pPr>
        <w:pStyle w:val="ETASRHeading1"/>
      </w:pPr>
      <w:r>
        <w:t xml:space="preserve">Introduction</w:t>
      </w:r>
    </w:p>
    <w:p>
      <w:pPr>
        <w:pStyle w:val="ETASRbodytext"/>
        <w:jc w:val="both"/>
      </w:pPr>
      <w:r>
        <w:t xml:space="preserve">Federated learning (FL) trains a shared model from decentralized client data by</w:t>
      </w:r>
      <w:r>
        <w:t xml:space="preserve"> </w:t>
      </w:r>
      <w:r>
        <w:t xml:space="preserve">aggregating locally computed updates </w:t>
      </w:r>
      <w:r>
        <w:t xml:space="preserve">. Data heterogeneity,</w:t>
      </w:r>
      <w:r>
        <w:t xml:space="preserve"> </w:t>
      </w:r>
      <w:r>
        <w:t xml:space="preserve">partial trust, and adversarial clients remain central open problems in</w:t>
      </w:r>
      <w:r>
        <w:t xml:space="preserve"> </w:t>
      </w:r>
      <w:r>
        <w:t xml:space="preserve">FL </w:t>
      </w:r>
      <w:r>
        <w:t xml:space="preserve">. A Byzantine client may submit an arbitrary update, so</w:t>
      </w:r>
      <w:r>
        <w:t xml:space="preserve"> </w:t>
      </w:r>
      <w:r>
        <w:t xml:space="preserve">ordinary weighted averaging can be driven far from the update supported by</w:t>
      </w:r>
      <w:r>
        <w:t xml:space="preserve"> </w:t>
      </w:r>
      <w:r>
        <w:t xml:space="preserve">honest clients. This problem is particularly difficult under non-independent</w:t>
      </w:r>
      <w:r>
        <w:t xml:space="preserve"> </w:t>
      </w:r>
      <w:r>
        <w:t xml:space="preserve">and identically distributed (non-IID) data because honest client updates may</w:t>
      </w:r>
      <w:r>
        <w:t xml:space="preserve"> </w:t>
      </w:r>
      <w:r>
        <w:t xml:space="preserve">already differ substantially.</w:t>
      </w:r>
    </w:p>
    <w:p>
      <w:pPr>
        <w:pStyle w:val="ETASRbodytext"/>
        <w:jc w:val="both"/>
      </w:pPr>
      <w:r>
        <w:t xml:space="preserve">Krum selects one update that is geometrically close to other updates and was</w:t>
      </w:r>
      <w:r>
        <w:t xml:space="preserve"> </w:t>
      </w:r>
      <w:r>
        <w:t xml:space="preserve">introduced as a Byzantine-resilient alternative to linear</w:t>
      </w:r>
      <w:r>
        <w:t xml:space="preserve"> </w:t>
      </w:r>
      <w:r>
        <w:t xml:space="preserve">aggregation </w:t>
      </w:r>
      <w:r>
        <w:t xml:space="preserve">. Coordinate-wise median and trimmed mean</w:t>
      </w:r>
      <w:r>
        <w:t xml:space="preserve"> </w:t>
      </w:r>
      <w:r>
        <w:t xml:space="preserve">estimators provide another family of robust methods with statistical</w:t>
      </w:r>
      <w:r>
        <w:t xml:space="preserve"> </w:t>
      </w:r>
      <w:r>
        <w:t xml:space="preserve">guarantees </w:t>
      </w:r>
      <w:r>
        <w:t xml:space="preserve">. These defenses have different behavior under non-IID</w:t>
      </w:r>
      <w:r>
        <w:t xml:space="preserve"> </w:t>
      </w:r>
      <w:r>
        <w:t xml:space="preserve">data: Krum retains one client update, whereas trimmed estimators combine</w:t>
      </w:r>
      <w:r>
        <w:t xml:space="preserve"> </w:t>
      </w:r>
      <w:r>
        <w:t xml:space="preserve">coordinate-level information from several clients. Their assumptions also</w:t>
      </w:r>
      <w:r>
        <w:t xml:space="preserve"> </w:t>
      </w:r>
      <w:r>
        <w:t xml:space="preserve">differ. Krum and static TrimmedMean require a Byzantine bound</w:t>
      </w:r>
      <w:r>
        <w:t xml:space="preserve"> </w:t>
      </w:r>
      <m:oMath>
        <m:r>
          <m:t>f</m:t>
        </m:r>
      </m:oMath>
      <w:r>
        <w:t xml:space="preserve">. Krum uses</w:t>
      </w:r>
      <w:r>
        <w:t xml:space="preserve"> </w:t>
      </w:r>
      <w:r>
        <w:t xml:space="preserve">that bound to define its neighbor count; TrimmedMean uses it to determine how</w:t>
      </w:r>
      <w:r>
        <w:t xml:space="preserve"> </w:t>
      </w:r>
      <w:r>
        <w:t xml:space="preserve">many values are removed from each coordinate tail.</w:t>
      </w:r>
    </w:p>
    <w:p>
      <w:pPr>
        <w:pStyle w:val="ETASRbodytext"/>
        <w:jc w:val="both"/>
      </w:pPr>
      <w:r>
        <w:t xml:space="preserve">Attack strategies extend beyond conspicuous large outliers. Baruch et</w:t>
      </w:r>
      <w:r>
        <w:t xml:space="preserve"> </w:t>
      </w:r>
      <w:r>
        <w:t xml:space="preserve">al. </w:t>
      </w:r>
      <w:r>
        <w:t xml:space="preserve"> </w:t>
      </w:r>
      <w:r>
        <w:t xml:space="preserve">showed that small distribution-aware perturbations can</w:t>
      </w:r>
      <w:r>
        <w:t xml:space="preserve"> </w:t>
      </w:r>
      <w:r>
        <w:t xml:space="preserve">evade several robust rules. Sun et al. </w:t>
      </w:r>
      <w:r>
        <w:t xml:space="preserve"> </w:t>
      </w:r>
      <w:r>
        <w:t xml:space="preserve">studied targeted backdoor</w:t>
      </w:r>
      <w:r>
        <w:t xml:space="preserve"> </w:t>
      </w:r>
      <w:r>
        <w:t xml:space="preserve">attacks in FL. The present experiment intentionally uses one transparent,</w:t>
      </w:r>
      <w:r>
        <w:t xml:space="preserve"> </w:t>
      </w:r>
      <w:r>
        <w:t xml:space="preserve">untargeted attack so that every transformation can be reproduced. Consequently,</w:t>
      </w:r>
      <w:r>
        <w:t xml:space="preserve"> </w:t>
      </w:r>
      <w:r>
        <w:t xml:space="preserve">the results measure robustness to the stated label-poisoning and delta-scaling</w:t>
      </w:r>
      <w:r>
        <w:t xml:space="preserve"> </w:t>
      </w:r>
      <w:r>
        <w:t xml:space="preserve">attack, not to arbitrary Byzantine behavior.</w:t>
      </w:r>
    </w:p>
    <w:p>
      <w:pPr>
        <w:pStyle w:val="ETASRbodytext"/>
        <w:jc w:val="both"/>
      </w:pPr>
      <w:r>
        <w:t xml:space="preserve">Blockchain has also been proposed as an audit and coordination layer for</w:t>
      </w:r>
      <w:r>
        <w:t xml:space="preserve"> </w:t>
      </w:r>
      <w:r>
        <w:t xml:space="preserve">FL </w:t>
      </w:r>
      <w:r>
        <w:t xml:space="preserve">. It cannot by itself determine whether an update is</w:t>
      </w:r>
      <w:r>
        <w:t xml:space="preserve"> </w:t>
      </w:r>
      <w:r>
        <w:t xml:space="preserve">malicious, but it can preserve update commitments and aggregation decisions</w:t>
      </w:r>
      <w:r>
        <w:t xml:space="preserve"> </w:t>
      </w:r>
      <w:r>
        <w:t xml:space="preserve">after an off-chain detector has produced them. This distinction is important:</w:t>
      </w:r>
      <w:r>
        <w:t xml:space="preserve"> </w:t>
      </w:r>
      <w:r>
        <w:t xml:space="preserve">auditability should not be presented as an improvement in model accuracy.</w:t>
      </w:r>
    </w:p>
    <w:p>
      <w:pPr>
        <w:pStyle w:val="ETASRbodytext"/>
        <w:jc w:val="both"/>
      </w:pPr>
      <w:r>
        <w:t xml:space="preserve">The name adaptive trimmed mean aggregation (ATMA) has also been used by Mukisa</w:t>
      </w:r>
      <w:r>
        <w:t xml:space="preserve"> </w:t>
      </w:r>
      <w:r>
        <w:t xml:space="preserve">et al. </w:t>
      </w:r>
      <w:r>
        <w:t xml:space="preserve"> </w:t>
      </w:r>
      <w:r>
        <w:t xml:space="preserve">for a variance-aware, layer-wise IDS framework with a</w:t>
      </w:r>
      <w:r>
        <w:t xml:space="preserve"> </w:t>
      </w:r>
      <w:r>
        <w:t xml:space="preserve">permissioned blockchain. The method evaluated here is not a reproduction of</w:t>
      </w:r>
      <w:r>
        <w:t xml:space="preserve"> </w:t>
      </w:r>
      <w:r>
        <w:t xml:space="preserve">that algorithm. To avoid conflating the two, this paper calls the implemented</w:t>
      </w:r>
      <w:r>
        <w:t xml:space="preserve"> </w:t>
      </w:r>
      <w:r>
        <w:t xml:space="preserve">rule MAD-ATMA: it detects client-level outliers using distances to the</w:t>
      </w:r>
      <w:r>
        <w:t xml:space="preserve"> </w:t>
      </w:r>
      <w:r>
        <w:t xml:space="preserve">coordinate median and a median-absolute-deviation (MAD) score, then smooths the</w:t>
      </w:r>
      <w:r>
        <w:t xml:space="preserve"> </w:t>
      </w:r>
      <w:r>
        <w:t xml:space="preserve">observed flagged fraction into a global per-tail trimming ratio. The comparison</w:t>
      </w:r>
      <w:r>
        <w:t xml:space="preserve"> </w:t>
      </w:r>
      <w:r>
        <w:t xml:space="preserve">with static TrimmedMean therefore evaluates this specific distance–MAD rule.</w:t>
      </w:r>
    </w:p>
    <w:p>
      <w:pPr>
        <w:pStyle w:val="ETASRbodytext"/>
        <w:jc w:val="both"/>
      </w:pPr>
      <w:r>
        <w:t xml:space="preserve">The contributions of this work are:</w:t>
      </w:r>
    </w:p>
    <w:p>
      <w:pPr>
        <w:pStyle w:val="ETASRbulletlist"/>
        <w:numPr>
          <w:ilvl w:val="0"/>
          <w:numId w:val="1001"/>
        </w:numPr>
      </w:pPr>
      <w:r>
        <w:t xml:space="preserve">a single controlled comparison of clean FedAvg, attacked FedAvg,</w:t>
      </w:r>
      <w:r>
        <w:t xml:space="preserve"> </w:t>
      </w:r>
      <w:r>
        <w:t xml:space="preserve">Krum, TrimmedMean, and MAD-ATMA under identical data, model, attack, and</w:t>
      </w:r>
      <w:r>
        <w:t xml:space="preserve"> </w:t>
      </w:r>
      <w:r>
        <w:t xml:space="preserve">optimization settings;</w:t>
      </w:r>
    </w:p>
    <w:p>
      <w:pPr>
        <w:pStyle w:val="ETASRbulletlist"/>
        <w:numPr>
          <w:ilvl w:val="0"/>
          <w:numId w:val="1001"/>
        </w:numPr>
      </w:pPr>
      <w:r>
        <w:t xml:space="preserve">a corrected Krum implementation and an explicitly defined adaptive</w:t>
      </w:r>
      <w:r>
        <w:t xml:space="preserve"> </w:t>
      </w:r>
      <w:r>
        <w:t xml:space="preserve">distance–MAD trimming rule that is distinguished from prior ATMA work;</w:t>
      </w:r>
    </w:p>
    <w:p>
      <w:pPr>
        <w:pStyle w:val="ETASRbulletlist"/>
        <w:numPr>
          <w:ilvl w:val="0"/>
          <w:numId w:val="1001"/>
        </w:numPr>
      </w:pPr>
      <w:r>
        <w:t xml:space="preserve">three-seed results with sample standard deviations and</w:t>
      </w:r>
      <w:r>
        <w:t xml:space="preserve"> </w:t>
      </w:r>
      <m:oMath>
        <m:r>
          <m:t>t</m:t>
        </m:r>
      </m:oMath>
      <w:r>
        <w:t xml:space="preserve">-distribution confidence intervals, with cautious interpretation due to</w:t>
      </w:r>
      <w:r>
        <w:t xml:space="preserve"> </w:t>
      </w:r>
      <w:r>
        <w:t xml:space="preserve">the small number of seeds;</w:t>
      </w:r>
    </w:p>
    <w:p>
      <w:pPr>
        <w:pStyle w:val="ETASRbulletlist"/>
        <w:numPr>
          <w:ilvl w:val="0"/>
          <w:numId w:val="1001"/>
        </w:numPr>
      </w:pPr>
      <w:r>
        <w:t xml:space="preserve">measured evidence from a write-once Solidity audit contract,</w:t>
      </w:r>
      <w:r>
        <w:t xml:space="preserve"> </w:t>
      </w:r>
      <w:r>
        <w:t xml:space="preserve">including transaction receipts, gas use, overwrite guards, and read-back of</w:t>
      </w:r>
      <w:r>
        <w:t xml:space="preserve"> </w:t>
      </w:r>
      <w:r>
        <w:t xml:space="preserve">all client and round-summary fields.</w:t>
      </w:r>
    </w:p>
    <w:bookmarkEnd w:id="28"/>
    <w:bookmarkStart w:id="39" w:name="methodology"/>
    <w:p>
      <w:pPr>
        <w:pStyle w:val="ETASRHeading1"/>
      </w:pPr>
      <w:r>
        <w:t xml:space="preserve">Methodology</w:t>
      </w:r>
    </w:p>
    <w:bookmarkStart w:id="30" w:name="experimental-protocol"/>
    <w:p>
      <w:pPr>
        <w:pStyle w:val="ETASRHeading2"/>
      </w:pPr>
      <w:r>
        <w:t xml:space="preserve">Experimental Protocol</w:t>
      </w:r>
    </w:p>
    <w:p>
      <w:pPr>
        <w:pStyle w:val="ETASRbodytext"/>
        <w:jc w:val="both"/>
      </w:pPr>
      <w:r>
        <w:t xml:space="preserve">Table </w:t>
      </w:r>
      <w:hyperlink w:anchor="tab:configuration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is the single source of truth for all accuracy</w:t>
      </w:r>
      <w:r>
        <w:t xml:space="preserve"> </w:t>
      </w:r>
      <w:r>
        <w:t xml:space="preserve">comparisons.</w:t>
      </w:r>
    </w:p>
    <w:bookmarkStart w:id="29" w:name="tab:configuration"/>
    <w:p>
      <w:pPr>
        <w:pStyle w:val="ETASRtablehead"/>
      </w:pPr>
      <w:r>
        <w:t xml:space="preserve">Unified Experimental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Unified Experimental Configura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ETASRtablecolhead"/>
              <w:jc w:val="both"/>
            </w:pPr>
            <w:r>
              <w:t xml:space="preserve">Parameter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Value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Dataset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MNIST, 60,000/10,000 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Model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CNN, 105,866 parameters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Clients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20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Clients per round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20 (full participation)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Byzantine clients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IDs 0–3 (20%)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Data partition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Dirichlet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Communication rounds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20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Local work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3 mini-batch SGD steps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Batch size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64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Optimizer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SGD without momentum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Learning rate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0.05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Attack scale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5.0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MAD-ATMA ratio bounds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0.05–0.25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Seeds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42, 43, 44</w:t>
            </w:r>
          </w:p>
        </w:tc>
      </w:tr>
    </w:tbl>
    <w:bookmarkEnd w:id="29"/>
    <w:p>
      <w:pPr>
        <w:pStyle w:val="ETASRbodytext"/>
        <w:jc w:val="both"/>
      </w:pPr>
      <w:r>
        <w:t xml:space="preserve">The model contains two convolutional layers with 16 and 32 channels, two</w:t>
      </w:r>
      <w:r>
        <w:t xml:space="preserve"> </w:t>
      </w:r>
      <w:r>
        <w:t xml:space="preserve">max-pooling layers, a 64-unit fully connected layer, and a ten-class output</w:t>
      </w:r>
      <w:r>
        <w:t xml:space="preserve"> </w:t>
      </w:r>
      <w:r>
        <w:t xml:space="preserve">layer. Inputs are normalized with the MNIST mean 0.1307 and standard deviation</w:t>
      </w:r>
      <w:r>
        <w:t xml:space="preserve"> </w:t>
      </w:r>
      <w:r>
        <w:t xml:space="preserve">0.3081. For each seed, class-specific training indices are divided among 20</w:t>
      </w:r>
      <w:r>
        <w:t xml:space="preserve"> </w:t>
      </w:r>
      <w:r>
        <w:t xml:space="preserve">clients with a Dirichlet distribution. The same partition and deterministic</w:t>
      </w:r>
      <w:r>
        <w:t xml:space="preserve"> </w:t>
      </w:r>
      <w:r>
        <w:t xml:space="preserve">mini-batch order are reused across methods for that seed. Client datasets range</w:t>
      </w:r>
      <w:r>
        <w:t xml:space="preserve"> </w:t>
      </w:r>
      <w:r>
        <w:t xml:space="preserve">from 909 to 6,632 images, so every client executes exactly three mini-batches</w:t>
      </w:r>
      <w:r>
        <w:t xml:space="preserve"> </w:t>
      </w:r>
      <w:r>
        <w:t xml:space="preserve">per round. The four Byzantine clients account for 26.60%, 19.11%, and</w:t>
      </w:r>
      <w:r>
        <w:t xml:space="preserve"> </w:t>
      </w:r>
      <w:r>
        <w:t xml:space="preserve">24.35% of training samples in seeds 42, 43, and 44, respectively. These</w:t>
      </w:r>
      <w:r>
        <w:t xml:space="preserve"> </w:t>
      </w:r>
      <w:r>
        <w:t xml:space="preserve">fractions differ from the fixed 20% client fraction because the partition is</w:t>
      </w:r>
      <w:r>
        <w:t xml:space="preserve"> </w:t>
      </w:r>
      <w:r>
        <w:t xml:space="preserve">unbalanced.</w:t>
      </w:r>
    </w:p>
    <w:bookmarkEnd w:id="30"/>
    <w:bookmarkStart w:id="31" w:name="threat-model"/>
    <w:p>
      <w:pPr>
        <w:pStyle w:val="ETASRHeading2"/>
      </w:pPr>
      <w:r>
        <w:t xml:space="preserve">Threat Model</w:t>
      </w:r>
    </w:p>
    <w:p>
      <w:pPr>
        <w:pStyle w:val="ETASRbodytext"/>
        <w:jc w:val="both"/>
      </w:pPr>
      <w:r>
        <w:t xml:space="preserve">Clients 0–3 are Byzantine in every attacked run. During local training, a</w:t>
      </w:r>
      <w:r>
        <w:t xml:space="preserve"> </w:t>
      </w:r>
      <w:r>
        <w:t xml:space="preserve">Byzantine client replaces each label by</w:t>
      </w:r>
    </w:p>
    <w:p>
      <w:pPr>
        <w:pStyle w:val="ETASRbodytext"/>
        <w:jc w:val="both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10</m:t>
          </m:r>
          <m:r>
            <m:rPr>
              <m:sty m:val="p"/>
            </m:rPr>
            <m:t>.</m:t>
          </m:r>
        </m:oMath>
      </m:oMathPara>
    </w:p>
    <w:p>
      <w:pPr>
        <w:pStyle w:val="ETASRbodytext"/>
        <w:jc w:val="both"/>
      </w:pPr>
      <w:r>
        <w:t xml:space="preserve">Let</w:t>
      </w:r>
      <w: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rPr>
            <m:sty m:val="p"/>
          </m:rPr>
          <m:t>−</m:t>
        </m:r>
        <m:sSup>
          <m:e>
            <m:r>
              <m:t>w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be the local model delta produced from global model</w:t>
      </w:r>
      <w:r>
        <w:t xml:space="preserve"> </w:t>
      </w:r>
      <m:oMath>
        <m:sSup>
          <m:e>
            <m:r>
              <m:t>w</m:t>
            </m:r>
          </m:e>
          <m:sup>
            <m:r>
              <m:t>t</m:t>
            </m:r>
          </m:sup>
        </m:sSup>
      </m:oMath>
      <w:r>
        <w:t xml:space="preserve">. A Byzantine client transmits</w:t>
      </w:r>
    </w:p>
    <w:p>
      <w:pPr>
        <w:pStyle w:val="ETASRbodytext"/>
        <w:jc w:val="both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rPr>
                      <m:sty m:val="p"/>
                    </m:rPr>
                    <m:t>Δ</m:t>
                  </m:r>
                </m:e>
              </m:acc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r>
            <m:t>5</m:t>
          </m:r>
          <m:sSubSup>
            <m:e>
              <m:r>
                <m:rPr>
                  <m:sty m:val="p"/>
                </m:rPr>
                <m:t>Δ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ETASRbodytext"/>
        <w:jc w:val="both"/>
      </w:pPr>
      <w:r>
        <w:t xml:space="preserve">thereby amplifying the update learned from poisoned labels. Honest clients</w:t>
      </w:r>
      <w:r>
        <w:t xml:space="preserve"> </w:t>
      </w:r>
      <w:r>
        <w:t xml:space="preserve">transmit</w:t>
      </w:r>
      <w: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i</m:t>
            </m:r>
          </m:sub>
          <m:sup>
            <m:r>
              <m:t>t</m:t>
            </m:r>
          </m:sup>
        </m:sSubSup>
      </m:oMath>
      <w:r>
        <w:t xml:space="preserve">. The attack is applied in every round. A clean FedAvg run</w:t>
      </w:r>
      <w:r>
        <w:t xml:space="preserve"> </w:t>
      </w:r>
      <w:r>
        <w:t xml:space="preserve">with identical optimization settings but no Byzantine behavior provides the</w:t>
      </w:r>
      <w:r>
        <w:t xml:space="preserve"> </w:t>
      </w:r>
      <w:r>
        <w:t xml:space="preserve">upper comparison baseline. The server, blockchain coordinator, and test set are</w:t>
      </w:r>
      <w:r>
        <w:t xml:space="preserve"> </w:t>
      </w:r>
      <w:r>
        <w:t xml:space="preserve">trusted. The experiment does not model a malicious server, coordinator</w:t>
      </w:r>
      <w:r>
        <w:t xml:space="preserve"> </w:t>
      </w:r>
      <w:r>
        <w:t xml:space="preserve">collusion, privacy leakage, network dropout, or client impersonation.</w:t>
      </w:r>
    </w:p>
    <w:bookmarkEnd w:id="31"/>
    <w:bookmarkStart w:id="32" w:name="fedavg"/>
    <w:p>
      <w:pPr>
        <w:pStyle w:val="ETASRHeading2"/>
      </w:pPr>
      <w:r>
        <w:t xml:space="preserve">FedAvg</w:t>
      </w:r>
    </w:p>
    <w:p>
      <w:pPr>
        <w:pStyle w:val="ETASRbodytext"/>
        <w:jc w:val="both"/>
      </w:pPr>
      <w:r>
        <w:t xml:space="preserve">For client sample counts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, FedAvg computes</w:t>
      </w:r>
    </w:p>
    <w:p>
      <w:pPr>
        <w:pStyle w:val="ETASRbodytext"/>
        <w:jc w:val="both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A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j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den>
              </m:f>
            </m:e>
          </m:nary>
          <m:sSubSup>
            <m:e>
              <m:r>
                <m:rPr>
                  <m:sty m:val="p"/>
                </m:rPr>
                <m:t>Δ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ETASRbodytext"/>
        <w:jc w:val="both"/>
      </w:pPr>
      <w:r>
        <w:t xml:space="preserve">Thus, attacked FedAvg is influenced by the seed-specific sample share of the</w:t>
      </w:r>
      <w:r>
        <w:t xml:space="preserve"> </w:t>
      </w:r>
      <w:r>
        <w:t xml:space="preserve">four Byzantine clients. Krum, TrimmedMean, and MAD-ATMA use their standard</w:t>
      </w:r>
      <w:r>
        <w:t xml:space="preserve"> </w:t>
      </w:r>
      <w:r>
        <w:t xml:space="preserve">unweighted vector rules; weighting them by</w:t>
      </w:r>
      <w:r>
        <w:t xml:space="preserve"> </w:t>
      </w:r>
      <m:oMath>
        <m:sSub>
          <m:e>
            <m: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would define different robust</w:t>
      </w:r>
      <w:r>
        <w:t xml:space="preserve"> </w:t>
      </w:r>
      <w:r>
        <w:t xml:space="preserve">aggregators and is not done here.</w:t>
      </w:r>
    </w:p>
    <w:bookmarkEnd w:id="32"/>
    <w:bookmarkStart w:id="33" w:name="krum"/>
    <w:p>
      <w:pPr>
        <w:pStyle w:val="ETASRHeading2"/>
      </w:pPr>
      <w:r>
        <w:t xml:space="preserve">Krum</w:t>
      </w:r>
    </w:p>
    <w:p>
      <w:pPr>
        <w:pStyle w:val="ETASRbodytext"/>
        <w:jc w:val="both"/>
      </w:pP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submitted updates and a Byzantine bound</w:t>
      </w:r>
      <w:r>
        <w:t xml:space="preserve"> </w:t>
      </w:r>
      <m:oMath>
        <m:r>
          <m:t>f</m:t>
        </m:r>
      </m:oMath>
      <w:r>
        <w:t xml:space="preserve">, the score of update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ETASRbodytext"/>
        <w:jc w:val="both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N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Sup>
            <m:e>
              <m:r>
                <m:rPr>
                  <m:sty m:val="p"/>
                </m:rPr>
                <m:t>Δ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rPr>
                  <m:sty m:val="p"/>
                </m:rPr>
                <m:t>Δ</m:t>
              </m:r>
            </m:e>
            <m:sub>
              <m:r>
                <m:t>j</m:t>
              </m:r>
            </m:sub>
            <m:sup>
              <m:r>
                <m:t>t</m:t>
              </m:r>
            </m:sup>
          </m:sSubSup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ETASRbodytext"/>
        <w:jc w:val="both"/>
      </w:pP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N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contains 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nearest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updates.</w:t>
      </w:r>
      <w:r>
        <w:t xml:space="preserve"> </w:t>
      </w:r>
      <w:r>
        <w:t xml:space="preserve">Self-distance is set to infinity before neighbor selection. Krum returns the</w:t>
      </w:r>
      <w:r>
        <w:t xml:space="preserve"> </w:t>
      </w:r>
      <w:r>
        <w:t xml:space="preserve">single update with minimum score. Here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4</m:t>
        </m:r>
      </m:oMath>
      <w:r>
        <w:t xml:space="preserve">, satisfying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  <m:r>
          <m:t>f</m:t>
        </m:r>
        <m:r>
          <m:rPr>
            <m:sty m:val="p"/>
          </m:rPr>
          <m:t>+</m:t>
        </m:r>
        <m:r>
          <m:t>3</m:t>
        </m:r>
      </m:oMath>
      <w:r>
        <w:t xml:space="preserve">. Flattening a</w:t>
      </w:r>
      <w:r>
        <w:t xml:space="preserve"> </w:t>
      </w:r>
      <m:oMath>
        <m:r>
          <m:t>d</m:t>
        </m:r>
      </m:oMath>
      <w:r>
        <w:t xml:space="preserve">-parameter update gives an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distance computation and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distance storage.</w:t>
      </w:r>
    </w:p>
    <w:bookmarkEnd w:id="33"/>
    <w:bookmarkStart w:id="34" w:name="static-trimmedmean"/>
    <w:p>
      <w:pPr>
        <w:pStyle w:val="ETASRHeading2"/>
      </w:pPr>
      <w:r>
        <w:t xml:space="preserve">Static TrimmedMean</w:t>
      </w:r>
    </w:p>
    <w:p>
      <w:pPr>
        <w:pStyle w:val="ETASRbodytext"/>
        <w:jc w:val="both"/>
      </w:pPr>
      <w:r>
        <w:t xml:space="preserve">For coordinate</w:t>
      </w:r>
      <w:r>
        <w:t xml:space="preserve"> </w:t>
      </w:r>
      <m:oMath>
        <m:r>
          <m:t>q</m:t>
        </m:r>
      </m:oMath>
      <w:r>
        <w:t xml:space="preserve">, the 20 scalar values</w:t>
      </w:r>
      <w:r>
        <w:t xml:space="preserve"> </w:t>
      </w:r>
      <m:oMath>
        <m:r>
          <m:rPr>
            <m:sty m:val="p"/>
          </m:rPr>
          <m:t>{</m:t>
        </m:r>
        <m:sSubSup>
          <m:e>
            <m:r>
              <m:rPr>
                <m:sty m:val="p"/>
              </m:rPr>
              <m:t>Δ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q</m:t>
            </m:r>
          </m:sub>
          <m:sup>
            <m:r>
              <m:t>t</m:t>
            </m:r>
          </m:sup>
        </m:sSubSup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20</m:t>
            </m:r>
          </m:sup>
        </m:sSubSup>
      </m:oMath>
      <w:r>
        <w:t xml:space="preserve"> </w:t>
      </w:r>
      <w:r>
        <w:t xml:space="preserve">are sorted. Static TrimmedMean removes four</w:t>
      </w:r>
      <w:r>
        <w:t xml:space="preserve"> </w:t>
      </w:r>
      <w:r>
        <w:t xml:space="preserve">values from each tail and averages the remaining 12:</w:t>
      </w:r>
    </w:p>
    <w:p>
      <w:pPr>
        <w:pStyle w:val="ETASRbodytext"/>
        <w:jc w:val="both"/>
      </w:pPr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,</m:t>
              </m:r>
              <m:r>
                <m:t>q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f</m:t>
              </m:r>
            </m:sup>
            <m:e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q</m:t>
                  </m:r>
                </m:sub>
                <m:sup>
                  <m:r>
                    <m:t>t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ETASRbodytext"/>
        <w:jc w:val="both"/>
      </w:pPr>
      <w:r>
        <w:t xml:space="preserve">This static baseline is explicitly supplied with the correct bound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Coordinate sorting has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time and combines values from 12 clients</w:t>
      </w:r>
      <w:r>
        <w:t xml:space="preserve"> </w:t>
      </w:r>
      <w:r>
        <w:t xml:space="preserve">at each coordinate.</w:t>
      </w:r>
    </w:p>
    <w:bookmarkEnd w:id="34"/>
    <w:bookmarkStart w:id="35" w:name="distancemad-adaptive-trimmed-mean"/>
    <w:p>
      <w:pPr>
        <w:pStyle w:val="ETASRHeading2"/>
      </w:pPr>
      <w:r>
        <w:t xml:space="preserve">Distance–MAD Adaptive Trimmed Mean</w:t>
      </w:r>
    </w:p>
    <w:p>
      <w:pPr>
        <w:pStyle w:val="ETASRbodytext"/>
        <w:jc w:val="both"/>
      </w:pPr>
      <w:r>
        <w:t xml:space="preserve">MAD-ATMA first flattens each update and computes the coordinate-wise median</w:t>
      </w:r>
      <w:r>
        <w:t xml:space="preserve"> </w:t>
      </w:r>
      <w:r>
        <w:t xml:space="preserve">vector</w:t>
      </w:r>
      <w:r>
        <w:t xml:space="preserve"> </w:t>
      </w:r>
      <m:oMath>
        <m:sSup>
          <m:e>
            <m:r>
              <m:t>m</m:t>
            </m:r>
          </m:e>
          <m:sup>
            <m:r>
              <m:t>t</m:t>
            </m:r>
          </m:sup>
        </m:sSup>
      </m:oMath>
      <w:r>
        <w:t xml:space="preserve">. Client distance is</w:t>
      </w:r>
    </w:p>
    <w:p>
      <w:pPr>
        <w:pStyle w:val="ETASRbodytext"/>
        <w:jc w:val="both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Sup>
            <m:e>
              <m:r>
                <m:rPr>
                  <m:sty m:val="p"/>
                </m:rPr>
                <m:t>Δ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−</m:t>
          </m:r>
          <m:sSup>
            <m:e>
              <m:r>
                <m:t>m</m:t>
              </m:r>
            </m:e>
            <m:sup>
              <m:r>
                <m:t>t</m:t>
              </m:r>
            </m:sup>
          </m:sSup>
          <m:sSub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ETASRbodytext"/>
        <w:jc w:val="both"/>
      </w:pPr>
      <w:r>
        <w:t xml:space="preserve">Using the median distance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t>t</m:t>
            </m:r>
          </m:sup>
        </m:sSup>
      </m:oMath>
      <w:r>
        <w:t xml:space="preserve"> </w:t>
      </w:r>
      <w:r>
        <w:t xml:space="preserve">and median absolute deviation</w:t>
      </w:r>
      <w:r>
        <w:t xml:space="preserve"> </w:t>
      </w:r>
      <m:oMath>
        <m:r>
          <m:rPr>
            <m:sty m:val="p"/>
          </m:rPr>
          <m:t>MAD</m:t>
        </m:r>
        <m:r>
          <m:rPr>
            <m:sty m:val="p"/>
          </m:rPr>
          <m:t>(</m:t>
        </m:r>
        <m:sSup>
          <m:e>
            <m:r>
              <m:t>d</m:t>
            </m:r>
          </m:e>
          <m:sup>
            <m:r>
              <m:t>t</m:t>
            </m:r>
          </m:sup>
        </m:sSup>
        <m:r>
          <m:rPr>
            <m:sty m:val="p"/>
          </m:rPr>
          <m:t>)</m:t>
        </m:r>
      </m:oMath>
      <w:r>
        <w:t xml:space="preserve">, the robust score is</w:t>
      </w:r>
    </w:p>
    <w:p>
      <w:pPr>
        <w:pStyle w:val="ETASRbodytext"/>
        <w:jc w:val="both"/>
      </w:pPr>
      <m:oMathPara>
        <m:oMathParaPr>
          <m:jc m:val="center"/>
        </m:oMathParaPr>
        <m:oMath>
          <m:sSubSup>
            <m:e>
              <m:r>
                <m:t>z</m:t>
              </m:r>
            </m:e>
            <m:sub>
              <m:r>
                <m:t>i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d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t>t</m:t>
                  </m:r>
                </m:sup>
              </m:sSup>
            </m:num>
            <m:den>
              <m:r>
                <m:t>1.4826</m:t>
              </m:r>
              <m:r>
                <m:rPr>
                  <m:sty m:val="p"/>
                </m:rPr>
                <m:t>MAD</m:t>
              </m:r>
              <m:r>
                <m:rPr>
                  <m:sty m:val="p"/>
                </m:rPr>
                <m:t>(</m:t>
              </m:r>
              <m:sSup>
                <m:e>
                  <m:r>
                    <m:t>d</m:t>
                  </m:r>
                </m:e>
                <m:sup>
                  <m:r>
                    <m:t>t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ϵ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ETASRbodytext"/>
        <w:jc w:val="both"/>
      </w:pPr>
      <w:r>
        <w:t xml:space="preserve">Clients with</w:t>
      </w:r>
      <w:r>
        <w:t xml:space="preserve"> </w:t>
      </w:r>
      <m:oMath>
        <m:sSubSup>
          <m:e>
            <m:r>
              <m:t>z</m:t>
            </m:r>
          </m:e>
          <m:sub>
            <m:r>
              <m:t>i</m:t>
            </m:r>
          </m:sub>
          <m:sup>
            <m:r>
              <m:t>t</m:t>
            </m:r>
          </m:sup>
        </m:sSubSup>
        <m:r>
          <m:rPr>
            <m:sty m:val="p"/>
          </m:rPr>
          <m:t>&gt;</m:t>
        </m:r>
        <m:r>
          <m:t>3.5</m:t>
        </m:r>
      </m:oMath>
      <w:r>
        <w:t xml:space="preserve"> </w:t>
      </w:r>
      <w:r>
        <w:t xml:space="preserve">are flagged. If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is the flagged fraction,</w:t>
      </w:r>
      <w:r>
        <w:t xml:space="preserve"> </w:t>
      </w:r>
      <w:r>
        <w:t xml:space="preserve">the per-tail trim ratio is updated by</w:t>
      </w:r>
    </w:p>
    <w:p>
      <w:pPr>
        <w:pStyle w:val="ETASRbodytext"/>
        <w:jc w:val="bot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r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η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clip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p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0.05</m:t>
                  </m:r>
                  <m:r>
                    <m:rPr>
                      <m:sty m:val="p"/>
                    </m:rPr>
                    <m:t>,</m:t>
                  </m:r>
                  <m:r>
                    <m:t>0.25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  <m:r>
                <m:t>0.05</m:t>
              </m:r>
              <m:r>
                <m:rPr>
                  <m:sty m:val="p"/>
                </m:rPr>
                <m:t>,</m:t>
              </m:r>
              <m:r>
                <m:t>0.25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ETASRbodytext"/>
        <w:jc w:val="bot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0.50</m:t>
        </m:r>
      </m:oMath>
      <w:r>
        <w:t xml:space="preserve">. MAD-ATMA then applies coordinate-wise trimmed</w:t>
      </w:r>
      <w:r>
        <w:t xml:space="preserve"> </w:t>
      </w:r>
      <w:r>
        <w:t xml:space="preserve">mean with</w:t>
      </w:r>
      <w:r>
        <w:t xml:space="preserve"> </w:t>
      </w:r>
      <m:oMath>
        <m:sSub>
          <m:e>
            <m:r>
              <m:t>k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round</m:t>
        </m:r>
        <m:r>
          <m:rPr>
            <m:sty m:val="p"/>
          </m:rPr>
          <m:t>(</m:t>
        </m:r>
        <m:r>
          <m:t>N</m:t>
        </m:r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values removed from each tail. The</w:t>
      </w:r>
      <w:r>
        <w:t xml:space="preserve"> </w:t>
      </w:r>
      <w:r>
        <w:t xml:space="preserve">25% ceiling is a prespecified safety bound and is not set to the experiment’s</w:t>
      </w:r>
      <w:r>
        <w:t xml:space="preserve"> </w:t>
      </w:r>
      <w:r>
        <w:t xml:space="preserve">known 20% Byzantine fraction. The detector adds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work before the same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d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coordinate sorting used by TrimmedMean. Flags are diagnostic:</w:t>
      </w:r>
      <w:r>
        <w:t xml:space="preserve"> </w:t>
      </w:r>
      <w:r>
        <w:t xml:space="preserve">flagged vectors remain in the coordinate pool, while extreme coordinate values</w:t>
      </w:r>
      <w:r>
        <w:t xml:space="preserve"> </w:t>
      </w:r>
      <w:r>
        <w:t xml:space="preserve">are removed by trimming.</w:t>
      </w:r>
    </w:p>
    <w:bookmarkEnd w:id="35"/>
    <w:bookmarkStart w:id="36" w:name="blockchain-audit-contract"/>
    <w:p>
      <w:pPr>
        <w:pStyle w:val="ETASRHeading2"/>
      </w:pPr>
      <w:r>
        <w:t xml:space="preserve">Blockchain Audit Contract</w:t>
      </w:r>
    </w:p>
    <w:p>
      <w:pPr>
        <w:pStyle w:val="ETASRbodytext"/>
        <w:jc w:val="both"/>
      </w:pPr>
      <w:r>
        <w:t xml:space="preserve">The Solidity contract stores an update-hash mapping indexed by round and</w:t>
      </w:r>
      <w:r>
        <w:t xml:space="preserve"> </w:t>
      </w:r>
      <w:r>
        <w:t xml:space="preserve">client, the corresponding anomaly flag, and a round summary containing the</w:t>
      </w:r>
      <w:r>
        <w:t xml:space="preserve"> </w:t>
      </w:r>
      <w:r>
        <w:t xml:space="preserve">aggregate hash, submitted count, flagged count, trim count, and timestamp.</w:t>
      </w:r>
      <w:r>
        <w:t xml:space="preserve"> </w:t>
      </w:r>
      <w:r>
        <w:t xml:space="preserve">Boolean existence mappings make every round–client slot and every round</w:t>
      </w:r>
      <w:r>
        <w:t xml:space="preserve"> </w:t>
      </w:r>
      <w:r>
        <w:t xml:space="preserve">summary write-once: duplicate writes revert. The coordinator submits SHA-256</w:t>
      </w:r>
      <w:r>
        <w:t xml:space="preserve"> </w:t>
      </w:r>
      <w:r>
        <w:t xml:space="preserve">commitments; model tensors are not stored on-chain. The contract was compiled</w:t>
      </w:r>
      <w:r>
        <w:t xml:space="preserve"> </w:t>
      </w:r>
      <w:r>
        <w:t xml:space="preserve">with Solidity 0.8.19 and deployed to Ganache chain 1337. Blockchain logging was</w:t>
      </w:r>
      <w:r>
        <w:t xml:space="preserve"> </w:t>
      </w:r>
      <w:r>
        <w:t xml:space="preserve">enabled for MAD-ATMA with seed 42. Accuracy comparisons do not use blockchain</w:t>
      </w:r>
      <w:r>
        <w:t xml:space="preserve"> </w:t>
      </w:r>
      <w:r>
        <w:t xml:space="preserve">state and are therefore not attributed to blockchain.</w:t>
      </w:r>
    </w:p>
    <w:p>
      <w:pPr>
        <w:pStyle w:val="ETASRbodytext"/>
        <w:jc w:val="both"/>
      </w:pPr>
      <w:r>
        <w:t xml:space="preserve">After each successful transaction, the experiment reads the client commitment,</w:t>
      </w:r>
      <w:r>
        <w:t xml:space="preserve"> </w:t>
      </w:r>
      <w:r>
        <w:t xml:space="preserve">flag, and existence bit from the contract. After finalization, it reads the</w:t>
      </w:r>
      <w:r>
        <w:t xml:space="preserve"> </w:t>
      </w:r>
      <w:r>
        <w:t xml:space="preserve">aggregate commitment, submitted count, flagged count, trim count, timestamp,</w:t>
      </w:r>
      <w:r>
        <w:t xml:space="preserve"> </w:t>
      </w:r>
      <w:r>
        <w:t xml:space="preserve">and finalized bit. Local calls that attempt to overwrite an existing client</w:t>
      </w:r>
      <w:r>
        <w:t xml:space="preserve"> </w:t>
      </w:r>
      <w:r>
        <w:t xml:space="preserve">record or finalized round are required to revert. These checks establish</w:t>
      </w:r>
      <w:r>
        <w:t xml:space="preserve"> </w:t>
      </w:r>
      <w:r>
        <w:t xml:space="preserve">write-once behavior for this contract under the trusted-coordinator assumption;</w:t>
      </w:r>
      <w:r>
        <w:t xml:space="preserve"> </w:t>
      </w:r>
      <w:r>
        <w:t xml:space="preserve">they do not establish decentralized consensus or prevent the coordinator from</w:t>
      </w:r>
      <w:r>
        <w:t xml:space="preserve"> </w:t>
      </w:r>
      <w:r>
        <w:t xml:space="preserve">submitting a false value initially.</w:t>
      </w:r>
    </w:p>
    <w:bookmarkEnd w:id="36"/>
    <w:bookmarkStart w:id="37" w:name="executed-procedure"/>
    <w:p>
      <w:pPr>
        <w:pStyle w:val="ETASRHeading2"/>
      </w:pPr>
      <w:r>
        <w:t xml:space="preserve">Executed Procedure</w:t>
      </w:r>
    </w:p>
    <w:p>
      <w:pPr>
        <w:pStyle w:val="ETASRbodytext"/>
        <w:jc w:val="both"/>
      </w:pPr>
      <w:r>
        <w:t xml:space="preserve">For each seed and method, the implementation executes:</w:t>
      </w:r>
    </w:p>
    <w:p>
      <w:pPr>
        <w:pStyle w:val="ETASRbulletlist"/>
        <w:numPr>
          <w:ilvl w:val="0"/>
          <w:numId w:val="1002"/>
        </w:numPr>
      </w:pPr>
      <w:r>
        <w:t xml:space="preserve">set Python, NumPy, PyTorch, and CUDA seeds;</w:t>
      </w:r>
    </w:p>
    <w:p>
      <w:pPr>
        <w:pStyle w:val="ETASRbulletlist"/>
        <w:numPr>
          <w:ilvl w:val="0"/>
          <w:numId w:val="1002"/>
        </w:numPr>
      </w:pPr>
      <w:r>
        <w:t xml:space="preserve">load and normalize MNIST;</w:t>
      </w:r>
    </w:p>
    <w:p>
      <w:pPr>
        <w:pStyle w:val="ETASRbulletlist"/>
        <w:numPr>
          <w:ilvl w:val="0"/>
          <w:numId w:val="1002"/>
        </w:numPr>
      </w:pPr>
      <w:r>
        <w:t xml:space="preserve">create the seed-specific Dirichlet partition;</w:t>
      </w:r>
    </w:p>
    <w:p>
      <w:pPr>
        <w:pStyle w:val="ETASRbulletlist"/>
        <w:numPr>
          <w:ilvl w:val="0"/>
          <w:numId w:val="1002"/>
        </w:numPr>
      </w:pPr>
      <w:r>
        <w:t xml:space="preserve">initialize the same CNN architecture;</w:t>
      </w:r>
    </w:p>
    <w:p>
      <w:pPr>
        <w:pStyle w:val="ETASRbulletlist"/>
        <w:numPr>
          <w:ilvl w:val="0"/>
          <w:numId w:val="1002"/>
        </w:numPr>
      </w:pPr>
      <w:r>
        <w:t xml:space="preserve">copy the global model to each of the 20 clients;</w:t>
      </w:r>
    </w:p>
    <w:p>
      <w:pPr>
        <w:pStyle w:val="ETASRbulletlist"/>
        <w:numPr>
          <w:ilvl w:val="0"/>
          <w:numId w:val="1002"/>
        </w:numPr>
      </w:pPr>
      <w:r>
        <w:t xml:space="preserve">perform three deterministic mini-batch SGD steps;</w:t>
      </w:r>
    </w:p>
    <w:p>
      <w:pPr>
        <w:pStyle w:val="ETASRbulletlist"/>
        <w:numPr>
          <w:ilvl w:val="0"/>
          <w:numId w:val="1002"/>
        </w:numPr>
      </w:pPr>
      <w:r>
        <w:t xml:space="preserve">poison labels and scale deltas for clients 0–3 in attacked runs;</w:t>
      </w:r>
    </w:p>
    <w:p>
      <w:pPr>
        <w:pStyle w:val="ETASRbulletlist"/>
        <w:numPr>
          <w:ilvl w:val="0"/>
          <w:numId w:val="1002"/>
        </w:numPr>
      </w:pPr>
      <w:r>
        <w:t xml:space="preserve">aggregate all 20 deltas using the selected method;</w:t>
      </w:r>
    </w:p>
    <w:p>
      <w:pPr>
        <w:pStyle w:val="ETASRbulletlist"/>
        <w:numPr>
          <w:ilvl w:val="0"/>
          <w:numId w:val="1002"/>
        </w:numPr>
      </w:pPr>
      <w:r>
        <w:t xml:space="preserve">update and evaluate the global model on all 10,000 test images;</w:t>
      </w:r>
    </w:p>
    <w:p>
      <w:pPr>
        <w:pStyle w:val="ETASRbulletlist"/>
        <w:numPr>
          <w:ilvl w:val="0"/>
          <w:numId w:val="1002"/>
        </w:numPr>
      </w:pPr>
      <w:r>
        <w:t xml:space="preserve">for the audited MAD-ATMA run, submit all update hashes and the complete</w:t>
      </w:r>
      <w:r>
        <w:t xml:space="preserve"> </w:t>
      </w:r>
      <w:r>
        <w:t xml:space="preserve">round summary, wait for receipts, and read every stored field back;</w:t>
      </w:r>
    </w:p>
    <w:p>
      <w:pPr>
        <w:pStyle w:val="ETASRbulletlist"/>
        <w:numPr>
          <w:ilvl w:val="0"/>
          <w:numId w:val="1002"/>
        </w:numPr>
      </w:pPr>
      <w:r>
        <w:t xml:space="preserve">serialize per-round metrics, metadata, receipts, and summaries to</w:t>
      </w:r>
      <w:r>
        <w:t xml:space="preserve"> </w:t>
      </w:r>
      <w:r>
        <w:rPr>
          <w:rStyle w:val="VerbatimChar"/>
        </w:rPr>
        <w:t xml:space="preserve">results/unified_mnist_actual.json</w:t>
      </w:r>
      <w:r>
        <w:t xml:space="preserve">.</w:t>
      </w:r>
    </w:p>
    <w:bookmarkEnd w:id="37"/>
    <w:bookmarkStart w:id="38" w:name="statistics"/>
    <w:p>
      <w:pPr>
        <w:pStyle w:val="ETASRHeading2"/>
      </w:pPr>
      <w:r>
        <w:t xml:space="preserve">Statistics</w:t>
      </w:r>
    </w:p>
    <w:p>
      <w:pPr>
        <w:pStyle w:val="ETASRbodytext"/>
        <w:jc w:val="both"/>
      </w:pPr>
      <w:r>
        <w:t xml:space="preserve">Final accuracy is summarized across three seeds with the sample standard</w:t>
      </w:r>
      <w:r>
        <w:t xml:space="preserve"> </w:t>
      </w:r>
      <w:r>
        <w:t xml:space="preserve">deviation. The 95% confidence interval uses Student’s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 with</w:t>
      </w:r>
      <w:r>
        <w:t xml:space="preserve"> </w:t>
      </w:r>
      <w:r>
        <w:t xml:space="preserve">two degrees of freedom. Paired, two-sided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tests use seed-matched final</w:t>
      </w:r>
      <w:r>
        <w:t xml:space="preserve"> </w:t>
      </w:r>
      <w:r>
        <w:t xml:space="preserve">accuracies. Because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inferential results are interpreted as supporting</w:t>
      </w:r>
      <w:r>
        <w:t xml:space="preserve"> </w:t>
      </w:r>
      <w:r>
        <w:t xml:space="preserve">evidence rather than broad population estimates. In particular, failure to</w:t>
      </w:r>
      <w:r>
        <w:t xml:space="preserve"> </w:t>
      </w:r>
      <w:r>
        <w:t xml:space="preserve">reject a difference is not treated as proof of statistical equivalence.</w:t>
      </w:r>
    </w:p>
    <w:bookmarkEnd w:id="38"/>
    <w:bookmarkEnd w:id="39"/>
    <w:bookmarkStart w:id="52" w:name="results"/>
    <w:p>
      <w:pPr>
        <w:pStyle w:val="ETASRHeading1"/>
      </w:pPr>
      <w:r>
        <w:t xml:space="preserve">Results</w:t>
      </w:r>
    </w:p>
    <w:bookmarkStart w:id="40" w:name="tab:actual_results"/>
    <w:p>
      <w:pPr>
        <w:pStyle w:val="ETASRtablehead"/>
      </w:pPr>
      <w:r>
        <w:t xml:space="preserve">Final MNIST Accuracy Across Three Seeds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l MNIST Accuracy Across Three Seed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ETASRtablecolhead"/>
              <w:jc w:val="both"/>
            </w:pPr>
            <w:r>
              <w:t xml:space="preserve">Method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Mean (%)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SD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95% CI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FedAvg (clean)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82.49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1.29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[79.28, 85.69]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FedAvg (attack)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22.36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2.81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[15.39, 29.33]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Krum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60.01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7.37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[41.71, 78.32]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TrimmedMean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78.23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1.51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[74.47, 81.99]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MAD-ATMA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78.22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1.98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[73.29, 83.14]</w:t>
            </w:r>
          </w:p>
        </w:tc>
      </w:tr>
    </w:tbl>
    <w:bookmarkEnd w:id="40"/>
    <w:p>
      <w:pPr>
        <w:pStyle w:val="ETASRbodytext"/>
        <w:jc w:val="both"/>
      </w:pPr>
      <w:r>
        <w:t xml:space="preserve">The attack reduces FedAvg from 82.49% to 22.36%, a mean decrease of 60.12</w:t>
      </w:r>
      <w:r>
        <w:t xml:space="preserve"> </w:t>
      </w:r>
      <w:r>
        <w:t xml:space="preserve">percentage points. Krum improves attacked accuracy by 37.65 points,</w:t>
      </w:r>
      <w:r>
        <w:t xml:space="preserve"> </w:t>
      </w:r>
      <w:r>
        <w:t xml:space="preserve">TrimmedMean by 55.87 points, and MAD-ATMA by 55.85 points. Seed-paired tests give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0.018</m:t>
        </m:r>
      </m:oMath>
      <w:r>
        <w:t xml:space="preserve"> </w:t>
      </w:r>
      <w:r>
        <w:t xml:space="preserve">for Krum versus attacked FedAvg,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0.0019</m:t>
        </m:r>
      </m:oMath>
      <w:r>
        <w:t xml:space="preserve"> </w:t>
      </w:r>
      <w:r>
        <w:t xml:space="preserve">for TrimmedMean,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0.0024</m:t>
        </m:r>
      </m:oMath>
      <w:r>
        <w:t xml:space="preserve"> </w:t>
      </w:r>
      <w:r>
        <w:t xml:space="preserve">for MAD-ATMA. These values should be read cautiously because only</w:t>
      </w:r>
      <w:r>
        <w:t xml:space="preserve"> </w:t>
      </w:r>
      <w:r>
        <w:t xml:space="preserve">three seeds were evaluated and the intervals are correspondingly wide.</w:t>
      </w:r>
    </w:p>
    <w:bookmarkStart w:id="44" w:name="fig:convergence"/>
    <w:p>
      <w:pPr>
        <w:pStyle w:val="CaptionedFigure"/>
      </w:pPr>
      <w:r>
        <w:drawing>
          <wp:inline>
            <wp:extent cx="2880360" cy="220344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gure1_convergence_actual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203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ETASRfigurecaption"/>
      </w:pPr>
      <w:r>
        <w:t xml:space="preserve">Mean test accuracy across seeds 42, 43, and 44. Shaded regions show</w:t>
      </w:r>
      <w:r>
        <w:t xml:space="preserve"> </w:t>
      </w:r>
      <w:r>
        <w:t xml:space="preserve">one sample standard deviation. Every method uses the configuration in</w:t>
      </w:r>
      <w:r>
        <w:t xml:space="preserve"> </w:t>
      </w:r>
      <w:r>
        <w:t xml:space="preserve">Table </w:t>
      </w:r>
      <w:hyperlink w:anchor="tab:configuration">
        <w:r>
          <w:rPr>
            <w:rStyle w:val="Hyperlink"/>
          </w:rPr>
          <w:t xml:space="preserve">1</w:t>
        </w:r>
      </w:hyperlink>
      <w:r>
        <w:t xml:space="preserve">.</w:t>
      </w:r>
    </w:p>
    <w:bookmarkEnd w:id="44"/>
    <w:p>
      <w:pPr>
        <w:pStyle w:val="ETASRbodytext"/>
        <w:jc w:val="both"/>
      </w:pPr>
      <w:r>
        <w:t xml:space="preserve">Figure </w:t>
      </w:r>
      <w:hyperlink w:anchor="fig:convergence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that clean FedAvg converges fastest. Attacked</w:t>
      </w:r>
      <w:r>
        <w:t xml:space="preserve"> </w:t>
      </w:r>
      <w:r>
        <w:t xml:space="preserve">FedAvg remains unstable and low. Krum avoids malicious clients but learns more</w:t>
      </w:r>
      <w:r>
        <w:t xml:space="preserve"> </w:t>
      </w:r>
      <w:r>
        <w:t xml:space="preserve">slowly because each round retains only one client update. TrimmedMean and</w:t>
      </w:r>
      <w:r>
        <w:t xml:space="preserve"> </w:t>
      </w:r>
      <w:r>
        <w:t xml:space="preserve">MAD-ATMA combine coordinate information from several updates and finish close</w:t>
      </w:r>
      <w:r>
        <w:t xml:space="preserve"> </w:t>
      </w:r>
      <w:r>
        <w:t xml:space="preserve">to the clean baseline.</w:t>
      </w:r>
    </w:p>
    <w:bookmarkStart w:id="48" w:name="fig:final_accuracy"/>
    <w:p>
      <w:pPr>
        <w:pStyle w:val="CaptionedFigure"/>
      </w:pPr>
      <w:r>
        <w:drawing>
          <wp:inline>
            <wp:extent cx="2880360" cy="211709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ure2_final_accuracy_actual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211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ETASRfigurecaption"/>
      </w:pPr>
      <w:r>
        <w:t xml:space="preserve">Final accuracy at round 20. Error bars are 95% confidence intervals</w:t>
      </w:r>
      <w:r>
        <w:t xml:space="preserve"> </w:t>
      </w:r>
      <w:r>
        <w:t xml:space="preserve">computed with Student’s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 for three seeds.</w:t>
      </w:r>
    </w:p>
    <w:bookmarkEnd w:id="48"/>
    <w:p>
      <w:pPr>
        <w:pStyle w:val="ETASRbodytext"/>
        <w:jc w:val="both"/>
      </w:pPr>
      <w:r>
        <w:t xml:space="preserve">MAD-ATMA and TrimmedMean differ by only</w:t>
      </w:r>
      <w:r>
        <w:t xml:space="preserve"> </w:t>
      </w:r>
      <m:oMath>
        <m:r>
          <m:rPr>
            <m:sty m:val="p"/>
          </m:rPr>
          <m:t>−</m:t>
        </m:r>
        <m:r>
          <m:t>0.01</m:t>
        </m:r>
      </m:oMath>
      <w:r>
        <w:t xml:space="preserve"> </w:t>
      </w:r>
      <w:r>
        <w:t xml:space="preserve">percentage points on average,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0.967</m:t>
        </m:r>
      </m:oMath>
      <w:r>
        <w:t xml:space="preserve">. Thus, no significant final-accuracy difference is detected;</w:t>
      </w:r>
      <w:r>
        <w:t xml:space="preserve"> </w:t>
      </w:r>
      <w:r>
        <w:t xml:space="preserve">this is not an equivalence test and does not prove that the methods are</w:t>
      </w:r>
      <w:r>
        <w:t xml:space="preserve"> </w:t>
      </w:r>
      <w:r>
        <w:t xml:space="preserve">identical. MAD-ATMA starts at 0.10, moves to approximately 0.15 after the first</w:t>
      </w:r>
      <w:r>
        <w:t xml:space="preserve"> </w:t>
      </w:r>
      <w:r>
        <w:t xml:space="preserve">round, and reaches final ratios of 0.213, 0.238, and 0.200 for seeds 42, 43, and</w:t>
      </w:r>
      <w:r>
        <w:t xml:space="preserve"> </w:t>
      </w:r>
      <w:r>
        <w:t xml:space="preserve">44. The observed range across all rounds is 0.150–0.238, demonstrating that</w:t>
      </w:r>
      <w:r>
        <w:t xml:space="preserve"> </w:t>
      </w:r>
      <w:r>
        <w:t xml:space="preserve">the rule is not fixed at the known 20% Byzantine fraction.</w:t>
      </w:r>
    </w:p>
    <w:bookmarkStart w:id="49" w:name="detection-and-krum-selection"/>
    <w:p>
      <w:pPr>
        <w:pStyle w:val="ETASRHeading2"/>
      </w:pPr>
      <w:r>
        <w:t xml:space="preserve">Detection and Krum Selection</w:t>
      </w:r>
    </w:p>
    <w:p>
      <w:pPr>
        <w:pStyle w:val="ETASRbodytext"/>
        <w:jc w:val="both"/>
      </w:pPr>
      <w:r>
        <w:t xml:space="preserve">Across 60 MAD-ATMA rounds, there are 240 Byzantine client-round instances and</w:t>
      </w:r>
      <w:r>
        <w:t xml:space="preserve"> </w:t>
      </w:r>
      <w:r>
        <w:t xml:space="preserve">960 honest instances. MAD-ATMA produces 240 true positives, eight false</w:t>
      </w:r>
      <w:r>
        <w:t xml:space="preserve"> </w:t>
      </w:r>
      <w:r>
        <w:t xml:space="preserve">positives, no false negatives, and 952 true negatives. Precision is 96.77%,</w:t>
      </w:r>
      <w:r>
        <w:t xml:space="preserve"> </w:t>
      </w:r>
      <w:r>
        <w:t xml:space="preserve">recall is 100%, and F1 is 98.36%. The number of flags per round ranges from</w:t>
      </w:r>
      <w:r>
        <w:t xml:space="preserve"> </w:t>
      </w:r>
      <w:r>
        <w:t xml:space="preserve">four to six. The eight false positives explain why the adaptive ratio sometimes</w:t>
      </w:r>
      <w:r>
        <w:t xml:space="preserve"> </w:t>
      </w:r>
      <w:r>
        <w:t xml:space="preserve">rises above 0.20. These metrics concern the explicit attack used here and</w:t>
      </w:r>
      <w:r>
        <w:t xml:space="preserve"> </w:t>
      </w:r>
      <w:r>
        <w:t xml:space="preserve">should not be generalized to stealthier or adaptive attacks.</w:t>
      </w:r>
    </w:p>
    <w:p>
      <w:pPr>
        <w:pStyle w:val="ETASRbodytext"/>
        <w:jc w:val="both"/>
      </w:pPr>
      <w:r>
        <w:t xml:space="preserve">Corrected Krum selects an honest client in all 60 evaluated rounds. Its lower</w:t>
      </w:r>
      <w:r>
        <w:t xml:space="preserve"> </w:t>
      </w:r>
      <w:r>
        <w:t xml:space="preserve">accuracy therefore does not indicate Byzantine selection; it reflects the</w:t>
      </w:r>
      <w:r>
        <w:t xml:space="preserve"> </w:t>
      </w:r>
      <w:r>
        <w:t xml:space="preserve">utility cost of reducing a heterogeneous 20-client round to one update.</w:t>
      </w:r>
    </w:p>
    <w:bookmarkEnd w:id="49"/>
    <w:bookmarkStart w:id="51" w:name="measured-blockchain-evidence"/>
    <w:p>
      <w:pPr>
        <w:pStyle w:val="ETASRHeading2"/>
      </w:pPr>
      <w:r>
        <w:t xml:space="preserve">Measured Blockchain Evidence</w:t>
      </w:r>
    </w:p>
    <w:bookmarkStart w:id="50" w:name="tab:blockchain_actual"/>
    <w:p>
      <w:pPr>
        <w:pStyle w:val="ETASRtablehead"/>
      </w:pPr>
      <w:r>
        <w:t xml:space="preserve">Measured Ganache Audit Transactions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easured Ganache Audit Transactions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ETASRtablecolhead"/>
              <w:jc w:val="both"/>
            </w:pPr>
            <w:r>
              <w:t xml:space="preserve">Operation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Count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Mean Gas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Contract deployment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1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789,893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Client update record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400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76,669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Round finalization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20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159,517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Total measured gas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–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34,647,901</w:t>
            </w:r>
          </w:p>
        </w:tc>
      </w:tr>
    </w:tbl>
    <w:bookmarkEnd w:id="50"/>
    <w:p>
      <w:pPr>
        <w:pStyle w:val="ETASRbodytext"/>
        <w:jc w:val="both"/>
      </w:pPr>
      <w:r>
        <w:t xml:space="preserve">The audited run deploys contract</w:t>
      </w:r>
      <w:r>
        <w:t xml:space="preserve"> </w:t>
      </w:r>
      <w:r>
        <w:rPr>
          <w:rStyle w:val="VerbatimChar"/>
        </w:rPr>
        <w:t xml:space="preserve">0xe78A...a8Ab</w:t>
      </w:r>
      <w:r>
        <w:t xml:space="preserve">; the complete address</w:t>
      </w:r>
      <w:r>
        <w:t xml:space="preserve"> </w:t>
      </w:r>
      <w:r>
        <w:t xml:space="preserve">is preserved in the result artifact. Deployment occurs in block 1.</w:t>
      </w:r>
      <w:r>
        <w:t xml:space="preserve"> </w:t>
      </w:r>
      <w:r>
        <w:t xml:space="preserve">The run then records 400 client updates and 20 round summaries in 420</w:t>
      </w:r>
      <w:r>
        <w:t xml:space="preserve"> </w:t>
      </w:r>
      <w:r>
        <w:t xml:space="preserve">transactions, all with receipt status 1. The final block is 421. Total measured</w:t>
      </w:r>
      <w:r>
        <w:t xml:space="preserve"> </w:t>
      </w:r>
      <w:r>
        <w:t xml:space="preserve">gas including deployment is 34,647,901. All client commitments, flags, existence</w:t>
      </w:r>
      <w:r>
        <w:t xml:space="preserve"> </w:t>
      </w:r>
      <w:r>
        <w:t xml:space="preserve">bits, aggregate commitments, submitted counts, flagged counts, trim counts,</w:t>
      </w:r>
      <w:r>
        <w:t xml:space="preserve"> </w:t>
      </w:r>
      <w:r>
        <w:t xml:space="preserve">timestamps, and finalized bits pass contract read-back verification. Simulated</w:t>
      </w:r>
      <w:r>
        <w:t xml:space="preserve"> </w:t>
      </w:r>
      <w:r>
        <w:t xml:space="preserve">duplicate client and round writes revert without changing block 421. These are</w:t>
      </w:r>
      <w:r>
        <w:t xml:space="preserve"> </w:t>
      </w:r>
      <w:r>
        <w:t xml:space="preserve">local EVM execution measurements, not Ethereum-mainnet cost, latency, or</w:t>
      </w:r>
      <w:r>
        <w:t xml:space="preserve"> </w:t>
      </w:r>
      <w:r>
        <w:t xml:space="preserve">decentralization claims.</w:t>
      </w:r>
    </w:p>
    <w:bookmarkEnd w:id="51"/>
    <w:bookmarkEnd w:id="52"/>
    <w:bookmarkStart w:id="57" w:name="discussion"/>
    <w:p>
      <w:pPr>
        <w:pStyle w:val="ETASRHeading1"/>
      </w:pPr>
      <w:r>
        <w:t xml:space="preserve">Discussion</w:t>
      </w:r>
    </w:p>
    <w:bookmarkStart w:id="54" w:name="comparative-interpretation"/>
    <w:p>
      <w:pPr>
        <w:pStyle w:val="ETASRHeading2"/>
      </w:pPr>
      <w:r>
        <w:t xml:space="preserve">Comparative Interpretation</w:t>
      </w:r>
    </w:p>
    <w:p>
      <w:pPr>
        <w:pStyle w:val="ETASRbodytext"/>
        <w:jc w:val="both"/>
      </w:pPr>
      <w:r>
        <w:t xml:space="preserve">The comparison supports three bounded conclusions. First, the combined</w:t>
      </w:r>
      <w:r>
        <w:t xml:space="preserve"> </w:t>
      </w:r>
      <w:r>
        <w:t xml:space="preserve">label-flip and scaled-update attack severely damages ordinary FedAvg. The</w:t>
      </w:r>
      <w:r>
        <w:t xml:space="preserve"> </w:t>
      </w:r>
      <w:r>
        <w:t xml:space="preserve">attack is especially influential when Byzantine clients hold a larger share of</w:t>
      </w:r>
      <w:r>
        <w:t xml:space="preserve"> </w:t>
      </w:r>
      <w:r>
        <w:t xml:space="preserve">samples because FedAvg is sample weighted. Second, coordinate-wise trimming</w:t>
      </w:r>
      <w:r>
        <w:t xml:space="preserve"> </w:t>
      </w:r>
      <w:r>
        <w:t xml:space="preserve">preserves substantially more utility than single-update Krum under the</w:t>
      </w:r>
      <w:r>
        <w:t xml:space="preserve"> </w:t>
      </w:r>
      <w:r>
        <w:t xml:space="preserve">evaluated non-IID partitions. Krum selects no Byzantine update, so its lower</w:t>
      </w:r>
      <w:r>
        <w:t xml:space="preserve"> </w:t>
      </w:r>
      <w:r>
        <w:t xml:space="preserve">accuracy is better explained by discarding information from 19 clients than by</w:t>
      </w:r>
      <w:r>
        <w:t xml:space="preserve"> </w:t>
      </w:r>
      <w:r>
        <w:t xml:space="preserve">a selection failure. Third, MAD-ATMA tracks the observed outlier fraction and</w:t>
      </w:r>
      <w:r>
        <w:t xml:space="preserve"> </w:t>
      </w:r>
      <w:r>
        <w:t xml:space="preserve">obtains essentially the same final accuracy as a static rule supplied with the</w:t>
      </w:r>
      <w:r>
        <w:t xml:space="preserve"> </w:t>
      </w:r>
      <w:r>
        <w:t xml:space="preserve">correct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bound. Its demonstrated benefit is automatic adjustment and</w:t>
      </w:r>
      <w:r>
        <w:t xml:space="preserve"> </w:t>
      </w:r>
      <w:r>
        <w:t xml:space="preserve">diagnostic client flags, not superior accuracy.</w:t>
      </w:r>
    </w:p>
    <w:bookmarkStart w:id="53" w:name="tab:method_scope"/>
    <w:p>
      <w:pPr>
        <w:pStyle w:val="ETASRtablehead"/>
      </w:pPr>
      <w:r>
        <w:t xml:space="preserve">Scope of Compared Robust Aggregators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cope of Compared Robust Aggregator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ETASRtablecolhead"/>
              <w:jc w:val="both"/>
            </w:pPr>
            <w:r>
              <w:t xml:space="preserve">Method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Exact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?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Aggregation</w:t>
            </w:r>
          </w:p>
        </w:tc>
        <w:tc>
          <w:tcPr/>
          <w:p>
            <w:pPr>
              <w:pStyle w:val="ETASRtablecolhead"/>
              <w:jc w:val="both"/>
            </w:pPr>
            <w:r>
              <w:t xml:space="preserve">Audit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Krum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Yes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Single update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No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TrimmedMean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Yes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Coordinate mean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No</w:t>
            </w:r>
          </w:p>
        </w:tc>
      </w:tr>
      <w:tr>
        <w:tc>
          <w:tcPr/>
          <w:p>
            <w:pPr>
              <w:pStyle w:val="ETASRtablecopy"/>
              <w:jc w:val="both"/>
            </w:pPr>
            <w:r>
              <w:t xml:space="preserve">MAD-ATMA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No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Adaptive mean</w:t>
            </w:r>
          </w:p>
        </w:tc>
        <w:tc>
          <w:tcPr/>
          <w:p>
            <w:pPr>
              <w:pStyle w:val="ETASRtablecopy"/>
              <w:jc w:val="both"/>
            </w:pPr>
            <w:r>
              <w:t xml:space="preserve">Yes</w:t>
            </w:r>
          </w:p>
        </w:tc>
      </w:tr>
    </w:tbl>
    <w:bookmarkEnd w:id="53"/>
    <w:p>
      <w:pPr>
        <w:pStyle w:val="ETASRbodytext"/>
        <w:jc w:val="both"/>
      </w:pPr>
      <w:r>
        <w:t xml:space="preserve">“No exact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in Table </w:t>
      </w:r>
      <w:hyperlink w:anchor="tab:method_scope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does not mean parameter free.</w:t>
      </w:r>
      <w:r>
        <w:t xml:space="preserve"> </w:t>
      </w:r>
      <w:r>
        <w:t xml:space="preserve">MAD-ATMA uses a robust-score threshold, smoothing rate, and 5–25% safety</w:t>
      </w:r>
      <w:r>
        <w:t xml:space="preserve"> </w:t>
      </w:r>
      <w:r>
        <w:t xml:space="preserve">interval. Its upper limit is intentionally different from the actual 20%</w:t>
      </w:r>
      <w:r>
        <w:t xml:space="preserve"> </w:t>
      </w:r>
      <w:r>
        <w:t xml:space="preserve">Byzantine fraction, but future work must evaluate sensitivity to these</w:t>
      </w:r>
      <w:r>
        <w:t xml:space="preserve"> </w:t>
      </w:r>
      <w:r>
        <w:t xml:space="preserve">hyperparameters and to changing attack prevalence. The previously published</w:t>
      </w:r>
      <w:r>
        <w:t xml:space="preserve"> </w:t>
      </w:r>
      <w:r>
        <w:t xml:space="preserve">ATMA of Mukisa et al. </w:t>
      </w:r>
      <w:r>
        <w:t xml:space="preserve"> </w:t>
      </w:r>
      <w:r>
        <w:t xml:space="preserve">is also adaptive, but it is</w:t>
      </w:r>
      <w:r>
        <w:t xml:space="preserve"> </w:t>
      </w:r>
      <w:r>
        <w:t xml:space="preserve">variance-aware and layer-wise in an intrusion-detection setting. The present</w:t>
      </w:r>
      <w:r>
        <w:t xml:space="preserve"> </w:t>
      </w:r>
      <w:r>
        <w:t xml:space="preserve">MAD-ATMA is a client-distance detector followed by one global trim ratio, so</w:t>
      </w:r>
      <w:r>
        <w:t xml:space="preserve"> </w:t>
      </w:r>
      <w:r>
        <w:t xml:space="preserve">the two should not be treated as the same algorithm.</w:t>
      </w:r>
    </w:p>
    <w:bookmarkEnd w:id="54"/>
    <w:bookmarkStart w:id="55" w:name="contribution-of-blockchain"/>
    <w:p>
      <w:pPr>
        <w:pStyle w:val="ETASRHeading2"/>
      </w:pPr>
      <w:r>
        <w:t xml:space="preserve">Contribution of Blockchain</w:t>
      </w:r>
    </w:p>
    <w:p>
      <w:pPr>
        <w:pStyle w:val="ETASRbodytext"/>
        <w:jc w:val="both"/>
      </w:pPr>
      <w:r>
        <w:t xml:space="preserve">The blockchain component contributes write-once commitments and reproducible</w:t>
      </w:r>
      <w:r>
        <w:t xml:space="preserve"> </w:t>
      </w:r>
      <w:r>
        <w:t xml:space="preserve">execution evidence, not robust aggregation. Detection is performed off-chain</w:t>
      </w:r>
      <w:r>
        <w:t xml:space="preserve"> </w:t>
      </w:r>
      <w:r>
        <w:t xml:space="preserve">before its output is committed. Storing SHA-256 commitments rather than</w:t>
      </w:r>
      <w:r>
        <w:t xml:space="preserve"> </w:t>
      </w:r>
      <w:r>
        <w:t xml:space="preserve">105,866-parameter tensors limits on-chain payload size. The contract prevents</w:t>
      </w:r>
      <w:r>
        <w:t xml:space="preserve"> </w:t>
      </w:r>
      <w:r>
        <w:t xml:space="preserve">the coordinator from overwriting a populated round–client slot or finalized</w:t>
      </w:r>
      <w:r>
        <w:t xml:space="preserve"> </w:t>
      </w:r>
      <w:r>
        <w:t xml:space="preserve">round, and later readers can compare local tensors and metadata with the stored</w:t>
      </w:r>
      <w:r>
        <w:t xml:space="preserve"> </w:t>
      </w:r>
      <w:r>
        <w:t xml:space="preserve">commitments.</w:t>
      </w:r>
    </w:p>
    <w:p>
      <w:pPr>
        <w:pStyle w:val="ETASRbodytext"/>
        <w:jc w:val="both"/>
      </w:pPr>
      <w:r>
        <w:t xml:space="preserve">This guarantee is narrower than saying that the complete FL system is</w:t>
      </w:r>
      <w:r>
        <w:t xml:space="preserve"> </w:t>
      </w:r>
      <w:r>
        <w:t xml:space="preserve">immutable. A trusted coordinator can still commit an incorrect hash on its</w:t>
      </w:r>
      <w:r>
        <w:t xml:space="preserve"> </w:t>
      </w:r>
      <w:r>
        <w:t xml:space="preserve">first write, and the single-node Ganache chain does not provide independent</w:t>
      </w:r>
      <w:r>
        <w:t xml:space="preserve"> </w:t>
      </w:r>
      <w:r>
        <w:t xml:space="preserve">validators. The experiment therefore validates contract execution, write-once</w:t>
      </w:r>
      <w:r>
        <w:t xml:space="preserve"> </w:t>
      </w:r>
      <w:r>
        <w:t xml:space="preserve">storage, transaction receipts, and read-back semantics. It does not validate</w:t>
      </w:r>
      <w:r>
        <w:t xml:space="preserve"> </w:t>
      </w:r>
      <w:r>
        <w:t xml:space="preserve">decentralized consensus, public-network latency, client authentication,</w:t>
      </w:r>
      <w:r>
        <w:t xml:space="preserve"> </w:t>
      </w:r>
      <w:r>
        <w:t xml:space="preserve">economic feasibility, or resistance to coordinator compromise.</w:t>
      </w:r>
    </w:p>
    <w:bookmarkEnd w:id="55"/>
    <w:bookmarkStart w:id="56" w:name="limitations"/>
    <w:p>
      <w:pPr>
        <w:pStyle w:val="ETASRHeading2"/>
      </w:pPr>
      <w:r>
        <w:t xml:space="preserve">Limitations</w:t>
      </w:r>
    </w:p>
    <w:p>
      <w:pPr>
        <w:pStyle w:val="ETASRbodytext"/>
        <w:jc w:val="both"/>
      </w:pPr>
      <w:r>
        <w:t xml:space="preserve">This study uses one dataset, one CNN, 20 clients, 20 rounds, three seeds, and</w:t>
      </w:r>
      <w:r>
        <w:t xml:space="preserve"> </w:t>
      </w:r>
      <w:r>
        <w:t xml:space="preserve">one combined untargeted attack. The local computation is capped at three</w:t>
      </w:r>
      <w:r>
        <w:t xml:space="preserve"> </w:t>
      </w:r>
      <w:r>
        <w:t xml:space="preserve">mini-batches per client per round. Blockchain validation is limited to one</w:t>
      </w:r>
      <w:r>
        <w:t xml:space="preserve"> </w:t>
      </w:r>
      <w:r>
        <w:t xml:space="preserve">MAD-ATMA seed on Ganache. No claim is made regarding live Layer-2 deployment,</w:t>
      </w:r>
      <w:r>
        <w:t xml:space="preserve"> </w:t>
      </w:r>
      <w:r>
        <w:t xml:space="preserve">production readiness, or dollar-denominated cost.</w:t>
      </w:r>
    </w:p>
    <w:p>
      <w:pPr>
        <w:pStyle w:val="ETASRbodytext"/>
        <w:jc w:val="both"/>
      </w:pPr>
      <w:r>
        <w:t xml:space="preserve">This study evaluates one combined untargeted attack consisting of cyclic label</w:t>
      </w:r>
      <w:r>
        <w:t xml:space="preserve"> </w:t>
      </w:r>
      <w:r>
        <w:t xml:space="preserve">flipping and scaled model updates. More sophisticated attacks, including the A</w:t>
      </w:r>
      <w:r>
        <w:t xml:space="preserve"> </w:t>
      </w:r>
      <w:r>
        <w:t xml:space="preserve">Little Is Enough attack introduced by Baruch et al. </w:t>
      </w:r>
      <w:r>
        <w:t xml:space="preserve"> </w:t>
      </w:r>
      <w:r>
        <w:t xml:space="preserve">and</w:t>
      </w:r>
      <w:r>
        <w:t xml:space="preserve"> </w:t>
      </w:r>
      <w:r>
        <w:t xml:space="preserve">targeted backdoor attacks studied by Sun et al. </w:t>
      </w:r>
      <w:r>
        <w:t xml:space="preserve">, remain outside</w:t>
      </w:r>
      <w:r>
        <w:t xml:space="preserve"> </w:t>
      </w:r>
      <w:r>
        <w:t xml:space="preserve">the present scope. The fixed Byzantine IDs also make detection easier to</w:t>
      </w:r>
      <w:r>
        <w:t xml:space="preserve"> </w:t>
      </w:r>
      <w:r>
        <w:t xml:space="preserve">interpret but do not test intermittent or colluding attackers. Finally, three</w:t>
      </w:r>
      <w:r>
        <w:t xml:space="preserve"> </w:t>
      </w:r>
      <w:r>
        <w:t xml:space="preserve">seeds are adequate for a reproducible correction but too few for strong claims</w:t>
      </w:r>
      <w:r>
        <w:t xml:space="preserve"> </w:t>
      </w:r>
      <w:r>
        <w:t xml:space="preserve">about population-level superiority or equivalence.</w:t>
      </w:r>
    </w:p>
    <w:bookmarkEnd w:id="56"/>
    <w:bookmarkEnd w:id="57"/>
    <w:bookmarkStart w:id="58" w:name="conclusion"/>
    <w:p>
      <w:pPr>
        <w:pStyle w:val="ETASRHeading1"/>
      </w:pPr>
      <w:r>
        <w:t xml:space="preserve">Conclusion</w:t>
      </w:r>
    </w:p>
    <w:p>
      <w:pPr>
        <w:pStyle w:val="ETASRbodytext"/>
        <w:jc w:val="both"/>
      </w:pPr>
      <w:r>
        <w:t xml:space="preserve">This work presents a reproducible evaluation of Byzantine-robust FL and</w:t>
      </w:r>
      <w:r>
        <w:t xml:space="preserve"> </w:t>
      </w:r>
      <w:r>
        <w:t xml:space="preserve">blockchain auditability under one consistent protocol. A combined label-flip</w:t>
      </w:r>
      <w:r>
        <w:t xml:space="preserve"> </w:t>
      </w:r>
      <w:r>
        <w:t xml:space="preserve">and scaled-update attack reduces FedAvg from 82.49% clean accuracy to 22.36%.</w:t>
      </w:r>
      <w:r>
        <w:t xml:space="preserve"> </w:t>
      </w:r>
      <w:r>
        <w:t xml:space="preserve">Krum recovers to 60.01%, while TrimmedMean and MAD-ATMA reach 78.23% and</w:t>
      </w:r>
      <w:r>
        <w:t xml:space="preserve"> </w:t>
      </w:r>
      <w:r>
        <w:t xml:space="preserve">78.22%, respectively. No significant final-accuracy difference is detected</w:t>
      </w:r>
      <w:r>
        <w:t xml:space="preserve"> </w:t>
      </w:r>
      <w:r>
        <w:t xml:space="preserve">between the two trimmed methods. MAD-ATMA nevertheless adapts from its initial</w:t>
      </w:r>
      <w:r>
        <w:t xml:space="preserve"> </w:t>
      </w:r>
      <w:r>
        <w:t xml:space="preserve">ratio within a 5–25% safety interval and detects all 240 Byzantine</w:t>
      </w:r>
      <w:r>
        <w:t xml:space="preserve"> </w:t>
      </w:r>
      <w:r>
        <w:t xml:space="preserve">client-round instances with eight false positives.</w:t>
      </w:r>
    </w:p>
    <w:p>
      <w:pPr>
        <w:pStyle w:val="ETASRbodytext"/>
        <w:jc w:val="both"/>
      </w:pPr>
      <w:r>
        <w:t xml:space="preserve">The blockchain component records 400 client-update commitments and 20 round</w:t>
      </w:r>
      <w:r>
        <w:t xml:space="preserve"> </w:t>
      </w:r>
      <w:r>
        <w:t xml:space="preserve">summaries in 420 successful transactions. All client and summary fields pass</w:t>
      </w:r>
      <w:r>
        <w:t xml:space="preserve"> </w:t>
      </w:r>
      <w:r>
        <w:t xml:space="preserve">read-back, while duplicate writes are rejected by the contract. Thus, robust</w:t>
      </w:r>
      <w:r>
        <w:t xml:space="preserve"> </w:t>
      </w:r>
      <w:r>
        <w:t xml:space="preserve">aggregation supplies model protection, whereas the deployed contract supplies</w:t>
      </w:r>
      <w:r>
        <w:t xml:space="preserve"> </w:t>
      </w:r>
      <w:r>
        <w:t xml:space="preserve">write-once audit records under a trusted coordinator. This narrower conclusion</w:t>
      </w:r>
      <w:r>
        <w:t xml:space="preserve"> </w:t>
      </w:r>
      <w:r>
        <w:t xml:space="preserve">is supported by the code, raw JSON result, figures, compiled contract, and</w:t>
      </w:r>
      <w:r>
        <w:t xml:space="preserve"> </w:t>
      </w:r>
      <w:r>
        <w:t xml:space="preserve">transaction receipts.</w:t>
      </w:r>
    </w:p>
    <w:p>
      <w:pPr>
        <w:pStyle w:val="ETASRbodytext"/>
        <w:jc w:val="both"/>
      </w:pPr>
      <w:r>
        <w:t xml:space="preserve">Future work should increase the number of seeds and rounds, test larger and</w:t>
      </w:r>
      <w:r>
        <w:t xml:space="preserve"> </w:t>
      </w:r>
      <w:r>
        <w:t xml:space="preserve">more heterogeneous datasets, evaluate partial participation, deploy the audit</w:t>
      </w:r>
      <w:r>
        <w:t xml:space="preserve"> </w:t>
      </w:r>
      <w:r>
        <w:t xml:space="preserve">contract on a multi-node or public test network, and include ALIE, model</w:t>
      </w:r>
      <w:r>
        <w:t xml:space="preserve"> </w:t>
      </w:r>
      <w:r>
        <w:t xml:space="preserve">replacement, targeted backdoor attacks, and sensitivity analysis for the MAD</w:t>
      </w:r>
      <w:r>
        <w:t xml:space="preserve"> </w:t>
      </w:r>
      <w:r>
        <w:t xml:space="preserve">threshold and trim-ratio bounds.</w:t>
      </w:r>
    </w:p>
    <w:bookmarkEnd w:id="58"/>
    <w:bookmarkStart w:id="60" w:name="data-and-code-availability"/>
    <w:p>
      <w:pPr>
        <w:pStyle w:val="ETASRHeading1"/>
      </w:pPr>
      <w:r>
        <w:t xml:space="preserve">Data and Code Availability</w:t>
      </w:r>
    </w:p>
    <w:p>
      <w:pPr>
        <w:pStyle w:val="ETASRbodytext"/>
        <w:jc w:val="both"/>
      </w:pPr>
      <w:r>
        <w:t xml:space="preserve">The experiment script, robust aggregation module, Solidity source, raw JSON</w:t>
      </w:r>
      <w:r>
        <w:t xml:space="preserve"> </w:t>
      </w:r>
      <w:r>
        <w:t xml:space="preserve">result, generated tables, and figure-generation code are packaged with this</w:t>
      </w:r>
      <w:r>
        <w:t xml:space="preserve"> </w:t>
      </w:r>
      <w:r>
        <w:t xml:space="preserve">revision and will be synchronized to the project repository in</w:t>
      </w:r>
      <w:r>
        <w:t xml:space="preserve"> </w:t>
      </w:r>
      <w:r>
        <w:t xml:space="preserve"> </w:t>
      </w:r>
      <w:r>
        <w:t xml:space="preserve">before publication.</w:t>
      </w:r>
    </w:p>
    <w:p>
      <w:pPr>
        <w:pStyle w:val="ETASRHeading1"/>
      </w:pPr>
      <w:r>
        <w:t>References</w:t>
      </w:r>
    </w:p>
    <w:p>
      <w:pPr>
        <w:pStyle w:val="ETASRreferences"/>
        <w:jc w:val="both"/>
      </w:pPr>
      <w:r>
        <w:t xml:space="preserve">H. B. McMahan, E. Moore, D. Ramage, S. Hampson, and B. Agüera y Arcas,</w:t>
      </w:r>
      <w:r>
        <w:t xml:space="preserve"> </w:t>
      </w:r>
      <w:r>
        <w:t xml:space="preserve">“Communication-efficient learning of deep networks from decentralized data,”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20th Int. Conf. Artif. Intell. Statist. (AISTATS)</w:t>
      </w:r>
      <w:r>
        <w:t xml:space="preserve">, vol. 54,</w:t>
      </w:r>
      <w:r>
        <w:t xml:space="preserve"> </w:t>
      </w:r>
      <w:r>
        <w:t xml:space="preserve">2017, pp. 1273–1282.</w:t>
      </w:r>
    </w:p>
    <w:p>
      <w:pPr>
        <w:pStyle w:val="ETASRreferences"/>
        <w:jc w:val="both"/>
      </w:pPr>
      <w:r>
        <w:t xml:space="preserve">P. Kairouz, H. B. McMahan, B. Avent,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“Advances and open problems in federated learning,”</w:t>
      </w:r>
      <w:r>
        <w:t xml:space="preserve"> </w:t>
      </w:r>
      <w:r>
        <w:rPr>
          <w:i/>
          <w:iCs/>
        </w:rPr>
        <w:t xml:space="preserve">Found. Trends Mach. Learn.</w:t>
      </w:r>
      <w:r>
        <w:t xml:space="preserve">, vol. 14, no. 1–2, pp. 1–210, 2021,</w:t>
      </w:r>
      <w:r>
        <w:t xml:space="preserve"> </w:t>
      </w:r>
      <w:r>
        <w:t xml:space="preserve">doi: 10.1561/2200000083.</w:t>
      </w:r>
    </w:p>
    <w:p>
      <w:pPr>
        <w:pStyle w:val="ETASRreferences"/>
        <w:jc w:val="both"/>
      </w:pPr>
      <w:r>
        <w:t xml:space="preserve">P. Blanchard, E. M. El Mhamdi, R. Guerraoui, and J. Stainer,</w:t>
      </w:r>
      <w:r>
        <w:t xml:space="preserve"> </w:t>
      </w:r>
      <w:r>
        <w:t xml:space="preserve">“Machine learning with adversaries: Byzantine tolerant gradient descent,”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vol. 30, 2017.</w:t>
      </w:r>
    </w:p>
    <w:p>
      <w:pPr>
        <w:pStyle w:val="ETASRreferences"/>
        <w:jc w:val="both"/>
      </w:pPr>
      <w:r>
        <w:t xml:space="preserve">D. Yin, Y. Chen, R. Kannan, and P. Bartlett,</w:t>
      </w:r>
      <w:r>
        <w:t xml:space="preserve"> </w:t>
      </w:r>
      <w:r>
        <w:t xml:space="preserve">“Byzantine-robust distributed learning: Towards optimal statistical rates,”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35th Int. Conf. Mach. Learn. (ICML)</w:t>
      </w:r>
      <w:r>
        <w:t xml:space="preserve">, vol. 80, 2018,</w:t>
      </w:r>
      <w:r>
        <w:t xml:space="preserve"> </w:t>
      </w:r>
      <w:r>
        <w:t xml:space="preserve">pp. 5650–5659.</w:t>
      </w:r>
    </w:p>
    <w:p>
      <w:pPr>
        <w:pStyle w:val="ETASRreferences"/>
        <w:jc w:val="both"/>
      </w:pPr>
      <w:r>
        <w:t xml:space="preserve">M. Baruch, G. Baruch, and Y. Goldberg,</w:t>
      </w:r>
      <w:r>
        <w:t xml:space="preserve"> </w:t>
      </w:r>
      <w:r>
        <w:t xml:space="preserve">“A little is enough: Circumventing defenses for distributed learning,”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vol. 32, 2019.</w:t>
      </w:r>
    </w:p>
    <w:p>
      <w:pPr>
        <w:pStyle w:val="ETASRreferences"/>
        <w:jc w:val="both"/>
      </w:pPr>
      <w:r>
        <w:t xml:space="preserve">Z. Sun, P. Kairouz, A. T. Suresh, and H. B. McMahan,</w:t>
      </w:r>
      <w:r>
        <w:t xml:space="preserve"> </w:t>
      </w:r>
      <w:r>
        <w:t xml:space="preserve">“Can you really backdoor federated learning?”</w:t>
      </w:r>
      <w:r>
        <w:t xml:space="preserve"> </w:t>
      </w:r>
      <w:r>
        <w:t xml:space="preserve">arXiv:1911.07963, 2019.</w:t>
      </w:r>
    </w:p>
    <w:p>
      <w:pPr>
        <w:pStyle w:val="ETASRreferences"/>
        <w:jc w:val="both"/>
      </w:pPr>
      <w:r>
        <w:t xml:space="preserve">H. Kim, J. Park, M. Bennis, and S.-L. Kim,</w:t>
      </w:r>
      <w:r>
        <w:t xml:space="preserve"> </w:t>
      </w:r>
      <w:r>
        <w:t xml:space="preserve">“Blockchained on-device federated learning,”</w:t>
      </w:r>
      <w:r>
        <w:t xml:space="preserve"> </w:t>
      </w:r>
      <w:r>
        <w:rPr>
          <w:i/>
          <w:iCs/>
        </w:rPr>
        <w:t xml:space="preserve">IEEE Commun. Lett.</w:t>
      </w:r>
      <w:r>
        <w:t xml:space="preserve">, vol. 24, no. 6, pp. 1279–1283, Jun. 2020,</w:t>
      </w:r>
      <w:r>
        <w:t xml:space="preserve"> </w:t>
      </w:r>
      <w:r>
        <w:t xml:space="preserve">doi: 10.1109/LCOMM.2019.2921755.</w:t>
      </w:r>
    </w:p>
    <w:p>
      <w:pPr>
        <w:pStyle w:val="ETASRreferences"/>
        <w:jc w:val="both"/>
      </w:pPr>
      <w:r>
        <w:t xml:space="preserve">Y. Lu, X. Huang, K. Zhang, S. Maharjan, and Y. Zhang,</w:t>
      </w:r>
      <w:r>
        <w:t xml:space="preserve"> </w:t>
      </w:r>
      <w:r>
        <w:t xml:space="preserve">“Blockchain empowered asynchronous federated learning for secure data sharing</w:t>
      </w:r>
      <w:r>
        <w:t xml:space="preserve"> </w:t>
      </w:r>
      <w:r>
        <w:t xml:space="preserve">in Internet of Vehicles,”</w:t>
      </w:r>
      <w:r>
        <w:t xml:space="preserve"> </w:t>
      </w:r>
      <w:r>
        <w:rPr>
          <w:i/>
          <w:iCs/>
        </w:rPr>
        <w:t xml:space="preserve">IEEE Trans. Veh. Technol.</w:t>
      </w:r>
      <w:r>
        <w:t xml:space="preserve">, vol. 69, no. 4, pp. 4298–4311, Apr. 2020,</w:t>
      </w:r>
      <w:r>
        <w:t xml:space="preserve"> </w:t>
      </w:r>
      <w:r>
        <w:t xml:space="preserve">doi: 10.1109/TVT.2020.2973651.</w:t>
      </w:r>
    </w:p>
    <w:p>
      <w:pPr>
        <w:pStyle w:val="ETASRreferences"/>
        <w:jc w:val="both"/>
      </w:pPr>
      <w:r>
        <w:t xml:space="preserve">K. J. Mukisa, L. A. C. Ahakonye, D.-S. Kim, and J.-M. Lee,</w:t>
      </w:r>
      <w:r>
        <w:t xml:space="preserve"> </w:t>
      </w:r>
      <w:r>
        <w:t xml:space="preserve">“Blockchain-augmented FL IDS for non-IID edge-IoT data using adaptive trimmed</w:t>
      </w:r>
      <w:r>
        <w:t xml:space="preserve"> </w:t>
      </w:r>
      <w:r>
        <w:t xml:space="preserve">mean aggregation,”</w:t>
      </w:r>
      <w:r>
        <w:t xml:space="preserve"> </w:t>
      </w:r>
      <w:r>
        <w:rPr>
          <w:i/>
          <w:iCs/>
        </w:rPr>
        <w:t xml:space="preserve">IEEE Internet Things J.</w:t>
      </w:r>
      <w:r>
        <w:t xml:space="preserve">, vol. 12, no. 21, pp. 45150–45159, Nov. 2025,</w:t>
      </w:r>
      <w:r>
        <w:t xml:space="preserve"> </w:t>
      </w:r>
      <w:r>
        <w:t xml:space="preserve">doi: 10.1109/JIOT.2025.3598832.</w:t>
      </w:r>
    </w:p>
    <w:p>
      <w:pPr>
        <w:pStyle w:val="ETASRreferences"/>
        <w:jc w:val="both"/>
      </w:pPr>
      <w:r>
        <w:t xml:space="preserve">Y. LeCun, L. Bottou, Y. Bengio, and P. Haffner,</w:t>
      </w:r>
      <w:r>
        <w:t xml:space="preserve"> </w:t>
      </w:r>
      <w:r>
        <w:t xml:space="preserve">“Gradient-based learning applied to document recognition,”</w:t>
      </w:r>
      <w:r>
        <w:t xml:space="preserve"> </w:t>
      </w:r>
      <w:r>
        <w:rPr>
          <w:i/>
          <w:iCs/>
        </w:rPr>
        <w:t xml:space="preserve">Proc. IEEE</w:t>
      </w:r>
      <w:r>
        <w:t xml:space="preserve">, vol. 86, no. 11, pp. 2278–2324, Nov. 1998,</w:t>
      </w:r>
      <w:r>
        <w:t xml:space="preserve"> </w:t>
      </w:r>
      <w:r>
        <w:t xml:space="preserve">doi: 10.1109/5.726791.</w:t>
      </w:r>
    </w:p>
    <w:p>
      <w:pPr>
        <w:pStyle w:val="ETASRreferences"/>
        <w:jc w:val="both"/>
      </w:pPr>
      <w:r>
        <w:t xml:space="preserve">R. A. Atmoko,</w:t>
      </w:r>
      <w:r>
        <w:t xml:space="preserve"> </w:t>
      </w:r>
      <w:r>
        <w:t xml:space="preserve">“Byzantine-robust federated learning with blockchain:</w:t>
      </w:r>
      <w:r>
        <w:t xml:space="preserve"> </w:t>
      </w:r>
      <w:r>
        <w:t xml:space="preserve">Reproducibility repository,”</w:t>
      </w:r>
      <w:r>
        <w:t xml:space="preserve"> </w:t>
      </w:r>
      <w:r>
        <w:t xml:space="preserve">2026. [Online]. Available:</w:t>
      </w:r>
      <w:r>
        <w:t xml:space="preserve"> </w:t>
      </w:r>
      <w:hyperlink r:id="rId59">
        <w:r>
          <w:rPr>
            <w:rStyle w:val="Hyperlink"/>
          </w:rPr>
          <w:t xml:space="preserve">https://github.com/vokasitibrawijaya/byzantine-robust-fl-blockchain</w:t>
        </w:r>
      </w:hyperlink>
      <w:r>
        <w:t xml:space="preserve">.</w:t>
      </w:r>
      <w:r>
        <w:t xml:space="preserve"> </w:t>
      </w:r>
      <w:r>
        <w:t xml:space="preserve">Accessed: Jun. 25, 2026.</w:t>
      </w:r>
    </w:p>
    <w:bookmarkEnd w:id="60"/>
    <w:sectPr w:rsidR="00331994" w:rsidSect="003F37B2">
      <w:type w:val="continuous"/>
      <w:pgSz w:w="12240" w:h="15840" w:code="1"/>
      <w:pgMar w:top="1080" w:right="893" w:bottom="1440" w:left="893" w:header="720" w:footer="720" w:gutter="0"/>
      <w:cols w:num="2" w:space="360"/>
      <w:rtlGutter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268"/>
      <w:gridCol w:w="8402"/>
    </w:tblGrid>
    <w:tr w:rsidR="008A20E8" w14:paraId="03DAB3F4" w14:textId="77777777" w:rsidTr="00F645F8">
      <w:tc>
        <w:tcPr>
          <w:tcW w:w="2268" w:type="dxa"/>
        </w:tcPr>
        <w:p w14:paraId="2931912F" w14:textId="77777777" w:rsidR="008A20E8" w:rsidRPr="00F645F8" w:rsidRDefault="008A20E8" w:rsidP="00F645F8">
          <w:pPr>
            <w:pStyle w:val="Footer"/>
            <w:ind w:firstLine="198"/>
            <w:rPr>
              <w:rFonts w:eastAsia="Times New Roman"/>
              <w:b/>
              <w:i/>
              <w:sz w:val="18"/>
              <w:szCs w:val="18"/>
            </w:rPr>
          </w:pPr>
          <w:r w:rsidRPr="00F645F8">
            <w:rPr>
              <w:rFonts w:eastAsia="Times New Roman"/>
              <w:b/>
              <w:i/>
              <w:sz w:val="18"/>
              <w:szCs w:val="18"/>
            </w:rPr>
            <w:t>www.etasr.com</w:t>
          </w:r>
        </w:p>
      </w:tc>
      <w:tc>
        <w:tcPr>
          <w:tcW w:w="8402" w:type="dxa"/>
        </w:tcPr>
        <w:p w14:paraId="6D9B8F70" w14:textId="77777777" w:rsidR="008A20E8" w:rsidRPr="00F645F8" w:rsidRDefault="00CE4855" w:rsidP="00E50730">
          <w:pPr>
            <w:pStyle w:val="Footer"/>
            <w:ind w:firstLine="198"/>
            <w:jc w:val="right"/>
            <w:rPr>
              <w:rFonts w:eastAsia="Times New Roman"/>
              <w:b/>
              <w:i/>
              <w:sz w:val="18"/>
              <w:szCs w:val="18"/>
            </w:rPr>
          </w:pPr>
          <w:r w:rsidRPr="00F645F8">
            <w:rPr>
              <w:rFonts w:eastAsia="Times New Roman"/>
              <w:b/>
              <w:i/>
              <w:sz w:val="18"/>
              <w:szCs w:val="18"/>
            </w:rPr>
            <w:t>DO NOT ALTER HEADER &amp; FOOTER. THEY WILL BE COMPLETED DURING EDITING</w:t>
          </w:r>
        </w:p>
      </w:tc>
    </w:tr>
  </w:tbl>
  <w:p w14:paraId="78363948" w14:textId="77777777" w:rsidR="008A20E8" w:rsidRDefault="008A20E8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23" w:type="dxa"/>
      <w:tblBorders>
        <w:bottom w:val="single" w:sz="4" w:space="0" w:color="auto"/>
      </w:tblBorders>
      <w:tblLook w:val="01E0" w:firstRow="1" w:lastRow="1" w:firstColumn="1" w:lastColumn="1" w:noHBand="0" w:noVBand="0"/>
    </w:tblPr>
    <w:tblGrid>
      <w:gridCol w:w="5070"/>
      <w:gridCol w:w="3827"/>
      <w:gridCol w:w="1417"/>
      <w:gridCol w:w="709"/>
    </w:tblGrid>
    <w:tr w:rsidR="00802CCB" w:rsidRPr="00F645F8" w14:paraId="734A1610" w14:textId="77777777" w:rsidTr="00802CCB">
      <w:tc>
        <w:tcPr>
          <w:tcW w:w="5070" w:type="dxa"/>
        </w:tcPr>
        <w:p w14:paraId="3D3DF443" w14:textId="77777777" w:rsidR="00802CCB" w:rsidRPr="00F645F8" w:rsidRDefault="00802CCB" w:rsidP="00802CCB">
          <w:pPr>
            <w:pStyle w:val="Header"/>
            <w:ind w:firstLine="284"/>
            <w:rPr>
              <w:rFonts w:eastAsia="Times New Roman"/>
              <w:sz w:val="16"/>
              <w:szCs w:val="16"/>
            </w:rPr>
          </w:pPr>
          <w:r w:rsidRPr="00F645F8">
            <w:rPr>
              <w:rFonts w:eastAsia="Times New Roman"/>
              <w:b/>
              <w:i/>
              <w:sz w:val="18"/>
              <w:szCs w:val="18"/>
            </w:rPr>
            <w:t>Engineering, Technology &amp; Applied Science Research</w:t>
          </w:r>
        </w:p>
      </w:tc>
      <w:tc>
        <w:tcPr>
          <w:tcW w:w="3827" w:type="dxa"/>
        </w:tcPr>
        <w:p w14:paraId="0CD07706" w14:textId="77777777" w:rsidR="00802CCB" w:rsidRPr="00F645F8" w:rsidRDefault="00802CCB" w:rsidP="004D2F11">
          <w:pPr>
            <w:pStyle w:val="Header"/>
            <w:ind w:firstLine="198"/>
            <w:rPr>
              <w:rFonts w:eastAsia="Times New Roman"/>
              <w:sz w:val="16"/>
              <w:szCs w:val="16"/>
            </w:rPr>
          </w:pPr>
          <w:r w:rsidRPr="00F645F8">
            <w:rPr>
              <w:rFonts w:eastAsia="Times New Roman"/>
              <w:b/>
              <w:i/>
              <w:sz w:val="18"/>
              <w:szCs w:val="18"/>
            </w:rPr>
            <w:t>Vol. X</w:t>
          </w:r>
          <w:r>
            <w:rPr>
              <w:rFonts w:eastAsia="Times New Roman"/>
              <w:b/>
              <w:i/>
              <w:sz w:val="18"/>
              <w:szCs w:val="18"/>
            </w:rPr>
            <w:t>X</w:t>
          </w:r>
          <w:r w:rsidRPr="00F645F8">
            <w:rPr>
              <w:rFonts w:eastAsia="Times New Roman"/>
              <w:b/>
              <w:i/>
              <w:sz w:val="18"/>
              <w:szCs w:val="18"/>
            </w:rPr>
            <w:t xml:space="preserve">, No. X, 20XX, </w:t>
          </w:r>
          <w:r>
            <w:rPr>
              <w:rFonts w:eastAsia="Times New Roman"/>
              <w:b/>
              <w:i/>
              <w:sz w:val="18"/>
              <w:szCs w:val="18"/>
            </w:rPr>
            <w:t>XXXXX-XXXXX</w:t>
          </w:r>
        </w:p>
      </w:tc>
      <w:tc>
        <w:tcPr>
          <w:tcW w:w="1417" w:type="dxa"/>
        </w:tcPr>
        <w:p w14:paraId="3472DC00" w14:textId="77777777" w:rsidR="00802CCB" w:rsidRPr="00F645F8" w:rsidRDefault="00802CCB" w:rsidP="00264ED6">
          <w:pPr>
            <w:pStyle w:val="Header"/>
            <w:ind w:firstLine="198"/>
            <w:rPr>
              <w:rFonts w:eastAsia="Times New Roman"/>
              <w:sz w:val="16"/>
              <w:szCs w:val="16"/>
            </w:rPr>
          </w:pPr>
          <w:r w:rsidRPr="00F645F8">
            <w:rPr>
              <w:b/>
              <w:sz w:val="22"/>
              <w:szCs w:val="22"/>
            </w:rPr>
            <w:fldChar w:fldCharType="begin"/>
          </w:r>
          <w:r w:rsidRPr="00F645F8">
            <w:rPr>
              <w:b/>
              <w:sz w:val="22"/>
              <w:szCs w:val="22"/>
            </w:rPr>
            <w:instrText xml:space="preserve"> PAGE </w:instrText>
          </w:r>
          <w:r w:rsidRPr="00F645F8">
            <w:rPr>
              <w:rFonts w:eastAsia="Times New Roman"/>
              <w:b/>
              <w:sz w:val="22"/>
              <w:szCs w:val="22"/>
            </w:rPr>
            <w:fldChar w:fldCharType="separate"/>
          </w:r>
          <w:r w:rsidR="00B747B2">
            <w:rPr>
              <w:b/>
              <w:noProof/>
              <w:sz w:val="22"/>
              <w:szCs w:val="22"/>
            </w:rPr>
            <w:t>5</w:t>
          </w:r>
          <w:r w:rsidRPr="00F645F8">
            <w:rPr>
              <w:b/>
              <w:sz w:val="22"/>
              <w:szCs w:val="22"/>
            </w:rPr>
            <w:fldChar w:fldCharType="end"/>
          </w:r>
        </w:p>
      </w:tc>
      <w:tc>
        <w:tcPr>
          <w:tcW w:w="709" w:type="dxa"/>
        </w:tcPr>
        <w:p w14:paraId="356EB608" w14:textId="77777777" w:rsidR="00802CCB" w:rsidRPr="00F645F8" w:rsidRDefault="00802CCB" w:rsidP="00264ED6">
          <w:pPr>
            <w:pStyle w:val="Header"/>
            <w:ind w:firstLine="198"/>
            <w:rPr>
              <w:b/>
              <w:sz w:val="22"/>
              <w:szCs w:val="22"/>
            </w:rPr>
          </w:pPr>
        </w:p>
      </w:tc>
    </w:tr>
  </w:tbl>
  <w:p w14:paraId="7C3D56C0" w14:textId="77777777" w:rsidR="00802CCB" w:rsidRPr="00BF6CC6" w:rsidRDefault="00802CCB" w:rsidP="00802CCB">
    <w:pPr>
      <w:pStyle w:val="Header"/>
      <w:jc w:val="both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pos="648" w:val="num"/>
        </w:tabs>
        <w:ind w:firstLine="288"/>
      </w:pPr>
      <w:rPr>
        <w:rFonts w:ascii="Times New Roman" w:cs="Times New Roman" w:hAnsi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1">
    <w:nsid w:val="37660336"/>
    <w:multiLevelType w:val="hybridMultilevel"/>
    <w:tmpl w:val="2C8EC13C"/>
    <w:lvl w:ilvl="0" w:tplc="9ACABCEA">
      <w:start w:val="1"/>
      <w:numFmt w:val="bullet"/>
      <w:pStyle w:val="ETASRbulletlist"/>
      <w:lvlText w:val=""/>
      <w:lvlJc w:val="left"/>
      <w:pPr>
        <w:tabs>
          <w:tab w:pos="648" w:val="num"/>
        </w:tabs>
        <w:ind w:hanging="360" w:left="64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4189603E"/>
    <w:multiLevelType w:val="multilevel"/>
    <w:tmpl w:val="3C505140"/>
    <w:lvl w:ilvl="0">
      <w:start w:val="1"/>
      <w:numFmt w:val="upperRoman"/>
      <w:pStyle w:val="Heading1"/>
      <w:lvlText w:val="%1."/>
      <w:lvlJc w:val="center"/>
      <w:pPr>
        <w:tabs>
          <w:tab w:pos="576" w:val="num"/>
        </w:tabs>
        <w:ind w:firstLine="216"/>
      </w:pPr>
      <w:rPr>
        <w:rFonts w:ascii="Times New Roman" w:cs="Times New Roman" w:hAnsi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1">
      <w:start w:val="1"/>
      <w:numFmt w:val="upperLetter"/>
      <w:pStyle w:val="Heading2"/>
      <w:lvlText w:val="%2."/>
      <w:lvlJc w:val="left"/>
      <w:pPr>
        <w:tabs>
          <w:tab w:pos="360" w:val="num"/>
        </w:tabs>
        <w:ind w:hanging="288" w:left="288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2">
      <w:start w:val="1"/>
      <w:numFmt w:val="decimal"/>
      <w:pStyle w:val="Heading3"/>
      <w:lvlText w:val="%3)"/>
      <w:lvlJc w:val="left"/>
      <w:pPr>
        <w:tabs>
          <w:tab w:pos="2160" w:val="num"/>
        </w:tabs>
        <w:ind w:firstLine="180"/>
      </w:pPr>
      <w:rPr>
        <w:rFonts w:ascii="Times New Roman" w:cs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</w:rPr>
    </w:lvl>
    <w:lvl w:ilvl="3">
      <w:start w:val="1"/>
      <w:numFmt w:val="lowerLetter"/>
      <w:pStyle w:val="Heading4"/>
      <w:lvlText w:val="%4)"/>
      <w:lvlJc w:val="left"/>
      <w:pPr>
        <w:tabs>
          <w:tab w:pos="720" w:val="num"/>
        </w:tabs>
        <w:ind w:firstLine="360"/>
      </w:pPr>
      <w:rPr>
        <w:rFonts w:ascii="Times New Roman" w:cs="Times New Roman" w:hAnsi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pos="3240" w:val="num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pos="3960" w:val="num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pos="4680" w:val="num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pos="5400" w:val="num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pos="6120" w:val="num"/>
        </w:tabs>
        <w:ind w:left="5760"/>
      </w:pPr>
      <w:rPr>
        <w:rFonts w:cs="Times New Roman" w:hint="default"/>
      </w:rPr>
    </w:lvl>
  </w:abstractNum>
  <w:abstractNum w15:restartNumberingAfterBreak="0" w:abstractNumId="3">
    <w:nsid w:val="45B21287"/>
    <w:multiLevelType w:val="hybridMultilevel"/>
    <w:tmpl w:val="6BE464EA"/>
    <w:lvl w:ilvl="0" w:tplc="D540B9D2">
      <w:start w:val="1"/>
      <w:numFmt w:val="decimal"/>
      <w:pStyle w:val="ETASRnumberedlist"/>
      <w:lvlText w:val="%1."/>
      <w:lvlJc w:val="left"/>
      <w:pPr>
        <w:ind w:hanging="360" w:left="502"/>
      </w:pPr>
    </w:lvl>
    <w:lvl w:ilvl="1" w:tentative="1" w:tplc="04080019">
      <w:start w:val="1"/>
      <w:numFmt w:val="lowerLetter"/>
      <w:lvlText w:val="%2."/>
      <w:lvlJc w:val="left"/>
      <w:pPr>
        <w:ind w:hanging="360" w:left="1440"/>
      </w:pPr>
    </w:lvl>
    <w:lvl w:ilvl="2" w:tentative="1" w:tplc="0408001B">
      <w:start w:val="1"/>
      <w:numFmt w:val="lowerRoman"/>
      <w:lvlText w:val="%3."/>
      <w:lvlJc w:val="right"/>
      <w:pPr>
        <w:ind w:hanging="180" w:left="2160"/>
      </w:pPr>
    </w:lvl>
    <w:lvl w:ilvl="3" w:tentative="1" w:tplc="0408000F">
      <w:start w:val="1"/>
      <w:numFmt w:val="decimal"/>
      <w:lvlText w:val="%4."/>
      <w:lvlJc w:val="left"/>
      <w:pPr>
        <w:ind w:hanging="360" w:left="2880"/>
      </w:pPr>
    </w:lvl>
    <w:lvl w:ilvl="4" w:tentative="1" w:tplc="04080019">
      <w:start w:val="1"/>
      <w:numFmt w:val="lowerLetter"/>
      <w:lvlText w:val="%5."/>
      <w:lvlJc w:val="left"/>
      <w:pPr>
        <w:ind w:hanging="360" w:left="3600"/>
      </w:pPr>
    </w:lvl>
    <w:lvl w:ilvl="5" w:tentative="1" w:tplc="0408001B">
      <w:start w:val="1"/>
      <w:numFmt w:val="lowerRoman"/>
      <w:lvlText w:val="%6."/>
      <w:lvlJc w:val="right"/>
      <w:pPr>
        <w:ind w:hanging="180" w:left="4320"/>
      </w:pPr>
    </w:lvl>
    <w:lvl w:ilvl="6" w:tentative="1" w:tplc="0408000F">
      <w:start w:val="1"/>
      <w:numFmt w:val="decimal"/>
      <w:lvlText w:val="%7."/>
      <w:lvlJc w:val="left"/>
      <w:pPr>
        <w:ind w:hanging="360" w:left="5040"/>
      </w:pPr>
    </w:lvl>
    <w:lvl w:ilvl="7" w:tentative="1" w:tplc="04080019">
      <w:start w:val="1"/>
      <w:numFmt w:val="lowerLetter"/>
      <w:lvlText w:val="%8."/>
      <w:lvlJc w:val="left"/>
      <w:pPr>
        <w:ind w:hanging="360" w:left="5760"/>
      </w:pPr>
    </w:lvl>
    <w:lvl w:ilvl="8" w:tentative="1" w:tplc="0408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52CA544A"/>
    <w:multiLevelType w:val="singleLevel"/>
    <w:tmpl w:val="90E641EA"/>
    <w:lvl w:ilvl="0">
      <w:start w:val="1"/>
      <w:numFmt w:val="decimal"/>
      <w:pStyle w:val="ETASRreferences"/>
      <w:lvlText w:val="[%1]"/>
      <w:lvlJc w:val="left"/>
      <w:pPr>
        <w:tabs>
          <w:tab w:pos="360" w:val="num"/>
        </w:tabs>
        <w:ind w:hanging="360" w:left="36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</w:abstractNum>
  <w:abstractNum w15:restartNumberingAfterBreak="0" w:abstractNumId="5">
    <w:nsid w:val="6C402C58"/>
    <w:multiLevelType w:val="hybridMultilevel"/>
    <w:tmpl w:val="03F2A2BE"/>
    <w:lvl w:ilvl="0" w:tplc="E5161D66">
      <w:start w:val="1"/>
      <w:numFmt w:val="decimal"/>
      <w:pStyle w:val="ETASRfigurecaption"/>
      <w:lvlText w:val="Fig. %1. "/>
      <w:lvlJc w:val="left"/>
      <w:pPr>
        <w:tabs>
          <w:tab w:pos="720" w:val="num"/>
        </w:tabs>
        <w:ind w:firstLine="0" w:left="0"/>
      </w:pPr>
      <w:rPr>
        <w:rFonts w:ascii="Times New Roman" w:cs="Times New Roman" w:hAnsi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pos="1440" w:val="num"/>
        </w:tabs>
        <w:ind w:hanging="360" w:left="144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pos="2160" w:val="num"/>
        </w:tabs>
        <w:ind w:hanging="180" w:left="216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pos="3600" w:val="num"/>
        </w:tabs>
        <w:ind w:hanging="360" w:left="360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pos="4320" w:val="num"/>
        </w:tabs>
        <w:ind w:hanging="180" w:left="43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pos="5760" w:val="num"/>
        </w:tabs>
        <w:ind w:hanging="360" w:left="57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pos="6480" w:val="num"/>
        </w:tabs>
        <w:ind w:hanging="180" w:left="6480"/>
      </w:pPr>
      <w:rPr>
        <w:rFonts w:cs="Times New Roman"/>
      </w:rPr>
    </w:lvl>
  </w:abstractNum>
  <w:abstractNum w15:restartNumberingAfterBreak="0" w:abstractNumId="6">
    <w:nsid w:val="6F8C114F"/>
    <w:multiLevelType w:val="hybridMultilevel"/>
    <w:tmpl w:val="8BFA7704"/>
    <w:lvl w:ilvl="0" w:tplc="DCB8150C">
      <w:start w:val="1"/>
      <w:numFmt w:val="upperRoman"/>
      <w:pStyle w:val="ETASRtablehead"/>
      <w:lvlText w:val="TABLE %1. "/>
      <w:lvlJc w:val="left"/>
      <w:pPr>
        <w:ind w:hanging="360" w:left="720"/>
      </w:pPr>
      <w:rPr>
        <w:rFonts w:ascii="Times New Roman" w:cs="Times New Roman" w:hAnsi="Times New Roman" w:hint="default"/>
        <w:b w:val="0"/>
        <w:bCs w:val="0"/>
        <w:i w:val="0"/>
        <w:iCs w:val="0"/>
        <w:sz w:val="16"/>
        <w:szCs w:val="16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1292905140" w:numId="1">
    <w:abstractNumId w:val="1"/>
  </w:num>
  <w:num w16cid:durableId="188109741" w:numId="2">
    <w:abstractNumId w:val="5"/>
  </w:num>
  <w:num w16cid:durableId="413405204" w:numId="3">
    <w:abstractNumId w:val="0"/>
  </w:num>
  <w:num w16cid:durableId="476194102" w:numId="4">
    <w:abstractNumId w:val="2"/>
  </w:num>
  <w:num w16cid:durableId="2091079436" w:numId="5">
    <w:abstractNumId w:val="2"/>
  </w:num>
  <w:num w16cid:durableId="1120610182" w:numId="6">
    <w:abstractNumId w:val="2"/>
  </w:num>
  <w:num w16cid:durableId="480578332" w:numId="7">
    <w:abstractNumId w:val="2"/>
  </w:num>
  <w:num w16cid:durableId="1011760149" w:numId="8">
    <w:abstractNumId w:val="4"/>
  </w:num>
  <w:num w16cid:durableId="1827165574" w:numId="9">
    <w:abstractNumId w:val="3"/>
  </w:num>
  <w:num w16cid:durableId="1346664224" w:numId="10">
    <w:abstractNumId w:val="6"/>
  </w:num>
  <w:num w16cid:durableId="1472673865" w:numId="11">
    <w:abstractNumId w:val="1"/>
  </w:num>
  <w:num w16cid:durableId="1515536931" w:numId="12">
    <w:abstractNumId w:val="1"/>
  </w:num>
  <w:num w16cid:durableId="1438797364" w:numId="13">
    <w:abstractNumId w:val="1"/>
  </w:num>
  <w:num w16cid:durableId="746801614" w:numId="14">
    <w:abstractNumId w:val="1"/>
  </w:num>
  <w:num w16cid:durableId="71859133" w:numId="15">
    <w:abstractNumId w:val="1"/>
  </w:num>
  <w:num w16cid:durableId="1744184413" w:numId="16">
    <w:abstractNumId w:val="1"/>
  </w:num>
  <w:num w16cid:durableId="1830511098" w:numId="17">
    <w:abstractNumId w:val="1"/>
  </w:num>
  <w:num w16cid:durableId="1288853791" w:numId="18">
    <w:abstractNumId w:val="1"/>
  </w:num>
  <w:num w16cid:durableId="7681186" w:numId="19">
    <w:abstractNumId w:val="1"/>
  </w:num>
  <w:num w16cid:durableId="613292965" w:numId="20">
    <w:abstractNumId w:val="4"/>
  </w:num>
  <w:num w16cid:durableId="1475951023" w:numId="21">
    <w:abstractNumId w:val="1"/>
  </w:num>
  <w:num w16cid:durableId="1887791003" w:numId="22">
    <w:abstractNumId w:val="2"/>
  </w:num>
  <w:num w16cid:durableId="1406761832" w:numId="23">
    <w:abstractNumId w:val="4"/>
  </w:num>
  <w:num w16cid:durableId="1246526407" w:numId="24">
    <w:abstractNumId w:val="4"/>
  </w:num>
  <w:num w16cid:durableId="1468278641" w:numId="25">
    <w:abstractNumId w:val="1"/>
  </w:num>
  <w:num w16cid:durableId="605384232" w:numId="26">
    <w:abstractNumId w:val="4"/>
  </w:num>
  <w:num w16cid:durableId="575018885" w:numId="27">
    <w:abstractNumId w:val="4"/>
  </w:num>
  <w:num w16cid:durableId="11693558" w:numId="28">
    <w:abstractNumId w:val="4"/>
  </w:num>
  <w:num w16cid:durableId="122506926" w:numId="29">
    <w:abstractNumId w:val="4"/>
  </w:num>
  <w:num w16cid:durableId="1704790714" w:numId="30">
    <w:abstractNumId w:val="4"/>
  </w:num>
  <w:num w16cid:durableId="666860554" w:numId="31">
    <w:abstractNumId w:val="1"/>
  </w:num>
  <w:num w16cid:durableId="1626697800" w:numId="32">
    <w:abstractNumId w:val="4"/>
  </w:num>
  <w:num w16cid:durableId="1795517041" w:numId="33">
    <w:abstractNumId w:val="4"/>
  </w:num>
  <w:num w16cid:durableId="531264502" w:numId="34">
    <w:abstractNumId w:val="1"/>
  </w:num>
  <w:num w16cid:durableId="1783107729" w:numId="35">
    <w:abstractNumId w:val="4"/>
  </w:num>
  <w:num w16cid:durableId="601300801" w:numId="36">
    <w:abstractNumId w:val="1"/>
  </w:num>
  <w:num w16cid:durableId="1021081703" w:numId="37">
    <w:abstractNumId w:val="2"/>
  </w:num>
  <w:num w16cid:durableId="1238326068" w:numId="38">
    <w:abstractNumId w:val="2"/>
  </w:num>
  <w:num w16cid:durableId="1014263990" w:numId="39">
    <w:abstractNumId w:val="3"/>
    <w:lvlOverride w:ilvl="0">
      <w:startOverride w:val="1"/>
    </w:lvlOverride>
  </w:num>
  <w:num w16cid:durableId="209538252" w:numId="40">
    <w:abstractNumId w:val="3"/>
  </w:num>
  <w:num w16cid:durableId="2048600234" w:numId="41">
    <w:abstractNumId w:val="3"/>
    <w:lvlOverride w:ilvl="0">
      <w:startOverride w:val="1"/>
    </w:lvlOverride>
  </w:num>
  <w:num w16cid:durableId="598366219" w:numId="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4033915" w:numId="43">
    <w:abstractNumId w:val="2"/>
  </w:num>
  <w:num w16cid:durableId="1112015495" w:numId="44">
    <w:abstractNumId w:val="3"/>
  </w:num>
  <w:num w16cid:durableId="732315799" w:numId="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attachedTemplate r:id="rId1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oNotHyphenateCaps/>
  <w:clickAndTypeStyle w:val="ETASRbodytext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2F11"/>
    <w:rsid w:val="00012992"/>
    <w:rsid w:val="0001678C"/>
    <w:rsid w:val="00017A6C"/>
    <w:rsid w:val="00030F2E"/>
    <w:rsid w:val="000341EF"/>
    <w:rsid w:val="00041388"/>
    <w:rsid w:val="0005069E"/>
    <w:rsid w:val="00073029"/>
    <w:rsid w:val="000747DF"/>
    <w:rsid w:val="0008397E"/>
    <w:rsid w:val="00090939"/>
    <w:rsid w:val="000A0FC5"/>
    <w:rsid w:val="000B1140"/>
    <w:rsid w:val="000B1B92"/>
    <w:rsid w:val="000B2C93"/>
    <w:rsid w:val="000B5B0C"/>
    <w:rsid w:val="000C5BAB"/>
    <w:rsid w:val="000E0D04"/>
    <w:rsid w:val="000E1F0A"/>
    <w:rsid w:val="000E3A1E"/>
    <w:rsid w:val="000E54AC"/>
    <w:rsid w:val="000E6B3F"/>
    <w:rsid w:val="000E7F57"/>
    <w:rsid w:val="000F2BC9"/>
    <w:rsid w:val="000F5731"/>
    <w:rsid w:val="001016D6"/>
    <w:rsid w:val="001037A3"/>
    <w:rsid w:val="0010518C"/>
    <w:rsid w:val="0010794C"/>
    <w:rsid w:val="0011403B"/>
    <w:rsid w:val="00115637"/>
    <w:rsid w:val="001178A5"/>
    <w:rsid w:val="00117D0E"/>
    <w:rsid w:val="0012285B"/>
    <w:rsid w:val="0012729D"/>
    <w:rsid w:val="00140DA6"/>
    <w:rsid w:val="00146ECB"/>
    <w:rsid w:val="00150192"/>
    <w:rsid w:val="00157777"/>
    <w:rsid w:val="0016008F"/>
    <w:rsid w:val="00165EDC"/>
    <w:rsid w:val="001665A4"/>
    <w:rsid w:val="0017004D"/>
    <w:rsid w:val="00170D8A"/>
    <w:rsid w:val="001821D8"/>
    <w:rsid w:val="00182B21"/>
    <w:rsid w:val="001832BA"/>
    <w:rsid w:val="0019269F"/>
    <w:rsid w:val="0019416F"/>
    <w:rsid w:val="00195CB0"/>
    <w:rsid w:val="00195D6E"/>
    <w:rsid w:val="00197A1B"/>
    <w:rsid w:val="001A3692"/>
    <w:rsid w:val="001A3AD1"/>
    <w:rsid w:val="001A4B1E"/>
    <w:rsid w:val="001B549E"/>
    <w:rsid w:val="001C7B62"/>
    <w:rsid w:val="001C7F73"/>
    <w:rsid w:val="001D0620"/>
    <w:rsid w:val="001D3003"/>
    <w:rsid w:val="001E18F2"/>
    <w:rsid w:val="001E2588"/>
    <w:rsid w:val="001E3459"/>
    <w:rsid w:val="001E3D1B"/>
    <w:rsid w:val="001E412A"/>
    <w:rsid w:val="001E4B70"/>
    <w:rsid w:val="001F0317"/>
    <w:rsid w:val="00200993"/>
    <w:rsid w:val="00204A81"/>
    <w:rsid w:val="00214C02"/>
    <w:rsid w:val="002173DC"/>
    <w:rsid w:val="002323A5"/>
    <w:rsid w:val="0023277A"/>
    <w:rsid w:val="002353F9"/>
    <w:rsid w:val="002361AF"/>
    <w:rsid w:val="0024088F"/>
    <w:rsid w:val="002441B3"/>
    <w:rsid w:val="0024517E"/>
    <w:rsid w:val="00245D4B"/>
    <w:rsid w:val="002512C5"/>
    <w:rsid w:val="00253DF0"/>
    <w:rsid w:val="00257B0C"/>
    <w:rsid w:val="0026123C"/>
    <w:rsid w:val="00261F17"/>
    <w:rsid w:val="002627D2"/>
    <w:rsid w:val="002734EF"/>
    <w:rsid w:val="00273873"/>
    <w:rsid w:val="00274CA7"/>
    <w:rsid w:val="00277648"/>
    <w:rsid w:val="00281916"/>
    <w:rsid w:val="002836F2"/>
    <w:rsid w:val="00297DA8"/>
    <w:rsid w:val="002A2464"/>
    <w:rsid w:val="002A49D0"/>
    <w:rsid w:val="002A6BAD"/>
    <w:rsid w:val="002B159C"/>
    <w:rsid w:val="002B20B3"/>
    <w:rsid w:val="002B2E32"/>
    <w:rsid w:val="002B6584"/>
    <w:rsid w:val="002C0C78"/>
    <w:rsid w:val="002D7CDF"/>
    <w:rsid w:val="002E09C3"/>
    <w:rsid w:val="002E401F"/>
    <w:rsid w:val="00302385"/>
    <w:rsid w:val="003041DB"/>
    <w:rsid w:val="003067C3"/>
    <w:rsid w:val="003142FE"/>
    <w:rsid w:val="003203D2"/>
    <w:rsid w:val="00324960"/>
    <w:rsid w:val="00324FB5"/>
    <w:rsid w:val="00325027"/>
    <w:rsid w:val="00331071"/>
    <w:rsid w:val="00331994"/>
    <w:rsid w:val="00334E23"/>
    <w:rsid w:val="00344DC3"/>
    <w:rsid w:val="00347610"/>
    <w:rsid w:val="00353E23"/>
    <w:rsid w:val="00355284"/>
    <w:rsid w:val="00363879"/>
    <w:rsid w:val="00364EFB"/>
    <w:rsid w:val="00367E28"/>
    <w:rsid w:val="00374D02"/>
    <w:rsid w:val="003818A9"/>
    <w:rsid w:val="00382693"/>
    <w:rsid w:val="00391252"/>
    <w:rsid w:val="003938C7"/>
    <w:rsid w:val="00394B29"/>
    <w:rsid w:val="00395857"/>
    <w:rsid w:val="00396181"/>
    <w:rsid w:val="003B0D3A"/>
    <w:rsid w:val="003B5B23"/>
    <w:rsid w:val="003E31BF"/>
    <w:rsid w:val="003F174E"/>
    <w:rsid w:val="003F37B2"/>
    <w:rsid w:val="003F3897"/>
    <w:rsid w:val="003F67DE"/>
    <w:rsid w:val="003F709B"/>
    <w:rsid w:val="004005B0"/>
    <w:rsid w:val="004121CB"/>
    <w:rsid w:val="00412219"/>
    <w:rsid w:val="00421B2F"/>
    <w:rsid w:val="00422A6F"/>
    <w:rsid w:val="00424271"/>
    <w:rsid w:val="00424BCB"/>
    <w:rsid w:val="00431F36"/>
    <w:rsid w:val="00436F27"/>
    <w:rsid w:val="00437AB9"/>
    <w:rsid w:val="00442AA9"/>
    <w:rsid w:val="00461201"/>
    <w:rsid w:val="00466C15"/>
    <w:rsid w:val="004729A3"/>
    <w:rsid w:val="00480C6E"/>
    <w:rsid w:val="004870FB"/>
    <w:rsid w:val="0049138F"/>
    <w:rsid w:val="00491832"/>
    <w:rsid w:val="00494946"/>
    <w:rsid w:val="004965E4"/>
    <w:rsid w:val="004A189C"/>
    <w:rsid w:val="004B31C9"/>
    <w:rsid w:val="004C19C3"/>
    <w:rsid w:val="004C1BBC"/>
    <w:rsid w:val="004C4824"/>
    <w:rsid w:val="004D000D"/>
    <w:rsid w:val="004D2031"/>
    <w:rsid w:val="004D2F11"/>
    <w:rsid w:val="004D7A2A"/>
    <w:rsid w:val="004E205F"/>
    <w:rsid w:val="004E38BA"/>
    <w:rsid w:val="004E62B7"/>
    <w:rsid w:val="004F5EEA"/>
    <w:rsid w:val="00501BF4"/>
    <w:rsid w:val="00503A6D"/>
    <w:rsid w:val="00505DD3"/>
    <w:rsid w:val="005061B1"/>
    <w:rsid w:val="00506A26"/>
    <w:rsid w:val="005147AE"/>
    <w:rsid w:val="00517FCC"/>
    <w:rsid w:val="00521B36"/>
    <w:rsid w:val="00522FED"/>
    <w:rsid w:val="00524489"/>
    <w:rsid w:val="005277F7"/>
    <w:rsid w:val="005329D9"/>
    <w:rsid w:val="005347B3"/>
    <w:rsid w:val="00535270"/>
    <w:rsid w:val="00535FA0"/>
    <w:rsid w:val="00540E6B"/>
    <w:rsid w:val="00541A3B"/>
    <w:rsid w:val="00553173"/>
    <w:rsid w:val="00553DB0"/>
    <w:rsid w:val="005553A0"/>
    <w:rsid w:val="00555D68"/>
    <w:rsid w:val="005578D6"/>
    <w:rsid w:val="0057055E"/>
    <w:rsid w:val="00571117"/>
    <w:rsid w:val="00572D1D"/>
    <w:rsid w:val="00577AAA"/>
    <w:rsid w:val="00590D17"/>
    <w:rsid w:val="00590FD2"/>
    <w:rsid w:val="00591C83"/>
    <w:rsid w:val="00593043"/>
    <w:rsid w:val="005A2B1C"/>
    <w:rsid w:val="005B0F5D"/>
    <w:rsid w:val="005B1273"/>
    <w:rsid w:val="005C7346"/>
    <w:rsid w:val="005C7A59"/>
    <w:rsid w:val="005D2922"/>
    <w:rsid w:val="005D4C52"/>
    <w:rsid w:val="005D6C94"/>
    <w:rsid w:val="005D7820"/>
    <w:rsid w:val="005E0250"/>
    <w:rsid w:val="005E6E07"/>
    <w:rsid w:val="0060024D"/>
    <w:rsid w:val="006005E1"/>
    <w:rsid w:val="00600A2F"/>
    <w:rsid w:val="00600FBB"/>
    <w:rsid w:val="0060256D"/>
    <w:rsid w:val="00603379"/>
    <w:rsid w:val="00603C9B"/>
    <w:rsid w:val="00606284"/>
    <w:rsid w:val="00610C2E"/>
    <w:rsid w:val="00614BFB"/>
    <w:rsid w:val="00620547"/>
    <w:rsid w:val="0062097D"/>
    <w:rsid w:val="00622881"/>
    <w:rsid w:val="006235C8"/>
    <w:rsid w:val="00623684"/>
    <w:rsid w:val="0063189E"/>
    <w:rsid w:val="00631CE4"/>
    <w:rsid w:val="00640905"/>
    <w:rsid w:val="00645910"/>
    <w:rsid w:val="00646FDE"/>
    <w:rsid w:val="00653024"/>
    <w:rsid w:val="006545D1"/>
    <w:rsid w:val="00662315"/>
    <w:rsid w:val="00663AB1"/>
    <w:rsid w:val="00666BB2"/>
    <w:rsid w:val="00667E56"/>
    <w:rsid w:val="00671C2C"/>
    <w:rsid w:val="00675D76"/>
    <w:rsid w:val="00677C1C"/>
    <w:rsid w:val="00682F53"/>
    <w:rsid w:val="006859F4"/>
    <w:rsid w:val="0069513A"/>
    <w:rsid w:val="00696C34"/>
    <w:rsid w:val="006A2E44"/>
    <w:rsid w:val="006A4E66"/>
    <w:rsid w:val="006B09E6"/>
    <w:rsid w:val="006E1978"/>
    <w:rsid w:val="006F4F20"/>
    <w:rsid w:val="00701BDA"/>
    <w:rsid w:val="00703531"/>
    <w:rsid w:val="007035BC"/>
    <w:rsid w:val="00711FE6"/>
    <w:rsid w:val="00712152"/>
    <w:rsid w:val="007239A8"/>
    <w:rsid w:val="00725C07"/>
    <w:rsid w:val="007317F4"/>
    <w:rsid w:val="00735C54"/>
    <w:rsid w:val="007369DC"/>
    <w:rsid w:val="00736C67"/>
    <w:rsid w:val="00736EA2"/>
    <w:rsid w:val="007506AE"/>
    <w:rsid w:val="00751CC5"/>
    <w:rsid w:val="00752049"/>
    <w:rsid w:val="00752609"/>
    <w:rsid w:val="00757B2B"/>
    <w:rsid w:val="00765C0D"/>
    <w:rsid w:val="0076641E"/>
    <w:rsid w:val="00770F4A"/>
    <w:rsid w:val="007721ED"/>
    <w:rsid w:val="00775D77"/>
    <w:rsid w:val="007770C1"/>
    <w:rsid w:val="00781B92"/>
    <w:rsid w:val="00791B2C"/>
    <w:rsid w:val="007922F5"/>
    <w:rsid w:val="007960B3"/>
    <w:rsid w:val="007A7770"/>
    <w:rsid w:val="007B0236"/>
    <w:rsid w:val="007B0292"/>
    <w:rsid w:val="007B4F15"/>
    <w:rsid w:val="007B7A6A"/>
    <w:rsid w:val="007C48C1"/>
    <w:rsid w:val="007D0C81"/>
    <w:rsid w:val="007E0CC1"/>
    <w:rsid w:val="007E1F18"/>
    <w:rsid w:val="007E33C4"/>
    <w:rsid w:val="00802CCB"/>
    <w:rsid w:val="00803BA6"/>
    <w:rsid w:val="008071EA"/>
    <w:rsid w:val="008109E6"/>
    <w:rsid w:val="00814C3F"/>
    <w:rsid w:val="00817269"/>
    <w:rsid w:val="00822C14"/>
    <w:rsid w:val="008240A7"/>
    <w:rsid w:val="008249FB"/>
    <w:rsid w:val="008256DB"/>
    <w:rsid w:val="00830302"/>
    <w:rsid w:val="00831697"/>
    <w:rsid w:val="008348DD"/>
    <w:rsid w:val="00841C26"/>
    <w:rsid w:val="00847F1A"/>
    <w:rsid w:val="00851EF4"/>
    <w:rsid w:val="008532A3"/>
    <w:rsid w:val="00853B60"/>
    <w:rsid w:val="00857DFD"/>
    <w:rsid w:val="008606F2"/>
    <w:rsid w:val="00862210"/>
    <w:rsid w:val="00863390"/>
    <w:rsid w:val="008633AA"/>
    <w:rsid w:val="00864517"/>
    <w:rsid w:val="00874B6E"/>
    <w:rsid w:val="00877C2C"/>
    <w:rsid w:val="00885D57"/>
    <w:rsid w:val="00886371"/>
    <w:rsid w:val="00886DEC"/>
    <w:rsid w:val="00891635"/>
    <w:rsid w:val="00895E8D"/>
    <w:rsid w:val="008A20E8"/>
    <w:rsid w:val="008A5793"/>
    <w:rsid w:val="008A63D2"/>
    <w:rsid w:val="008A70AA"/>
    <w:rsid w:val="008B206D"/>
    <w:rsid w:val="008B6A23"/>
    <w:rsid w:val="008B741D"/>
    <w:rsid w:val="008C2716"/>
    <w:rsid w:val="008C2A18"/>
    <w:rsid w:val="008D0AF0"/>
    <w:rsid w:val="008D150A"/>
    <w:rsid w:val="008D6C61"/>
    <w:rsid w:val="008E7628"/>
    <w:rsid w:val="008F1CFB"/>
    <w:rsid w:val="008F2563"/>
    <w:rsid w:val="008F67D4"/>
    <w:rsid w:val="00901869"/>
    <w:rsid w:val="0091666D"/>
    <w:rsid w:val="00925DC6"/>
    <w:rsid w:val="00926524"/>
    <w:rsid w:val="00931338"/>
    <w:rsid w:val="009322FA"/>
    <w:rsid w:val="00932B63"/>
    <w:rsid w:val="009370C4"/>
    <w:rsid w:val="00943C62"/>
    <w:rsid w:val="009523BB"/>
    <w:rsid w:val="00954824"/>
    <w:rsid w:val="00955247"/>
    <w:rsid w:val="00961866"/>
    <w:rsid w:val="00966EAF"/>
    <w:rsid w:val="00972340"/>
    <w:rsid w:val="00972D2E"/>
    <w:rsid w:val="009733D5"/>
    <w:rsid w:val="00974BC4"/>
    <w:rsid w:val="00977778"/>
    <w:rsid w:val="00981591"/>
    <w:rsid w:val="0098166C"/>
    <w:rsid w:val="00981E33"/>
    <w:rsid w:val="00982563"/>
    <w:rsid w:val="00982611"/>
    <w:rsid w:val="00986C48"/>
    <w:rsid w:val="00987755"/>
    <w:rsid w:val="009928C8"/>
    <w:rsid w:val="009A26D2"/>
    <w:rsid w:val="009A737F"/>
    <w:rsid w:val="009B2663"/>
    <w:rsid w:val="009C25E7"/>
    <w:rsid w:val="009C47AD"/>
    <w:rsid w:val="009D2091"/>
    <w:rsid w:val="009D22A4"/>
    <w:rsid w:val="009D27B5"/>
    <w:rsid w:val="009E0067"/>
    <w:rsid w:val="009E17D8"/>
    <w:rsid w:val="009E1E69"/>
    <w:rsid w:val="009F6AD0"/>
    <w:rsid w:val="00A02397"/>
    <w:rsid w:val="00A033AB"/>
    <w:rsid w:val="00A12811"/>
    <w:rsid w:val="00A13F19"/>
    <w:rsid w:val="00A14599"/>
    <w:rsid w:val="00A21539"/>
    <w:rsid w:val="00A355FD"/>
    <w:rsid w:val="00A36452"/>
    <w:rsid w:val="00A40A08"/>
    <w:rsid w:val="00A45FC2"/>
    <w:rsid w:val="00A474D3"/>
    <w:rsid w:val="00A50867"/>
    <w:rsid w:val="00A50EA7"/>
    <w:rsid w:val="00A517C4"/>
    <w:rsid w:val="00A5417E"/>
    <w:rsid w:val="00A57619"/>
    <w:rsid w:val="00A663B2"/>
    <w:rsid w:val="00A71B79"/>
    <w:rsid w:val="00A75F05"/>
    <w:rsid w:val="00A84C24"/>
    <w:rsid w:val="00A919A5"/>
    <w:rsid w:val="00A929DF"/>
    <w:rsid w:val="00A948F1"/>
    <w:rsid w:val="00A97D5B"/>
    <w:rsid w:val="00AA1EF5"/>
    <w:rsid w:val="00AA35CB"/>
    <w:rsid w:val="00AA7324"/>
    <w:rsid w:val="00AB2E3D"/>
    <w:rsid w:val="00AB30D6"/>
    <w:rsid w:val="00AD045B"/>
    <w:rsid w:val="00AD4758"/>
    <w:rsid w:val="00AE046B"/>
    <w:rsid w:val="00AE07C0"/>
    <w:rsid w:val="00AE1ABC"/>
    <w:rsid w:val="00AE7355"/>
    <w:rsid w:val="00AF3E87"/>
    <w:rsid w:val="00AF66B9"/>
    <w:rsid w:val="00B03815"/>
    <w:rsid w:val="00B055EE"/>
    <w:rsid w:val="00B12058"/>
    <w:rsid w:val="00B2437F"/>
    <w:rsid w:val="00B31140"/>
    <w:rsid w:val="00B44F4C"/>
    <w:rsid w:val="00B47BB8"/>
    <w:rsid w:val="00B532CE"/>
    <w:rsid w:val="00B54E13"/>
    <w:rsid w:val="00B60DE7"/>
    <w:rsid w:val="00B61289"/>
    <w:rsid w:val="00B65273"/>
    <w:rsid w:val="00B66D64"/>
    <w:rsid w:val="00B70014"/>
    <w:rsid w:val="00B72F40"/>
    <w:rsid w:val="00B747B2"/>
    <w:rsid w:val="00B75534"/>
    <w:rsid w:val="00B81171"/>
    <w:rsid w:val="00B840E7"/>
    <w:rsid w:val="00B86B84"/>
    <w:rsid w:val="00B92D4D"/>
    <w:rsid w:val="00B944C3"/>
    <w:rsid w:val="00BA4BFE"/>
    <w:rsid w:val="00BB178A"/>
    <w:rsid w:val="00BB18EE"/>
    <w:rsid w:val="00BC6D2A"/>
    <w:rsid w:val="00BD577E"/>
    <w:rsid w:val="00BD6F67"/>
    <w:rsid w:val="00BD70BA"/>
    <w:rsid w:val="00BE3342"/>
    <w:rsid w:val="00BE59BF"/>
    <w:rsid w:val="00BF523A"/>
    <w:rsid w:val="00BF6CC6"/>
    <w:rsid w:val="00BF7E7A"/>
    <w:rsid w:val="00C0526C"/>
    <w:rsid w:val="00C06B0E"/>
    <w:rsid w:val="00C107ED"/>
    <w:rsid w:val="00C122C9"/>
    <w:rsid w:val="00C13F92"/>
    <w:rsid w:val="00C22E2B"/>
    <w:rsid w:val="00C30A64"/>
    <w:rsid w:val="00C3261C"/>
    <w:rsid w:val="00C34118"/>
    <w:rsid w:val="00C36630"/>
    <w:rsid w:val="00C410C5"/>
    <w:rsid w:val="00C4279F"/>
    <w:rsid w:val="00C44D4B"/>
    <w:rsid w:val="00C46D3D"/>
    <w:rsid w:val="00C46DF4"/>
    <w:rsid w:val="00C52F11"/>
    <w:rsid w:val="00C52FC6"/>
    <w:rsid w:val="00C540BF"/>
    <w:rsid w:val="00C57E1A"/>
    <w:rsid w:val="00C67939"/>
    <w:rsid w:val="00C67F3E"/>
    <w:rsid w:val="00C71E89"/>
    <w:rsid w:val="00C75A90"/>
    <w:rsid w:val="00C83949"/>
    <w:rsid w:val="00C9666B"/>
    <w:rsid w:val="00CA5D04"/>
    <w:rsid w:val="00CA647B"/>
    <w:rsid w:val="00CB6258"/>
    <w:rsid w:val="00CB778C"/>
    <w:rsid w:val="00CC1CC8"/>
    <w:rsid w:val="00CC3304"/>
    <w:rsid w:val="00CC4E63"/>
    <w:rsid w:val="00CE03E7"/>
    <w:rsid w:val="00CE4855"/>
    <w:rsid w:val="00CE4D9A"/>
    <w:rsid w:val="00CF051D"/>
    <w:rsid w:val="00CF0DD2"/>
    <w:rsid w:val="00CF0F48"/>
    <w:rsid w:val="00D0063E"/>
    <w:rsid w:val="00D06F18"/>
    <w:rsid w:val="00D13233"/>
    <w:rsid w:val="00D14824"/>
    <w:rsid w:val="00D22706"/>
    <w:rsid w:val="00D23C3C"/>
    <w:rsid w:val="00D27DA0"/>
    <w:rsid w:val="00D33175"/>
    <w:rsid w:val="00D37B8A"/>
    <w:rsid w:val="00D51152"/>
    <w:rsid w:val="00D61C13"/>
    <w:rsid w:val="00D66DF4"/>
    <w:rsid w:val="00D7073B"/>
    <w:rsid w:val="00D904A1"/>
    <w:rsid w:val="00D909AF"/>
    <w:rsid w:val="00D91A3B"/>
    <w:rsid w:val="00D91C03"/>
    <w:rsid w:val="00D958DE"/>
    <w:rsid w:val="00DA466E"/>
    <w:rsid w:val="00DA7E98"/>
    <w:rsid w:val="00DB2E3A"/>
    <w:rsid w:val="00DB4852"/>
    <w:rsid w:val="00DC1CB5"/>
    <w:rsid w:val="00DC3887"/>
    <w:rsid w:val="00DD13FF"/>
    <w:rsid w:val="00DD6F1D"/>
    <w:rsid w:val="00DE223E"/>
    <w:rsid w:val="00DF0F3D"/>
    <w:rsid w:val="00DF3388"/>
    <w:rsid w:val="00DF3CE1"/>
    <w:rsid w:val="00DF5E0B"/>
    <w:rsid w:val="00DF6448"/>
    <w:rsid w:val="00E0081C"/>
    <w:rsid w:val="00E05053"/>
    <w:rsid w:val="00E05DA0"/>
    <w:rsid w:val="00E07E65"/>
    <w:rsid w:val="00E1016B"/>
    <w:rsid w:val="00E16A94"/>
    <w:rsid w:val="00E225AE"/>
    <w:rsid w:val="00E31D3A"/>
    <w:rsid w:val="00E40420"/>
    <w:rsid w:val="00E41D0E"/>
    <w:rsid w:val="00E42CB0"/>
    <w:rsid w:val="00E472F8"/>
    <w:rsid w:val="00E50193"/>
    <w:rsid w:val="00E50266"/>
    <w:rsid w:val="00E50730"/>
    <w:rsid w:val="00E5523E"/>
    <w:rsid w:val="00E578FC"/>
    <w:rsid w:val="00E6764E"/>
    <w:rsid w:val="00E77F15"/>
    <w:rsid w:val="00E86E04"/>
    <w:rsid w:val="00E87E8F"/>
    <w:rsid w:val="00E97E45"/>
    <w:rsid w:val="00EA234C"/>
    <w:rsid w:val="00EA5556"/>
    <w:rsid w:val="00EB34F1"/>
    <w:rsid w:val="00EC4CD4"/>
    <w:rsid w:val="00ED08B5"/>
    <w:rsid w:val="00ED27FD"/>
    <w:rsid w:val="00ED385C"/>
    <w:rsid w:val="00ED6973"/>
    <w:rsid w:val="00ED7C4A"/>
    <w:rsid w:val="00EE0C77"/>
    <w:rsid w:val="00EE4728"/>
    <w:rsid w:val="00EF044E"/>
    <w:rsid w:val="00EF181C"/>
    <w:rsid w:val="00F05E70"/>
    <w:rsid w:val="00F13B33"/>
    <w:rsid w:val="00F13DBB"/>
    <w:rsid w:val="00F1657B"/>
    <w:rsid w:val="00F1774B"/>
    <w:rsid w:val="00F22930"/>
    <w:rsid w:val="00F33731"/>
    <w:rsid w:val="00F34A08"/>
    <w:rsid w:val="00F51311"/>
    <w:rsid w:val="00F52363"/>
    <w:rsid w:val="00F645F8"/>
    <w:rsid w:val="00F64B71"/>
    <w:rsid w:val="00F7781B"/>
    <w:rsid w:val="00F80944"/>
    <w:rsid w:val="00F86CE0"/>
    <w:rsid w:val="00F91F81"/>
    <w:rsid w:val="00FA20AC"/>
    <w:rsid w:val="00FA5A4C"/>
    <w:rsid w:val="00FB39DC"/>
    <w:rsid w:val="00FB52A4"/>
    <w:rsid w:val="00FB6D03"/>
    <w:rsid w:val="00FC39EB"/>
    <w:rsid w:val="00FC5265"/>
    <w:rsid w:val="00FC6E9B"/>
    <w:rsid w:val="00FD132B"/>
    <w:rsid w:val="00FD25E9"/>
    <w:rsid w:val="00FD6492"/>
    <w:rsid w:val="00FE0FA5"/>
    <w:rsid w:val="00FE2A7A"/>
    <w:rsid w:val="00FE501C"/>
    <w:rsid w:val="00FF0DC4"/>
    <w:rsid w:val="00FF1798"/>
    <w:rsid w:val="00FF77D3"/>
  </w:rsids>
  <w:themeFontLang w:val="el-GR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l-GR" w:eastAsia="el-GR" w:bidi="ar-SA"/>
      </w:rPr>
    </w:rPrDefault>
    <w:pPrDefault>
      <w:pPr>
        <w:jc w:val="center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0905"/>
    <w:rPr>
      <w:lang w:val="en-US" w:eastAsia="en-US"/>
    </w:rPr>
  </w:style>
  <w:style w:type="paragraph" w:styleId="Heading1">
    <w:name w:val="heading 1"/>
    <w:basedOn w:val="Normal"/>
    <w:next w:val="Normal"/>
    <w:qFormat/>
    <w:rsid w:val="00886DEC"/>
    <w:pPr>
      <w:keepNext/>
      <w:keepLines/>
      <w:numPr>
        <w:numId w:val="4"/>
      </w:numPr>
      <w:tabs>
        <w:tab w:val="left" w:pos="216"/>
      </w:tabs>
      <w:spacing w:before="160" w:after="80"/>
      <w:outlineLvl w:val="0"/>
    </w:pPr>
    <w:rPr>
      <w:caps/>
      <w:noProof/>
    </w:rPr>
  </w:style>
  <w:style w:type="paragraph" w:styleId="Heading2">
    <w:name w:val="heading 2"/>
    <w:basedOn w:val="Normal"/>
    <w:next w:val="Normal"/>
    <w:qFormat/>
    <w:rsid w:val="009E0067"/>
    <w:pPr>
      <w:keepNext/>
      <w:keepLines/>
      <w:numPr>
        <w:ilvl w:val="1"/>
        <w:numId w:val="5"/>
      </w:numPr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link w:val="Heading3Char"/>
    <w:qFormat/>
    <w:rsid w:val="009E0067"/>
    <w:pPr>
      <w:numPr>
        <w:ilvl w:val="2"/>
        <w:numId w:val="6"/>
      </w:numPr>
      <w:spacing w:line="240" w:lineRule="exac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link w:val="Heading4Char"/>
    <w:qFormat/>
    <w:rsid w:val="009E0067"/>
    <w:pPr>
      <w:numPr>
        <w:ilvl w:val="3"/>
        <w:numId w:val="7"/>
      </w:numPr>
      <w:spacing w:before="40" w:after="40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link w:val="Heading5Char"/>
    <w:qFormat/>
    <w:rsid w:val="009E0067"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ASRauthor">
    <w:name w:val="ETASR author"/>
    <w:basedOn w:val="Normal"/>
    <w:rsid w:val="00214C02"/>
    <w:pPr>
      <w:spacing w:after="40"/>
      <w:ind w:left="1134"/>
      <w:jc w:val="left"/>
    </w:pPr>
    <w:rPr>
      <w:rFonts w:eastAsia="MS Mincho"/>
      <w:b/>
      <w:noProof/>
      <w:sz w:val="22"/>
      <w:szCs w:val="22"/>
    </w:rPr>
  </w:style>
  <w:style w:type="paragraph" w:customStyle="1" w:styleId="ETASRHeading1">
    <w:name w:val="ETASR Heading 1"/>
    <w:basedOn w:val="Heading1"/>
    <w:rsid w:val="00666BB2"/>
    <w:rPr>
      <w:rFonts w:eastAsia="MS Mincho"/>
    </w:rPr>
  </w:style>
  <w:style w:type="paragraph" w:customStyle="1" w:styleId="ETASRsponsors">
    <w:name w:val="ETASR sponsors"/>
    <w:basedOn w:val="Normal"/>
    <w:rsid w:val="00653024"/>
    <w:pPr>
      <w:framePr w:wrap="auto" w:vAnchor="page" w:hAnchor="page" w:x="894" w:y="14401"/>
      <w:pBdr>
        <w:top w:val="single" w:sz="4" w:space="2" w:color="auto"/>
      </w:pBdr>
      <w:ind w:firstLine="288"/>
      <w:jc w:val="left"/>
    </w:pPr>
    <w:rPr>
      <w:rFonts w:eastAsia="MS Mincho"/>
      <w:sz w:val="16"/>
      <w:szCs w:val="16"/>
    </w:rPr>
  </w:style>
  <w:style w:type="paragraph" w:customStyle="1" w:styleId="ETASRaffiliation">
    <w:name w:val="ETASR affiliation"/>
    <w:basedOn w:val="Normal"/>
    <w:link w:val="ETASRaffiliationChar"/>
    <w:rsid w:val="00214C02"/>
    <w:pPr>
      <w:ind w:left="1134"/>
      <w:jc w:val="both"/>
    </w:pPr>
    <w:rPr>
      <w:rFonts w:eastAsia="MS Mincho"/>
      <w:sz w:val="22"/>
    </w:rPr>
  </w:style>
  <w:style w:type="paragraph" w:customStyle="1" w:styleId="ETASRHeading2">
    <w:name w:val="ETASR Heading 2"/>
    <w:basedOn w:val="Heading2"/>
    <w:rsid w:val="00A14599"/>
    <w:rPr>
      <w:rFonts w:eastAsia="MS Mincho"/>
    </w:rPr>
  </w:style>
  <w:style w:type="paragraph" w:customStyle="1" w:styleId="equation">
    <w:name w:val="equation"/>
    <w:basedOn w:val="Normal"/>
    <w:rsid w:val="009E0067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ETASRkeywords">
    <w:name w:val="ETASR key words"/>
    <w:basedOn w:val="Normal"/>
    <w:rsid w:val="00FD6492"/>
    <w:pPr>
      <w:spacing w:after="120"/>
      <w:ind w:left="1134" w:right="1098"/>
      <w:jc w:val="both"/>
    </w:pPr>
    <w:rPr>
      <w:rFonts w:eastAsia="MS Mincho"/>
      <w:b/>
      <w:bCs/>
      <w:i/>
      <w:iCs/>
      <w:noProof/>
      <w:sz w:val="18"/>
      <w:szCs w:val="18"/>
    </w:rPr>
  </w:style>
  <w:style w:type="paragraph" w:customStyle="1" w:styleId="footnote">
    <w:name w:val="footnote"/>
    <w:rsid w:val="009E0067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  <w:lang w:val="en-US" w:eastAsia="en-US"/>
    </w:rPr>
  </w:style>
  <w:style w:type="paragraph" w:customStyle="1" w:styleId="ETASRHeading3">
    <w:name w:val="ETASR Heading 3"/>
    <w:basedOn w:val="Heading3"/>
    <w:link w:val="ETASRHeading3Char"/>
    <w:qFormat/>
    <w:rsid w:val="00E6764E"/>
    <w:pPr>
      <w:tabs>
        <w:tab w:val="clear" w:pos="2160"/>
        <w:tab w:val="left" w:pos="284"/>
      </w:tabs>
      <w:spacing w:before="120" w:after="60"/>
      <w:ind w:firstLine="0"/>
      <w:jc w:val="left"/>
    </w:pPr>
    <w:rPr>
      <w:rFonts w:eastAsia="MS Mincho"/>
    </w:rPr>
  </w:style>
  <w:style w:type="paragraph" w:customStyle="1" w:styleId="ETASRHeading5bold">
    <w:name w:val="ETASR Heading 5+bold"/>
    <w:basedOn w:val="Heading5"/>
    <w:link w:val="ETASRHeading5boldChar"/>
    <w:qFormat/>
    <w:rsid w:val="00886DEC"/>
    <w:rPr>
      <w:rFonts w:eastAsia="MS Mincho"/>
      <w:b/>
      <w:caps/>
      <w:smallCaps w:val="0"/>
    </w:rPr>
  </w:style>
  <w:style w:type="character" w:customStyle="1" w:styleId="Heading5Char">
    <w:name w:val="Heading 5 Char"/>
    <w:link w:val="Heading5"/>
    <w:rsid w:val="00ED27FD"/>
    <w:rPr>
      <w:rFonts w:eastAsia="SimSun"/>
      <w:smallCaps/>
      <w:noProof/>
      <w:lang w:val="en-US" w:eastAsia="en-US" w:bidi="ar-SA"/>
    </w:rPr>
  </w:style>
  <w:style w:type="character" w:customStyle="1" w:styleId="ETASRHeading5boldChar">
    <w:name w:val="ETASR Heading 5+bold Char"/>
    <w:link w:val="ETASRHeading5bold"/>
    <w:rsid w:val="00886DEC"/>
    <w:rPr>
      <w:rFonts w:eastAsia="MS Mincho"/>
      <w:b/>
      <w:caps/>
      <w:noProof/>
      <w:lang w:val="en-US" w:eastAsia="en-US"/>
    </w:rPr>
  </w:style>
  <w:style w:type="character" w:customStyle="1" w:styleId="Heading3Char">
    <w:name w:val="Heading 3 Char"/>
    <w:link w:val="Heading3"/>
    <w:rsid w:val="007B0292"/>
    <w:rPr>
      <w:i/>
      <w:iCs/>
      <w:noProof/>
      <w:lang w:val="en-US" w:eastAsia="en-US"/>
    </w:rPr>
  </w:style>
  <w:style w:type="paragraph" w:styleId="BodyText">
    <w:name w:val="Body Text"/>
    <w:basedOn w:val="Normal"/>
    <w:rsid w:val="001D0620"/>
    <w:pPr>
      <w:spacing w:after="120" w:line="228" w:lineRule="auto"/>
      <w:ind w:firstLine="288"/>
      <w:jc w:val="both"/>
    </w:pPr>
    <w:rPr>
      <w:spacing w:val="-1"/>
    </w:rPr>
  </w:style>
  <w:style w:type="paragraph" w:customStyle="1" w:styleId="figurecaption">
    <w:name w:val="figure caption"/>
    <w:rsid w:val="001D0620"/>
    <w:pPr>
      <w:tabs>
        <w:tab w:val="num" w:pos="720"/>
      </w:tabs>
      <w:spacing w:before="80" w:after="200"/>
    </w:pPr>
    <w:rPr>
      <w:noProof/>
      <w:sz w:val="16"/>
      <w:szCs w:val="16"/>
      <w:lang w:val="en-US" w:eastAsia="en-US"/>
    </w:rPr>
  </w:style>
  <w:style w:type="paragraph" w:customStyle="1" w:styleId="tablefootnote">
    <w:name w:val="table footnote"/>
    <w:rsid w:val="001D0620"/>
    <w:pPr>
      <w:spacing w:before="60" w:after="30"/>
      <w:jc w:val="right"/>
    </w:pPr>
    <w:rPr>
      <w:sz w:val="12"/>
      <w:szCs w:val="12"/>
      <w:lang w:val="en-US" w:eastAsia="en-US"/>
    </w:rPr>
  </w:style>
  <w:style w:type="paragraph" w:customStyle="1" w:styleId="ETASRfigurecaption">
    <w:name w:val="ETASR figure caption"/>
    <w:basedOn w:val="figurecaption"/>
    <w:rsid w:val="001D0620"/>
    <w:pPr>
      <w:numPr>
        <w:numId w:val="2"/>
      </w:numPr>
    </w:pPr>
  </w:style>
  <w:style w:type="paragraph" w:customStyle="1" w:styleId="ETASRtablecolhead">
    <w:name w:val="ETASR table col head"/>
    <w:qFormat/>
    <w:rsid w:val="003F709B"/>
    <w:pPr>
      <w:ind w:firstLine="6"/>
    </w:pPr>
    <w:rPr>
      <w:b/>
      <w:bCs/>
      <w:sz w:val="16"/>
      <w:szCs w:val="16"/>
      <w:lang w:val="en-US" w:eastAsia="en-US"/>
    </w:rPr>
  </w:style>
  <w:style w:type="paragraph" w:styleId="Header">
    <w:name w:val="header"/>
    <w:basedOn w:val="Normal"/>
    <w:rsid w:val="002B20B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B20B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8A20E8"/>
    <w:pPr>
      <w:ind w:firstLine="198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TASRbodytext">
    <w:name w:val="ETASR body text"/>
    <w:basedOn w:val="Normal"/>
    <w:link w:val="ETASRbodytextChar"/>
    <w:qFormat/>
    <w:rsid w:val="00666BB2"/>
    <w:pPr>
      <w:spacing w:after="120" w:line="228" w:lineRule="auto"/>
      <w:ind w:firstLine="288"/>
      <w:jc w:val="both"/>
    </w:pPr>
    <w:rPr>
      <w:rFonts w:eastAsia="MS Mincho"/>
      <w:spacing w:val="-1"/>
    </w:rPr>
  </w:style>
  <w:style w:type="paragraph" w:customStyle="1" w:styleId="ETASRbulletlist">
    <w:name w:val="ETASR bullet list"/>
    <w:basedOn w:val="E-mailSignature"/>
    <w:qFormat/>
    <w:rsid w:val="00090939"/>
    <w:pPr>
      <w:numPr>
        <w:numId w:val="1"/>
      </w:numPr>
      <w:tabs>
        <w:tab w:val="clear" w:pos="648"/>
        <w:tab w:val="num" w:pos="284"/>
      </w:tabs>
      <w:spacing w:after="120" w:line="228" w:lineRule="auto"/>
      <w:ind w:left="284" w:hanging="284"/>
      <w:jc w:val="both"/>
    </w:pPr>
    <w:rPr>
      <w:rFonts w:eastAsia="MS Mincho"/>
      <w:spacing w:val="-1"/>
    </w:rPr>
  </w:style>
  <w:style w:type="paragraph" w:customStyle="1" w:styleId="ETASRreferences">
    <w:name w:val="ETASR references"/>
    <w:basedOn w:val="Normal"/>
    <w:qFormat/>
    <w:rsid w:val="00666BB2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character" w:customStyle="1" w:styleId="ETASRHeading3Char">
    <w:name w:val="ETASR Heading 3 Char"/>
    <w:link w:val="ETASRHeading3"/>
    <w:rsid w:val="00E6764E"/>
    <w:rPr>
      <w:rFonts w:eastAsia="MS Mincho"/>
      <w:i/>
      <w:iCs/>
      <w:noProof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5347B3"/>
    <w:rPr>
      <w:color w:val="808080"/>
    </w:rPr>
  </w:style>
  <w:style w:type="paragraph" w:customStyle="1" w:styleId="ETASRabstract">
    <w:name w:val="ETASR abstract"/>
    <w:basedOn w:val="Normal"/>
    <w:rsid w:val="00FD6492"/>
    <w:pPr>
      <w:spacing w:after="200"/>
      <w:ind w:left="1134" w:right="1098"/>
      <w:jc w:val="both"/>
    </w:pPr>
    <w:rPr>
      <w:rFonts w:eastAsia="MS Mincho"/>
      <w:b/>
      <w:bCs/>
      <w:sz w:val="18"/>
      <w:szCs w:val="18"/>
    </w:rPr>
  </w:style>
  <w:style w:type="paragraph" w:customStyle="1" w:styleId="ETASRpapertitle">
    <w:name w:val="ETASR paper title"/>
    <w:basedOn w:val="Normal"/>
    <w:rsid w:val="00214C02"/>
    <w:pPr>
      <w:spacing w:after="120"/>
      <w:ind w:left="1134"/>
      <w:jc w:val="left"/>
    </w:pPr>
    <w:rPr>
      <w:rFonts w:eastAsia="MS Mincho"/>
      <w:noProof/>
      <w:sz w:val="48"/>
      <w:szCs w:val="48"/>
    </w:rPr>
  </w:style>
  <w:style w:type="paragraph" w:customStyle="1" w:styleId="ETASRpapersubtitle">
    <w:name w:val="ETASR paper subtitle"/>
    <w:basedOn w:val="Normal"/>
    <w:rsid w:val="00214C02"/>
    <w:pPr>
      <w:spacing w:after="120"/>
      <w:ind w:left="1134"/>
      <w:jc w:val="left"/>
    </w:pPr>
    <w:rPr>
      <w:rFonts w:eastAsia="MS Mincho"/>
      <w:noProof/>
      <w:sz w:val="28"/>
      <w:szCs w:val="28"/>
    </w:rPr>
  </w:style>
  <w:style w:type="paragraph" w:customStyle="1" w:styleId="ETASRHeading4">
    <w:name w:val="ETASR Heading 4"/>
    <w:basedOn w:val="Heading4"/>
    <w:link w:val="ETASRHeading4Char"/>
    <w:rsid w:val="00622881"/>
    <w:rPr>
      <w:rFonts w:eastAsia="MS Mincho"/>
    </w:rPr>
  </w:style>
  <w:style w:type="character" w:customStyle="1" w:styleId="Heading4Char">
    <w:name w:val="Heading 4 Char"/>
    <w:link w:val="Heading4"/>
    <w:rsid w:val="00622881"/>
    <w:rPr>
      <w:i/>
      <w:iCs/>
      <w:noProof/>
      <w:lang w:val="en-US" w:eastAsia="en-US"/>
    </w:rPr>
  </w:style>
  <w:style w:type="character" w:customStyle="1" w:styleId="ETASRHeading4Char">
    <w:name w:val="ETASR Heading 4 Char"/>
    <w:link w:val="ETASRHeading4"/>
    <w:rsid w:val="00622881"/>
    <w:rPr>
      <w:rFonts w:eastAsia="MS Mincho"/>
      <w:i/>
      <w:iCs/>
      <w:noProof/>
      <w:lang w:val="en-US" w:eastAsia="en-US"/>
    </w:rPr>
  </w:style>
  <w:style w:type="paragraph" w:styleId="BalloonText">
    <w:name w:val="Balloon Text"/>
    <w:basedOn w:val="Normal"/>
    <w:link w:val="BalloonTextChar"/>
    <w:rsid w:val="005347B3"/>
    <w:rPr>
      <w:rFonts w:ascii="Tahoma" w:hAnsi="Tahoma" w:cs="Tahoma"/>
      <w:sz w:val="16"/>
      <w:szCs w:val="16"/>
    </w:rPr>
  </w:style>
  <w:style w:type="paragraph" w:customStyle="1" w:styleId="ETASRtablehead">
    <w:name w:val="ETASR table head"/>
    <w:basedOn w:val="Normal"/>
    <w:link w:val="ETASRtableheadChar"/>
    <w:autoRedefine/>
    <w:rsid w:val="00F22930"/>
    <w:pPr>
      <w:numPr>
        <w:numId w:val="10"/>
      </w:numPr>
      <w:spacing w:before="240" w:after="120" w:line="216" w:lineRule="auto"/>
    </w:pPr>
    <w:rPr>
      <w:smallCaps/>
      <w:noProof/>
      <w:sz w:val="16"/>
      <w:szCs w:val="16"/>
    </w:rPr>
  </w:style>
  <w:style w:type="paragraph" w:customStyle="1" w:styleId="ETASRtablecolsubhead">
    <w:name w:val="ETASR table col subhead"/>
    <w:basedOn w:val="Normal"/>
    <w:rsid w:val="003E31BF"/>
    <w:pPr>
      <w:ind w:firstLine="6"/>
    </w:pPr>
    <w:rPr>
      <w:b/>
      <w:bCs/>
      <w:i/>
      <w:iCs/>
      <w:sz w:val="15"/>
      <w:szCs w:val="15"/>
    </w:rPr>
  </w:style>
  <w:style w:type="paragraph" w:customStyle="1" w:styleId="ETASRtablecopy">
    <w:name w:val="ETASR table copy"/>
    <w:basedOn w:val="Normal"/>
    <w:rsid w:val="003F709B"/>
    <w:pPr>
      <w:ind w:firstLine="6"/>
    </w:pPr>
    <w:rPr>
      <w:noProof/>
      <w:sz w:val="16"/>
      <w:szCs w:val="16"/>
    </w:rPr>
  </w:style>
  <w:style w:type="paragraph" w:customStyle="1" w:styleId="ETASRtablefootnote063">
    <w:name w:val="ETASR table footnote + Αριστερά:  0.63 εκ."/>
    <w:basedOn w:val="Normal"/>
    <w:rsid w:val="00302385"/>
    <w:pPr>
      <w:spacing w:before="60" w:after="30"/>
      <w:ind w:left="360"/>
      <w:jc w:val="right"/>
    </w:pPr>
    <w:rPr>
      <w:rFonts w:eastAsia="MS Mincho"/>
      <w:sz w:val="12"/>
      <w:szCs w:val="12"/>
    </w:rPr>
  </w:style>
  <w:style w:type="character" w:customStyle="1" w:styleId="BalloonTextChar">
    <w:name w:val="Balloon Text Char"/>
    <w:basedOn w:val="DefaultParagraphFont"/>
    <w:link w:val="BalloonText"/>
    <w:rsid w:val="005347B3"/>
    <w:rPr>
      <w:rFonts w:ascii="Tahoma" w:hAnsi="Tahoma" w:cs="Tahoma"/>
      <w:sz w:val="16"/>
      <w:szCs w:val="16"/>
      <w:lang w:val="en-US" w:eastAsia="en-US"/>
    </w:rPr>
  </w:style>
  <w:style w:type="paragraph" w:customStyle="1" w:styleId="ETASRnumberedlist">
    <w:name w:val="ETASR numbered list"/>
    <w:basedOn w:val="Normal"/>
    <w:link w:val="ETASRnumberedlistChar"/>
    <w:qFormat/>
    <w:rsid w:val="00577AAA"/>
    <w:pPr>
      <w:numPr>
        <w:numId w:val="9"/>
      </w:numPr>
      <w:spacing w:after="120"/>
      <w:jc w:val="both"/>
    </w:pPr>
  </w:style>
  <w:style w:type="character" w:customStyle="1" w:styleId="ETASRnumberedlistChar">
    <w:name w:val="ETASR numbered list Char"/>
    <w:basedOn w:val="DefaultParagraphFont"/>
    <w:link w:val="ETASRnumberedlist"/>
    <w:rsid w:val="00577AAA"/>
    <w:rPr>
      <w:lang w:val="en-US" w:eastAsia="en-US"/>
    </w:rPr>
  </w:style>
  <w:style w:type="paragraph" w:customStyle="1" w:styleId="ETASRTABLEHEAD0">
    <w:name w:val="ETASR TABLE HEAD"/>
    <w:basedOn w:val="ETASRtablehead"/>
    <w:next w:val="ETASRbodytext"/>
    <w:link w:val="ETASRTABLEHEADChar0"/>
    <w:rsid w:val="00886DEC"/>
    <w:rPr>
      <w:caps/>
      <w:smallCaps w:val="0"/>
    </w:rPr>
  </w:style>
  <w:style w:type="character" w:customStyle="1" w:styleId="ETASRtableheadChar">
    <w:name w:val="ETASR table head Char"/>
    <w:basedOn w:val="DefaultParagraphFont"/>
    <w:link w:val="ETASRtablehead"/>
    <w:rsid w:val="00F22930"/>
    <w:rPr>
      <w:smallCaps/>
      <w:noProof/>
      <w:sz w:val="16"/>
      <w:szCs w:val="16"/>
      <w:lang w:val="en-US" w:eastAsia="en-US"/>
    </w:rPr>
  </w:style>
  <w:style w:type="character" w:customStyle="1" w:styleId="ETASRTABLEHEADChar0">
    <w:name w:val="ETASR TABLE HEAD Char"/>
    <w:basedOn w:val="ETASRtableheadChar"/>
    <w:link w:val="ETASRTABLEHEAD0"/>
    <w:rsid w:val="00886DEC"/>
    <w:rPr>
      <w:caps/>
      <w:smallCaps w:val="0"/>
      <w:noProof/>
      <w:sz w:val="16"/>
      <w:szCs w:val="16"/>
      <w:lang w:val="en-US" w:eastAsia="en-US"/>
    </w:rPr>
  </w:style>
  <w:style w:type="character" w:styleId="Hyperlink">
    <w:name w:val="Hyperlink"/>
    <w:basedOn w:val="DefaultParagraphFont"/>
    <w:rsid w:val="00F7781B"/>
    <w:rPr>
      <w:color w:val="0000FF" w:themeColor="hyperlink"/>
      <w:u w:val="single"/>
    </w:rPr>
  </w:style>
  <w:style w:type="paragraph" w:customStyle="1" w:styleId="Default">
    <w:name w:val="Default"/>
    <w:rsid w:val="00851EF4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E0D04"/>
    <w:rPr>
      <w:i/>
      <w:iCs/>
    </w:rPr>
  </w:style>
  <w:style w:type="paragraph" w:styleId="E-mailSignature">
    <w:name w:val="E-mail Signature"/>
    <w:basedOn w:val="Normal"/>
    <w:link w:val="E-mailSignatureChar"/>
    <w:rsid w:val="00F91F81"/>
  </w:style>
  <w:style w:type="character" w:customStyle="1" w:styleId="E-mailSignatureChar">
    <w:name w:val="E-mail Signature Char"/>
    <w:basedOn w:val="DefaultParagraphFont"/>
    <w:link w:val="E-mailSignature"/>
    <w:rsid w:val="00F91F81"/>
    <w:rPr>
      <w:lang w:val="en-US" w:eastAsia="en-US"/>
    </w:rPr>
  </w:style>
  <w:style w:type="paragraph" w:customStyle="1" w:styleId="ETASRdates">
    <w:name w:val="ETASR dates"/>
    <w:basedOn w:val="ETASRaffiliation"/>
    <w:link w:val="ETASRdatesChar"/>
    <w:qFormat/>
    <w:rsid w:val="0024517E"/>
    <w:pPr>
      <w:spacing w:before="120"/>
      <w:ind w:left="1138"/>
      <w:jc w:val="center"/>
    </w:pPr>
    <w:rPr>
      <w:i/>
      <w:sz w:val="16"/>
      <w:szCs w:val="16"/>
    </w:rPr>
  </w:style>
  <w:style w:type="character" w:customStyle="1" w:styleId="ETASRaffiliationChar">
    <w:name w:val="ETASR affiliation Char"/>
    <w:basedOn w:val="DefaultParagraphFont"/>
    <w:link w:val="ETASRaffiliation"/>
    <w:rsid w:val="00214C02"/>
    <w:rPr>
      <w:rFonts w:eastAsia="MS Mincho"/>
      <w:sz w:val="22"/>
      <w:lang w:val="en-US" w:eastAsia="en-US"/>
    </w:rPr>
  </w:style>
  <w:style w:type="character" w:customStyle="1" w:styleId="ETASRdatesChar">
    <w:name w:val="ETASR dates Char"/>
    <w:basedOn w:val="ETASRaffiliationChar"/>
    <w:link w:val="ETASRdates"/>
    <w:rsid w:val="0024517E"/>
    <w:rPr>
      <w:rFonts w:eastAsia="MS Mincho"/>
      <w:i/>
      <w:sz w:val="16"/>
      <w:szCs w:val="16"/>
      <w:lang w:val="en-US" w:eastAsia="en-US"/>
    </w:rPr>
  </w:style>
  <w:style w:type="paragraph" w:customStyle="1" w:styleId="ETASRHeading5">
    <w:name w:val="ETASR Heading 5"/>
    <w:basedOn w:val="ETASRHeading5bold"/>
    <w:link w:val="ETASRHeading5Char"/>
    <w:qFormat/>
    <w:rsid w:val="005A2B1C"/>
    <w:rPr>
      <w:b w:val="0"/>
    </w:rPr>
  </w:style>
  <w:style w:type="character" w:customStyle="1" w:styleId="ETASRHeading5Char">
    <w:name w:val="ETASR Heading 5 Char"/>
    <w:basedOn w:val="DefaultParagraphFont"/>
    <w:link w:val="ETASRHeading5"/>
    <w:rsid w:val="005A2B1C"/>
    <w:rPr>
      <w:rFonts w:eastAsia="MS Mincho"/>
      <w:caps/>
      <w:noProof/>
      <w:lang w:val="en-US" w:eastAsia="en-US"/>
    </w:rPr>
  </w:style>
  <w:style w:type="character" w:customStyle="1" w:styleId="name">
    <w:name w:val="name"/>
    <w:basedOn w:val="DefaultParagraphFont"/>
    <w:rsid w:val="000B5B0C"/>
  </w:style>
  <w:style w:type="character" w:customStyle="1" w:styleId="affiliation">
    <w:name w:val="affiliation"/>
    <w:basedOn w:val="DefaultParagraphFont"/>
    <w:rsid w:val="000B5B0C"/>
  </w:style>
  <w:style w:type="paragraph" w:customStyle="1" w:styleId="ETASRcode">
    <w:name w:val="ETASR code"/>
    <w:basedOn w:val="ETASRbodytext"/>
    <w:link w:val="ETASRcodeChar"/>
    <w:qFormat/>
    <w:rsid w:val="001E2588"/>
    <w:pPr>
      <w:spacing w:after="0" w:line="240" w:lineRule="auto"/>
      <w:ind w:firstLine="0"/>
      <w:jc w:val="left"/>
    </w:pPr>
    <w:rPr>
      <w:rFonts w:ascii="Courier New" w:hAnsi="Courier New"/>
    </w:rPr>
  </w:style>
  <w:style w:type="character" w:customStyle="1" w:styleId="ETASRbodytextChar">
    <w:name w:val="ETASR body text Char"/>
    <w:basedOn w:val="DefaultParagraphFont"/>
    <w:link w:val="ETASRbodytext"/>
    <w:rsid w:val="007B4F15"/>
    <w:rPr>
      <w:rFonts w:eastAsia="MS Mincho"/>
      <w:spacing w:val="-1"/>
      <w:lang w:val="en-US" w:eastAsia="en-US"/>
    </w:rPr>
  </w:style>
  <w:style w:type="character" w:customStyle="1" w:styleId="ETASRcodeChar">
    <w:name w:val="ETASR code Char"/>
    <w:basedOn w:val="ETASRbodytextChar"/>
    <w:link w:val="ETASRcode"/>
    <w:rsid w:val="001E2588"/>
    <w:rPr>
      <w:rFonts w:ascii="Courier New" w:eastAsia="MS Mincho" w:hAnsi="Courier New"/>
      <w:spacing w:val="-1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0F5D"/>
    <w:rPr>
      <w:color w:val="605E5C"/>
      <w:shd w:val="clear" w:color="auto" w:fill="E1DFDD"/>
    </w:rPr>
  </w:style>
  <w:style w:type="character" w:customStyle="1" w:styleId="q-box">
    <w:name w:val="q-box"/>
    <w:basedOn w:val="DefaultParagraphFont"/>
    <w:rsid w:val="007C48C1"/>
  </w:style>
  <w:style w:type="paragraph" w:styleId="NormalWeb">
    <w:name w:val="Normal (Web)"/>
    <w:basedOn w:val="Normal"/>
    <w:semiHidden/>
    <w:unhideWhenUsed/>
    <w:rsid w:val="004D000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56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8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7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65215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90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13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5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16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9043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3812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885841">
          <w:marLeft w:val="-240"/>
          <w:marRight w:val="-24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9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419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67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63302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3" Target="numbering.xml" /><Relationship Type="http://schemas.openxmlformats.org/officeDocument/2006/relationships/styles" Id="rId22" Target="styles.xml" /><Relationship Type="http://schemas.openxmlformats.org/officeDocument/2006/relationships/settings" Id="rId21" Target="settings.xml" /><Relationship Type="http://schemas.openxmlformats.org/officeDocument/2006/relationships/webSettings" Id="rId20" Target="webSettings.xml" /><Relationship Type="http://schemas.openxmlformats.org/officeDocument/2006/relationships/fontTable" Id="rId19" Target="fontTable.xml" /><Relationship Type="http://schemas.openxmlformats.org/officeDocument/2006/relationships/theme" Id="rId18" Target="theme/theme1.xml" /><Relationship Type="http://schemas.openxmlformats.org/officeDocument/2006/relationships/footnotes" Id="rId17" Target="footnotes.xml" /><Relationship Type="http://schemas.openxmlformats.org/officeDocument/2006/relationships/comments" Id="rId16" Target="comments.xml" /><Relationship Id="rId8" Target="header1.xml" Type="http://schemas.openxmlformats.org/officeDocument/2006/relationships/header" /><Relationship Id="rId12" Target="media/image2.wmf" Type="http://schemas.openxmlformats.org/officeDocument/2006/relationships/image" /><Relationship Id="rId15" Target="media/image4.png" Type="http://schemas.openxmlformats.org/officeDocument/2006/relationships/image" /><Relationship Id="rId10" Target="media/image1.wmf" Type="http://schemas.openxmlformats.org/officeDocument/2006/relationships/image" /><Relationship Id="rId9" Target="footer1.xml" Type="http://schemas.openxmlformats.org/officeDocument/2006/relationships/footer" /><Relationship Id="rId14" Target="media/image3.png" Type="http://schemas.openxmlformats.org/officeDocument/2006/relationships/image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hyperlink" Id="rId59" Target="https://github.com/vokasitibrawijaya/byzantine-robust-fl-blockcha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github.com/vokasitibrawijaya/byzantine-robust-fl-blockchain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ropbox\ETASR_papers\templates\ETASRTEMPLATE_n_check_thi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ETASRTEMPLATE_n_check_this.dotx</Template>
  <TotalTime>327</TotalTime>
  <Pages>6</Pages>
  <Words>4171</Words>
  <Characters>23781</Characters>
  <Application>Microsoft Office Word</Application>
  <DocSecurity>0</DocSecurity>
  <Lines>198</Lines>
  <Paragraphs>55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Τίτλος</vt:lpstr>
      </vt:variant>
      <vt:variant>
        <vt:i4>1</vt:i4>
      </vt:variant>
    </vt:vector>
  </HeadingPairs>
  <TitlesOfParts>
    <vt:vector size="2" baseType="lpstr">
      <vt:lpstr>ETASR TEMPLATE</vt:lpstr>
      <vt:lpstr>ETASR PAPER FORMAT</vt:lpstr>
    </vt:vector>
  </TitlesOfParts>
  <Company>ETASR</Company>
  <LinksUpToDate>false</LinksUpToDate>
  <CharactersWithSpaces>27897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2026-06-24T17:47:16Z</dcterms:created>
  <dcterms:modified xsi:type="dcterms:W3CDTF">2026-06-24T17:47:16Z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