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2.png" ContentType="image/png"/>
  <Override PartName="/word/media/rId46.png" ContentType="image/png"/>
  <Override PartName="/word/media/image1.wmf" ContentType="image/x-wmf"/>
  <Override PartName="/word/media/image2.wmf" ContentType="image/x-wmf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ponse-to-reviewer-comments"/>
    <w:p>
      <w:pPr>
        <w:pStyle w:val="Title"/>
        <w:jc w:val="left"/>
      </w:pPr>
      <w:r>
        <w:t xml:space="preserve">Response to Reviewer Comments</w:t>
      </w:r>
    </w:p>
    <w:p>
      <w:pPr>
        <w:pStyle w:val="FirstParagraph"/>
      </w:pPr>
      <w:r>
        <w:rPr>
          <w:b/>
          <w:bCs/>
        </w:rPr>
        <w:t xml:space="preserve">Manuscript #18579</w:t>
      </w:r>
      <w:r>
        <w:br/>
      </w:r>
      <w:r>
        <w:rPr>
          <w:b/>
          <w:bCs/>
        </w:rPr>
        <w:t xml:space="preserve">Revised title:</w:t>
      </w:r>
      <w:r>
        <w:rPr>
          <w:b/>
          <w:bCs/>
        </w:rPr>
        <w:t xml:space="preserve"> </w:t>
      </w:r>
      <w:r>
        <w:rPr>
          <w:b/>
          <w:bCs/>
        </w:rPr>
        <w:t xml:space="preserve">“Byzantine-Robust Federated Learning with Adaptive Aggregation and Blockchain: A Reproducible Empirical Evaluation”</w:t>
      </w:r>
    </w:p>
    <w:p>
      <w:pPr>
        <w:pStyle w:val="BodyText"/>
      </w:pPr>
      <w:r>
        <w:t xml:space="preserve">We thank the editor and reviewers for their constructive comments. The manuscript</w:t>
      </w:r>
      <w:r>
        <w:t xml:space="preserve"> </w:t>
      </w:r>
      <w:r>
        <w:t xml:space="preserve">has been rebuilt around one reproducible experiment rather than combining results</w:t>
      </w:r>
      <w:r>
        <w:t xml:space="preserve"> </w:t>
      </w:r>
      <w:r>
        <w:t xml:space="preserve">from incompatible configurations. We also removed claims that were not supported</w:t>
      </w:r>
      <w:r>
        <w:t xml:space="preserve"> </w:t>
      </w:r>
      <w:r>
        <w:t xml:space="preserve">by the final experiment, including the Transparency Paradox, Layer-2 deployment,</w:t>
      </w:r>
      <w:r>
        <w:t xml:space="preserve"> </w:t>
      </w:r>
      <w:r>
        <w:t xml:space="preserve">production readiness, CIFAR-10 comparisons from legacy scripts, and projected</w:t>
      </w:r>
      <w:r>
        <w:t xml:space="preserve"> </w:t>
      </w:r>
      <w:r>
        <w:t xml:space="preserve">blockchain costs. The revised manuscript and response are provided in this single</w:t>
      </w:r>
      <w:r>
        <w:t xml:space="preserve"> </w:t>
      </w:r>
      <w:r>
        <w:t xml:space="preserve">file as requested.</w:t>
      </w:r>
    </w:p>
    <w:bookmarkStart w:id="24" w:name="reviewer-a"/>
    <w:p>
      <w:pPr>
        <w:pStyle w:val="Heading2"/>
      </w:pPr>
      <w:r>
        <w:t xml:space="preserve">Reviewer A</w:t>
      </w:r>
    </w:p>
    <w:p>
      <w:pPr>
        <w:pStyle w:val="FirstParagraph"/>
      </w:pPr>
      <w:r>
        <w:rPr>
          <w:b/>
          <w:bCs/>
        </w:rPr>
        <w:t xml:space="preserve">Comment A1:</w:t>
      </w:r>
      <w:r>
        <w:t xml:space="preserve"> </w:t>
      </w:r>
      <w:r>
        <w:t xml:space="preserve">“Attack types are limited to label-flip and random noise;</w:t>
      </w:r>
      <w:r>
        <w:t xml:space="preserve"> </w:t>
      </w:r>
      <w:r>
        <w:t xml:space="preserve">sophisticated attacks (ALIE [18], backdoor [20]) require future study.”</w:t>
      </w:r>
      <w:r>
        <w:t xml:space="preserve"> </w:t>
      </w:r>
      <w:r>
        <w:t xml:space="preserve">Rephrase</w:t>
      </w:r>
      <w:r>
        <w:t xml:space="preserve"> </w:t>
      </w:r>
      <w:r>
        <w:t xml:space="preserve">this as the citations look strange now.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limitation is now stated with named authors and methods:</w:t>
      </w:r>
      <w:r>
        <w:t xml:space="preserve"> </w:t>
      </w:r>
      <w:r>
        <w:t xml:space="preserve">“This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[5] and targeted backdoor</w:t>
      </w:r>
      <w:r>
        <w:t xml:space="preserve"> </w:t>
      </w:r>
      <w:r>
        <w:t xml:space="preserve">attacks studied by Sun et al. [6], remain outside the present scope.”</w:t>
      </w:r>
      <w:r>
        <w:t xml:space="preserve"> </w:t>
      </w:r>
      <w:r>
        <w:t xml:space="preserve">The</w:t>
      </w:r>
      <w:r>
        <w:t xml:space="preserve"> </w:t>
      </w:r>
      <w:r>
        <w:t xml:space="preserve">references now unambiguously identify the cited attacks.</w:t>
      </w:r>
    </w:p>
    <w:p>
      <w:pPr>
        <w:pStyle w:val="BodyText"/>
      </w:pPr>
      <w:r>
        <w:rPr>
          <w:b/>
          <w:bCs/>
        </w:rPr>
        <w:t xml:space="preserve">Comment A2:</w:t>
      </w:r>
      <w:r>
        <w:t xml:space="preserve"> </w:t>
      </w:r>
      <w:r>
        <w:t xml:space="preserve">Figures 1–2 not readable.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Figures 1 and 2 were regenerated directly from the final</w:t>
      </w:r>
      <w:r>
        <w:t xml:space="preserve"> </w:t>
      </w:r>
      <w:r>
        <w:t xml:space="preserve">three-seed result file at 300 DPI. Figure 1 reports mean convergence with one</w:t>
      </w:r>
      <w:r>
        <w:t xml:space="preserve"> </w:t>
      </w:r>
      <w:r>
        <w:t xml:space="preserve">standard-deviation bands. Figure 2 reports final mean accuracy with</w:t>
      </w:r>
      <w:r>
        <w:t xml:space="preserve"> </w:t>
      </w:r>
      <m:oMath>
        <m:r>
          <m:t>t</m:t>
        </m:r>
      </m:oMath>
      <w:r>
        <w:t xml:space="preserve">-distribution 95% confidence intervals. Labels, line widths, markers, and</w:t>
      </w:r>
      <w:r>
        <w:t xml:space="preserve"> </w:t>
      </w:r>
      <w:r>
        <w:t xml:space="preserve">legends were enlarged.</w:t>
      </w:r>
    </w:p>
    <w:p>
      <w:pPr>
        <w:pStyle w:val="BodyText"/>
      </w:pPr>
      <w:r>
        <w:rPr>
          <w:b/>
          <w:bCs/>
        </w:rPr>
        <w:t xml:space="preserve">Comment A3:</w:t>
      </w:r>
      <w:r>
        <w:t xml:space="preserve"> </w:t>
      </w:r>
      <w:r>
        <w:t xml:space="preserve">Conclusion (and article) too short I think.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manuscript now provides a complete threat model, exact</w:t>
      </w:r>
      <w:r>
        <w:t xml:space="preserve"> </w:t>
      </w:r>
      <w:r>
        <w:t xml:space="preserve">implementation parameters, formal aggregation equations, a step-by-step</w:t>
      </w:r>
      <w:r>
        <w:t xml:space="preserve"> </w:t>
      </w:r>
      <w:r>
        <w:t xml:space="preserve">procedure, statistical analysis, measured blockchain evidence, limitations, and</w:t>
      </w:r>
      <w:r>
        <w:t xml:space="preserve"> </w:t>
      </w:r>
      <w:r>
        <w:t xml:space="preserve">an expanded conclusion.</w:t>
      </w:r>
    </w:p>
    <w:p>
      <w:pPr>
        <w:pStyle w:val="BodyText"/>
      </w:pPr>
      <w:r>
        <w:rPr>
          <w:b/>
          <w:bCs/>
        </w:rPr>
        <w:t xml:space="preserve">Comment A4:</w:t>
      </w:r>
      <w:r>
        <w:t xml:space="preserve"> </w:t>
      </w:r>
      <w:r>
        <w:t xml:space="preserve">Expand it to include comparative analysis, contribution</w:t>
      </w:r>
      <w:r>
        <w:t xml:space="preserve"> </w:t>
      </w:r>
      <w:r>
        <w:t xml:space="preserve">discussion.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Sections 4 and 5 now compare clean FedAvg, attacked FedAvg,</w:t>
      </w:r>
      <w:r>
        <w:t xml:space="preserve"> </w:t>
      </w:r>
      <w:r>
        <w:t xml:space="preserve">Krum, TrimmedMean, and ATMA under the same configuration. The discussion</w:t>
      </w:r>
      <w:r>
        <w:t xml:space="preserve"> </w:t>
      </w:r>
      <w:r>
        <w:t xml:space="preserve">distinguishes accuracy, robustness, adaptation, and auditability. In particular,</w:t>
      </w:r>
      <w:r>
        <w:t xml:space="preserve"> </w:t>
      </w:r>
      <w:r>
        <w:t xml:space="preserve">we explicitly report that ATMA and static TrimmedMean have statistically</w:t>
      </w:r>
      <w:r>
        <w:t xml:space="preserve"> </w:t>
      </w:r>
      <w:r>
        <w:t xml:space="preserve">indistinguishable final accuracy in this experiment, while ATMA contributes</w:t>
      </w:r>
      <w:r>
        <w:t xml:space="preserve"> </w:t>
      </w:r>
      <w:r>
        <w:t xml:space="preserve">automatic trim adaptation and client-level anomaly flags.</w:t>
      </w:r>
    </w:p>
    <w:bookmarkEnd w:id="24"/>
    <w:bookmarkStart w:id="25" w:name="reviewer-b"/>
    <w:p>
      <w:pPr>
        <w:pStyle w:val="Heading2"/>
      </w:pPr>
      <w:r>
        <w:t xml:space="preserve">Reviewer B</w:t>
      </w:r>
    </w:p>
    <w:p>
      <w:pPr>
        <w:pStyle w:val="FirstParagraph"/>
      </w:pPr>
      <w:r>
        <w:rPr>
          <w:b/>
          <w:bCs/>
        </w:rPr>
        <w:t xml:space="preserve">Comment B1:</w:t>
      </w:r>
      <w:r>
        <w:t xml:space="preserve"> </w:t>
      </w:r>
      <w:r>
        <w:t xml:space="preserve">It is not clear what EXACTLY the authors did and how</w:t>
      </w:r>
      <w:r>
        <w:t xml:space="preserve"> </w:t>
      </w:r>
      <w:r>
        <w:t xml:space="preserve">(step by step).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 3.7 now lists the executed procedure step by step. The</w:t>
      </w:r>
      <w:r>
        <w:t xml:space="preserve"> </w:t>
      </w:r>
      <w:r>
        <w:t xml:space="preserve">single experiment uses the actual MNIST dataset, one fixed CNN architecture,</w:t>
      </w:r>
      <w:r>
        <w:t xml:space="preserve"> </w:t>
      </w:r>
      <w:r>
        <w:t xml:space="preserve">20 clients, full participation, four fixed Byzantine clients, Dirichlet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partitioning, 20 rounds, three SGD mini-batches per client per</w:t>
      </w:r>
      <w:r>
        <w:t xml:space="preserve"> </w:t>
      </w:r>
      <w:r>
        <w:t xml:space="preserve">round, learning rate 0.05, seeds 42/43/44, and the same combined label-flip and</w:t>
      </w:r>
      <w:r>
        <w:t xml:space="preserve"> </w:t>
      </w:r>
      <w:r>
        <w:t xml:space="preserve">scaled-update attack for all defended and undefended methods. The exact result</w:t>
      </w:r>
      <w:r>
        <w:t xml:space="preserve"> </w:t>
      </w:r>
      <w:r>
        <w:t xml:space="preserve">artifact is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Comment B2:</w:t>
      </w:r>
      <w:r>
        <w:t xml:space="preserve"> </w:t>
      </w:r>
      <w:r>
        <w:t xml:space="preserve">There is no point in throwing a lot of terms without being</w:t>
      </w:r>
      <w:r>
        <w:t xml:space="preserve"> </w:t>
      </w:r>
      <w:r>
        <w:t xml:space="preserve">specific on what you did exactly and how. Not generic information. SPECIFICALLY</w:t>
      </w:r>
      <w:r>
        <w:t xml:space="preserve"> </w:t>
      </w:r>
      <w:r>
        <w:t xml:space="preserve">in this work.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Generic and unsupported sections were removed. The revised</w:t>
      </w:r>
      <w:r>
        <w:t xml:space="preserve"> </w:t>
      </w:r>
      <w:r>
        <w:t xml:space="preserve">methodology defines every transformation, aggregator, statistical calculation,</w:t>
      </w:r>
      <w:r>
        <w:t xml:space="preserve"> </w:t>
      </w:r>
      <w:r>
        <w:t xml:space="preserve">and blockchain transaction used in this work. The Krum implementation excludes</w:t>
      </w:r>
      <w:r>
        <w:t xml:space="preserve"> </w:t>
      </w:r>
      <w:r>
        <w:t xml:space="preserve">self-distance and uses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other neighbors. ATMA is stateful and updates its</w:t>
      </w:r>
      <w:r>
        <w:t xml:space="preserve"> </w:t>
      </w:r>
      <w:r>
        <w:t xml:space="preserve">trim ratio from the observed robust outlier fraction. Blockchain evidence comes</w:t>
      </w:r>
      <w:r>
        <w:t xml:space="preserve"> </w:t>
      </w:r>
      <w:r>
        <w:t xml:space="preserve">from an actually deployed Solidity contract on Ganache and includes 420</w:t>
      </w:r>
      <w:r>
        <w:t xml:space="preserve"> </w:t>
      </w:r>
      <w:r>
        <w:t xml:space="preserve">successful transactions plus deployment, rather than estimated transactions.</w:t>
      </w:r>
    </w:p>
    <w:p>
      <w:pPr>
        <w:pStyle w:val="BodyText"/>
        <w:sectPr w:rsidR="004C4824" w:rsidSect="004C4824">
          <w:headerReference w:type="default" r:id="rId8"/>
          <w:footerReference w:type="default" r:id="rId9"/>
          <w:type w:val="nextPage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  <w:jc w:val="center"/>
      </w:pPr>
      <w:r>
        <w:rPr>
          <w:b/>
          <w:bCs/>
        </w:rPr>
        <w:t xml:space="preserve">REVISED MANUSCRIPT FOLLOWS</w:t>
      </w:r>
    </w:p>
    <w:p>
      <w:pPr>
        <w:pStyle w:val="Title"/>
        <w:jc w:val="center"/>
        <w:pageBreakBefore/>
      </w:pPr>
      <w:r>
        <w:rPr>
          <w:b/>
          <w:bCs/>
        </w:rPr>
        <w:t xml:space="preserve">Byzantine-Robust Federated Learning with Adaptive Aggregation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Blockchain: A Reproducible Empirical Evaluation</w:t>
      </w:r>
    </w:p>
    <w:p>
      <w:pPr>
        <w:pStyle w:val="BodyText"/>
        <w:jc w:val="center"/>
      </w:pPr>
      <w:r>
        <w:t xml:space="preserve">Rachmad Andri Atmoko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, Sholeh Hadi Pramono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M. Fauzan Edy Purnomo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 Panca Mudjirahardjo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Mahdin Rohmatillah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, and Cries Avian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br/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Electrical Engineering Department, Faculty of Engineering,</w:t>
      </w:r>
      <w:r>
        <w:t xml:space="preserve"> </w:t>
      </w:r>
      <w:r>
        <w:t xml:space="preserve">Universitas Brawijaya, Malang 65145, Indonesia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Faculty of Vocational Studies, Universitas Brawijaya,</w:t>
      </w:r>
      <w:r>
        <w:t xml:space="preserve"> </w:t>
      </w:r>
      <w:r>
        <w:t xml:space="preserve">Malang 65145, Indonesia</w:t>
      </w:r>
      <w:r>
        <w:br/>
      </w:r>
      <w:r>
        <w:rPr>
          <w:i/>
          <w:iCs/>
        </w:rPr>
        <w:t xml:space="preserve">Corresponding author: Sholeh Hadi Pramono</w:t>
      </w:r>
      <w:r>
        <w:rPr>
          <w:i/>
          <w:iCs/>
        </w:rPr>
        <w:t xml:space="preserve"> </w:t>
      </w:r>
      <w:r>
        <w:rPr>
          <w:i/>
          <w:iCs/>
        </w:rPr>
        <w:t xml:space="preserve">(sholehpramono@ub.ac.id)</w:t>
      </w:r>
    </w:p>
    <w:bookmarkEnd w:id="25"/>
    <w:bookmarkEnd w:id="26"/>
    <w:bookmarkStart w:id="27" w:name="abstract"/>
    <w:p>
      <w:pPr>
        <w:pStyle w:val="Heading1"/>
        <w:jc w:val="center"/>
      </w:pPr>
      <w:r>
        <w:t xml:space="preserve">Abstract</w:t>
      </w:r>
    </w:p>
    <w:p>
      <w:pPr>
        <w:pStyle w:val="FirstParagraph"/>
      </w:pPr>
      <w:r>
        <w:t xml:space="preserve">Federated learning is vulnerable to Byzantine clients that transmit malicious</w:t>
      </w:r>
      <w:r>
        <w:t xml:space="preserve"> </w:t>
      </w:r>
      <w:r>
        <w:t xml:space="preserve">model updates. This study presents a reproducible comparison of FedAvg, Krum,</w:t>
      </w:r>
      <w:r>
        <w:t xml:space="preserve"> </w:t>
      </w:r>
      <w:r>
        <w:t xml:space="preserve">coordinate-wise TrimmedMean, and an adaptive trimmed mean aggregation method</w:t>
      </w:r>
      <w:r>
        <w:t xml:space="preserve"> </w:t>
      </w:r>
      <w:r>
        <w:t xml:space="preserve">(ATMA), with an Ethereum-compatible audit contract. All methods are evaluated</w:t>
      </w:r>
      <w:r>
        <w:t xml:space="preserve"> </w:t>
      </w:r>
      <w:r>
        <w:t xml:space="preserve">under one configuration using MNIST, 20 clients, four Byzantine clients,</w:t>
      </w:r>
      <w:r>
        <w:t xml:space="preserve"> </w:t>
      </w:r>
      <w:r>
        <w:t xml:space="preserve">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 non-IID partitions, full client participation, 20</w:t>
      </w:r>
      <w:r>
        <w:t xml:space="preserve"> </w:t>
      </w:r>
      <w:r>
        <w:t xml:space="preserve">communication rounds, and seeds 42, 43, and 44. Byzantine clients train on</w:t>
      </w:r>
      <w:r>
        <w:t xml:space="preserve"> </w:t>
      </w:r>
      <w:r>
        <w:t xml:space="preserve">cyclically flipped labels and scale the transmitted model delta by 5. Clean</w:t>
      </w:r>
      <w:r>
        <w:t xml:space="preserve"> </w:t>
      </w:r>
      <w:r>
        <w:t xml:space="preserve">FedAvg reaches</w:t>
      </w:r>
      <w:r>
        <w:t xml:space="preserve"> </w:t>
      </w:r>
      <m:oMath>
        <m:r>
          <m:t>82.49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1.29</m:t>
        </m:r>
        <m:r>
          <m:rPr>
            <m:sty m:val="p"/>
          </m:rPr>
          <m:t>%</m:t>
        </m:r>
      </m:oMath>
      <w:r>
        <w:t xml:space="preserve"> </w:t>
      </w:r>
      <w:r>
        <w:t xml:space="preserve">final accuracy, whereas attacked FedAvg falls</w:t>
      </w:r>
      <w:r>
        <w:t xml:space="preserve"> </w:t>
      </w:r>
      <w:r>
        <w:t xml:space="preserve">to</w:t>
      </w:r>
      <w:r>
        <w:t xml:space="preserve"> </w:t>
      </w:r>
      <m:oMath>
        <m:r>
          <m:t>22.36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2.81</m:t>
        </m:r>
        <m:r>
          <m:rPr>
            <m:sty m:val="p"/>
          </m:rPr>
          <m:t>%</m:t>
        </m:r>
      </m:oMath>
      <w:r>
        <w:t xml:space="preserve">. Krum reaches</w:t>
      </w:r>
      <w:r>
        <w:t xml:space="preserve"> </w:t>
      </w:r>
      <m:oMath>
        <m:r>
          <m:t>60.01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7.37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TrimmedMean reaches</w:t>
      </w:r>
      <w:r>
        <w:t xml:space="preserve"> </w:t>
      </w:r>
      <m:oMath>
        <m:r>
          <m:t>78.23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1.51</m:t>
        </m:r>
        <m:r>
          <m:rPr>
            <m:sty m:val="p"/>
          </m:rPr>
          <m:t>%</m:t>
        </m:r>
      </m:oMath>
      <w:r>
        <w:t xml:space="preserve">, and ATMA reaches</w:t>
      </w:r>
      <w:r>
        <w:t xml:space="preserve"> </w:t>
      </w:r>
      <m:oMath>
        <m:r>
          <m:t>78.15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1.80</m:t>
        </m:r>
        <m:r>
          <m:rPr>
            <m:sty m:val="p"/>
          </m:rPr>
          <m:t>%</m:t>
        </m:r>
      </m:oMath>
      <w:r>
        <w:t xml:space="preserve">. ATMA and TrimmedMean are statistically</w:t>
      </w:r>
      <w:r>
        <w:t xml:space="preserve"> </w:t>
      </w:r>
      <w:r>
        <w:t xml:space="preserve">indistinguishable in final accuracy (</w:t>
      </w:r>
      <m:oMath>
        <m:r>
          <m:t>p</m:t>
        </m:r>
        <m:r>
          <m:rPr>
            <m:sty m:val="p"/>
          </m:rPr>
          <m:t>=</m:t>
        </m:r>
        <m:r>
          <m:t>0.706</m:t>
        </m:r>
      </m:oMath>
      <w:r>
        <w:t xml:space="preserve">), but ATMA automatically adapts</w:t>
      </w:r>
      <w:r>
        <w:t xml:space="preserve"> </w:t>
      </w:r>
      <w:r>
        <w:t xml:space="preserve">its per-tail trim ratio from 0.10 toward 0.20 and obtains 96.77% precision,</w:t>
      </w:r>
      <w:r>
        <w:t xml:space="preserve"> </w:t>
      </w:r>
      <w:r>
        <w:t xml:space="preserve">100% recall, and 98.36% F1 for Byzantine-client flagging over 60 evaluated</w:t>
      </w:r>
      <w:r>
        <w:t xml:space="preserve"> </w:t>
      </w:r>
      <w:r>
        <w:t xml:space="preserve">rounds. For one ATMA run, a Solidity contract records 400 client-update hashes</w:t>
      </w:r>
      <w:r>
        <w:t xml:space="preserve"> </w:t>
      </w:r>
      <w:r>
        <w:t xml:space="preserve">and 20 round summaries in 420 successful Ganache transactions. All stored</w:t>
      </w:r>
      <w:r>
        <w:t xml:space="preserve"> </w:t>
      </w:r>
      <w:r>
        <w:t xml:space="preserve">hashes pass contract read-back verification. These results support robust</w:t>
      </w:r>
      <w:r>
        <w:t xml:space="preserve"> </w:t>
      </w:r>
      <w:r>
        <w:t xml:space="preserve">aggregation for utility preservation while defining blockchain as an audit</w:t>
      </w:r>
      <w:r>
        <w:t xml:space="preserve"> </w:t>
      </w:r>
      <w:r>
        <w:t xml:space="preserve">mechanism rather than an accuracy-improving component.</w:t>
      </w:r>
    </w:p>
    <w:p>
      <w:pPr>
        <w:pStyle w:val="BodyText"/>
        <w:sectPr w:rsidR="004C4824" w:rsidSect="004C4824">
          <w:headerReference w:type="default" r:id="rId8"/>
          <w:footerReference w:type="default" r:id="rId9"/>
          <w:type w:val="continuous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</w:pPr>
      <w:r>
        <w:rPr>
          <w:b/>
          <w:bCs/>
        </w:rPr>
        <w:t xml:space="preserve">Keywords:</w:t>
      </w:r>
      <w:r>
        <w:t xml:space="preserve"> </w:t>
      </w:r>
      <w:r>
        <w:t xml:space="preserve">federated learning, Byzantine robustness, Krum,</w:t>
      </w:r>
      <w:r>
        <w:t xml:space="preserve"> </w:t>
      </w:r>
      <w:r>
        <w:t xml:space="preserve">trimmed mean, adaptive aggregation, blockchain auditability</w:t>
      </w:r>
    </w:p>
    <w:bookmarkEnd w:id="27"/>
    <w:bookmarkStart w:id="2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Federated learning (FL) trains a shared model from decentralized client data by</w:t>
      </w:r>
      <w:r>
        <w:t xml:space="preserve"> </w:t>
      </w:r>
      <w:r>
        <w:t xml:space="preserve">aggregating locally computed updates </w:t>
      </w:r>
      <w:r>
        <w:t xml:space="preserve">. Data heterogeneity,</w:t>
      </w:r>
      <w:r>
        <w:t xml:space="preserve"> </w:t>
      </w:r>
      <w:r>
        <w:t xml:space="preserve">partial trust, and adversarial clients remain central open problems in</w:t>
      </w:r>
      <w:r>
        <w:t xml:space="preserve"> </w:t>
      </w:r>
      <w:r>
        <w:t xml:space="preserve">FL </w:t>
      </w:r>
      <w:r>
        <w:t xml:space="preserve">. A Byzantine client may submit an arbitrary update, so</w:t>
      </w:r>
      <w:r>
        <w:t xml:space="preserve"> </w:t>
      </w:r>
      <w:r>
        <w:t xml:space="preserve">ordinary weighted averaging can be driven far from the update supported by</w:t>
      </w:r>
      <w:r>
        <w:t xml:space="preserve"> </w:t>
      </w:r>
      <w:r>
        <w:t xml:space="preserve">honest clients.</w:t>
      </w:r>
    </w:p>
    <w:p>
      <w:pPr>
        <w:pStyle w:val="BodyText"/>
      </w:pPr>
      <w:r>
        <w:t xml:space="preserve">Krum selects one update that is geometrically close to other updates and was</w:t>
      </w:r>
      <w:r>
        <w:t xml:space="preserve"> </w:t>
      </w:r>
      <w:r>
        <w:t xml:space="preserve">introduced as a Byzantine-resilient alternative to linear</w:t>
      </w:r>
      <w:r>
        <w:t xml:space="preserve"> </w:t>
      </w:r>
      <w:r>
        <w:t xml:space="preserve">aggregation </w:t>
      </w:r>
      <w:r>
        <w:t xml:space="preserve">. Coordinate-wise median and trimmed mean</w:t>
      </w:r>
      <w:r>
        <w:t xml:space="preserve"> </w:t>
      </w:r>
      <w:r>
        <w:t xml:space="preserve">estimators provide another family of robust methods with statistical</w:t>
      </w:r>
      <w:r>
        <w:t xml:space="preserve"> </w:t>
      </w:r>
      <w:r>
        <w:t xml:space="preserve">guarantees </w:t>
      </w:r>
      <w:r>
        <w:t xml:space="preserve">. These defenses have different behavior under non-IID</w:t>
      </w:r>
      <w:r>
        <w:t xml:space="preserve"> </w:t>
      </w:r>
      <w:r>
        <w:t xml:space="preserve">data: Krum retains one client update, whereas trimmed estimators combine</w:t>
      </w:r>
      <w:r>
        <w:t xml:space="preserve"> </w:t>
      </w:r>
      <w:r>
        <w:t xml:space="preserve">coordinate-level information from several clients.</w:t>
      </w:r>
    </w:p>
    <w:p>
      <w:pPr>
        <w:pStyle w:val="BodyText"/>
      </w:pPr>
      <w:r>
        <w:t xml:space="preserve">Blockchain has also been proposed as an audit and coordination layer for</w:t>
      </w:r>
      <w:r>
        <w:t xml:space="preserve"> </w:t>
      </w:r>
      <w:r>
        <w:t xml:space="preserve">FL </w:t>
      </w:r>
      <w:r>
        <w:t xml:space="preserve">. It cannot by itself determine whether an update is</w:t>
      </w:r>
      <w:r>
        <w:t xml:space="preserve"> </w:t>
      </w:r>
      <w:r>
        <w:t xml:space="preserve">malicious, but it can preserve update commitments and aggregation decisions</w:t>
      </w:r>
      <w:r>
        <w:t xml:space="preserve"> </w:t>
      </w:r>
      <w:r>
        <w:t xml:space="preserve">after an off-chain detector has produced them. This distinction is important:</w:t>
      </w:r>
      <w:r>
        <w:t xml:space="preserve"> </w:t>
      </w:r>
      <w:r>
        <w:t xml:space="preserve">auditability should not be presented as an improvement in model accuracy.</w:t>
      </w:r>
    </w:p>
    <w:p>
      <w:pPr>
        <w:pStyle w:val="BodyText"/>
      </w:pPr>
      <w:r>
        <w:t xml:space="preserve">The contributions of this work are:</w:t>
      </w:r>
    </w:p>
    <w:p>
      <w:pPr>
        <w:numPr>
          <w:ilvl w:val="0"/>
          <w:numId w:val="1001"/>
        </w:numPr>
      </w:pPr>
      <w:r>
        <w:t xml:space="preserve">a single controlled comparison of clean FedAvg, attacked FedAvg,</w:t>
      </w:r>
      <w:r>
        <w:t xml:space="preserve"> </w:t>
      </w:r>
      <w:r>
        <w:t xml:space="preserve">Krum, TrimmedMean, and ATMA under identical data, model, attack, and</w:t>
      </w:r>
      <w:r>
        <w:t xml:space="preserve"> </w:t>
      </w:r>
      <w:r>
        <w:t xml:space="preserve">optimization settings;</w:t>
      </w:r>
    </w:p>
    <w:p>
      <w:pPr>
        <w:numPr>
          <w:ilvl w:val="0"/>
          <w:numId w:val="1001"/>
        </w:numPr>
      </w:pPr>
      <w:r>
        <w:t xml:space="preserve">a corrected Krum implementation and an explicitly defined adaptive</w:t>
      </w:r>
      <w:r>
        <w:t xml:space="preserve"> </w:t>
      </w:r>
      <w:r>
        <w:t xml:space="preserve">trimming rule;</w:t>
      </w:r>
    </w:p>
    <w:p>
      <w:pPr>
        <w:numPr>
          <w:ilvl w:val="0"/>
          <w:numId w:val="1001"/>
        </w:numPr>
      </w:pPr>
      <w:r>
        <w:t xml:space="preserve">three-seed results with sample standard deviations and</w:t>
      </w:r>
      <w:r>
        <w:t xml:space="preserve"> </w:t>
      </w:r>
      <m:oMath>
        <m:r>
          <m:t>t</m:t>
        </m:r>
      </m:oMath>
      <w:r>
        <w:t xml:space="preserve">-distribution confidence intervals;</w:t>
      </w:r>
    </w:p>
    <w:p>
      <w:pPr>
        <w:numPr>
          <w:ilvl w:val="0"/>
          <w:numId w:val="1001"/>
        </w:numPr>
      </w:pPr>
      <w:r>
        <w:t xml:space="preserve">measured blockchain evidence from a deployed Solidity audit contract,</w:t>
      </w:r>
      <w:r>
        <w:t xml:space="preserve"> </w:t>
      </w:r>
      <w:r>
        <w:t xml:space="preserve">including transaction receipts, gas use, and hash read-back verification.</w:t>
      </w:r>
    </w:p>
    <w:bookmarkEnd w:id="28"/>
    <w:bookmarkStart w:id="29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FedAvg computes a sample-weighted average of client updates and is effective</w:t>
      </w:r>
      <w:r>
        <w:t xml:space="preserve"> </w:t>
      </w:r>
      <w:r>
        <w:t xml:space="preserve">when participants are benign </w:t>
      </w:r>
      <w:r>
        <w:t xml:space="preserve">. It does not provide Byzantine</w:t>
      </w:r>
      <w:r>
        <w:t xml:space="preserve"> </w:t>
      </w:r>
      <w:r>
        <w:t xml:space="preserve">protection. Blanchard et al. </w:t>
      </w:r>
      <w:r>
        <w:t xml:space="preserve"> </w:t>
      </w:r>
      <w:r>
        <w:t xml:space="preserve">proposed Krum, which scores an</w:t>
      </w:r>
      <w:r>
        <w:t xml:space="preserve"> </w:t>
      </w:r>
      <w:r>
        <w:t xml:space="preserve">update using its nearest other updates and selects the minimum-score candidate.</w:t>
      </w:r>
      <w:r>
        <w:t xml:space="preserve"> </w:t>
      </w:r>
      <w:r>
        <w:t xml:space="preserve">Yin et al. </w:t>
      </w:r>
      <w:r>
        <w:t xml:space="preserve"> </w:t>
      </w:r>
      <w:r>
        <w:t xml:space="preserve">analyzed coordinate-wise robust estimators including</w:t>
      </w:r>
      <w:r>
        <w:t xml:space="preserve"> </w:t>
      </w:r>
      <w:r>
        <w:t xml:space="preserve">trimmed mean.</w:t>
      </w:r>
    </w:p>
    <w:p>
      <w:pPr>
        <w:pStyle w:val="BodyText"/>
      </w:pPr>
      <w:r>
        <w:t xml:space="preserve">Attack strategies extend beyond large outliers. Baruch et</w:t>
      </w:r>
      <w:r>
        <w:t xml:space="preserve"> </w:t>
      </w:r>
      <w:r>
        <w:t xml:space="preserve">al. </w:t>
      </w:r>
      <w:r>
        <w:t xml:space="preserve"> </w:t>
      </w:r>
      <w:r>
        <w:t xml:space="preserve">showed that small, distribution-aware perturbations can</w:t>
      </w:r>
      <w:r>
        <w:t xml:space="preserve"> </w:t>
      </w:r>
      <w:r>
        <w:t xml:space="preserve">evade several robust rules. Sun et al. </w:t>
      </w:r>
      <w:r>
        <w:t xml:space="preserve"> </w:t>
      </w:r>
      <w:r>
        <w:t xml:space="preserve">studied targeted backdoor</w:t>
      </w:r>
      <w:r>
        <w:t xml:space="preserve"> </w:t>
      </w:r>
      <w:r>
        <w:t xml:space="preserve">attacks in FL. The present experiment intentionally uses one transparent,</w:t>
      </w:r>
      <w:r>
        <w:t xml:space="preserve"> </w:t>
      </w:r>
      <w:r>
        <w:t xml:space="preserve">untargeted attack so that implementation and comparison can be audited; it</w:t>
      </w:r>
      <w:r>
        <w:t xml:space="preserve"> </w:t>
      </w:r>
      <w:r>
        <w:t xml:space="preserve">does not claim coverage of these stronger attacks.</w:t>
      </w:r>
    </w:p>
    <w:p>
      <w:pPr>
        <w:pStyle w:val="BodyText"/>
      </w:pPr>
      <w:r>
        <w:t xml:space="preserve">BlockFL </w:t>
      </w:r>
      <w:r>
        <w:t xml:space="preserve"> </w:t>
      </w:r>
      <w:r>
        <w:t xml:space="preserve">and blockchain-empowered asynchronous</w:t>
      </w:r>
      <w:r>
        <w:t xml:space="preserve"> </w:t>
      </w:r>
      <w:r>
        <w:t xml:space="preserve">FL </w:t>
      </w:r>
      <w:r>
        <w:t xml:space="preserve"> </w:t>
      </w:r>
      <w:r>
        <w:t xml:space="preserve">illustrate how ledgers can exchange, verify, or preserve model</w:t>
      </w:r>
      <w:r>
        <w:t xml:space="preserve"> </w:t>
      </w:r>
      <w:r>
        <w:t xml:space="preserve">update information. In this work, model training and robust aggregation remain</w:t>
      </w:r>
      <w:r>
        <w:t xml:space="preserve"> </w:t>
      </w:r>
      <w:r>
        <w:t xml:space="preserve">off-chain. Only SHA-256 commitments, anomaly flags, and round summaries are</w:t>
      </w:r>
      <w:r>
        <w:t xml:space="preserve"> </w:t>
      </w:r>
      <w:r>
        <w:t xml:space="preserve">stored on-chain.</w:t>
      </w:r>
    </w:p>
    <w:bookmarkEnd w:id="29"/>
    <w:bookmarkStart w:id="40" w:name="methodology"/>
    <w:p>
      <w:pPr>
        <w:pStyle w:val="Heading1"/>
      </w:pPr>
      <w:r>
        <w:t xml:space="preserve">Methodology</w:t>
      </w:r>
    </w:p>
    <w:bookmarkStart w:id="31" w:name="experimental-protocol"/>
    <w:p>
      <w:pPr>
        <w:pStyle w:val="Heading2"/>
      </w:pPr>
      <w:r>
        <w:t xml:space="preserve">Experimental Protocol</w:t>
      </w:r>
    </w:p>
    <w:p>
      <w:pPr>
        <w:pStyle w:val="FirstParagraph"/>
      </w:pP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source of truth for all accuracy</w:t>
      </w:r>
      <w:r>
        <w:t xml:space="preserve"> </w:t>
      </w:r>
      <w:r>
        <w:t xml:space="preserve">comparisons.</w:t>
      </w:r>
    </w:p>
    <w:bookmarkStart w:id="30" w:name="tab:configuration"/>
    <w:p>
      <w:pPr>
        <w:pStyle w:val="TableCaption"/>
      </w:pPr>
      <w:r>
        <w:t xml:space="preserve">Unified Experimental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fied Experimental Configu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MNIST, 60,000/10,000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CNN, 105,866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 per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(full participation)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Byzantine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0–3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mini-batch SGD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42, 43, 44</w:t>
            </w:r>
          </w:p>
        </w:tc>
      </w:tr>
    </w:tbl>
    <w:bookmarkEnd w:id="30"/>
    <w:p>
      <w:pPr>
        <w:pStyle w:val="BodyText"/>
      </w:pPr>
      <w:r>
        <w:t xml:space="preserve">The model contains two convolutional layers with 16 and 32 channels, two</w:t>
      </w:r>
      <w:r>
        <w:t xml:space="preserve"> </w:t>
      </w:r>
      <w:r>
        <w:t xml:space="preserve">max-pooling layers, a 64-unit fully connected layer, and a ten-class output</w:t>
      </w:r>
      <w:r>
        <w:t xml:space="preserve"> </w:t>
      </w:r>
      <w:r>
        <w:t xml:space="preserve">layer. Inputs are normalized with the MNIST mean 0.1307 and standard deviation</w:t>
      </w:r>
      <w:r>
        <w:t xml:space="preserve"> </w:t>
      </w:r>
      <w:r>
        <w:t xml:space="preserve">0.3081. For each seed, class-specific training indices are divided among 20</w:t>
      </w:r>
      <w:r>
        <w:t xml:space="preserve"> </w:t>
      </w:r>
      <w:r>
        <w:t xml:space="preserve">clients with a Dirichlet distribution. The same partition and deterministic</w:t>
      </w:r>
      <w:r>
        <w:t xml:space="preserve"> </w:t>
      </w:r>
      <w:r>
        <w:t xml:space="preserve">mini-batch order are reused across methods for that seed.</w:t>
      </w:r>
    </w:p>
    <w:bookmarkEnd w:id="31"/>
    <w:bookmarkStart w:id="32" w:name="threat-model"/>
    <w:p>
      <w:pPr>
        <w:pStyle w:val="Heading2"/>
      </w:pPr>
      <w:r>
        <w:t xml:space="preserve">Threat Model</w:t>
      </w:r>
    </w:p>
    <w:p>
      <w:pPr>
        <w:pStyle w:val="FirstParagraph"/>
      </w:pPr>
      <w:r>
        <w:t xml:space="preserve">Clients 0–3 are Byzantine in every attacked run. During local training, a</w:t>
      </w:r>
      <w:r>
        <w:t xml:space="preserve"> </w:t>
      </w:r>
      <w:r>
        <w:t xml:space="preserve">Byzantine client replaces each label by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be the local model delta produced from global model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. A Byzantine client transmits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thereby amplifying the update learned from poisoned labels. Honest clients</w:t>
      </w:r>
      <w:r>
        <w:t xml:space="preserve"> </w:t>
      </w:r>
      <w:r>
        <w:t xml:space="preserve">transmit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. The attack is applied in every round. A clean FedAvg run</w:t>
      </w:r>
      <w:r>
        <w:t xml:space="preserve"> </w:t>
      </w:r>
      <w:r>
        <w:t xml:space="preserve">with identical optimization settings but no Byzantine behavior provides the</w:t>
      </w:r>
      <w:r>
        <w:t xml:space="preserve"> </w:t>
      </w:r>
      <w:r>
        <w:t xml:space="preserve">upper comparison baseline.</w:t>
      </w:r>
    </w:p>
    <w:bookmarkEnd w:id="32"/>
    <w:bookmarkStart w:id="33" w:name="fedavg"/>
    <w:p>
      <w:pPr>
        <w:pStyle w:val="Heading2"/>
      </w:pPr>
      <w:r>
        <w:t xml:space="preserve">FedAvg</w:t>
      </w:r>
    </w:p>
    <w:p>
      <w:pPr>
        <w:pStyle w:val="FirstParagraph"/>
      </w:pPr>
      <w:r>
        <w:t xml:space="preserve">For client sample counts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FedAvg computes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33"/>
    <w:bookmarkStart w:id="34" w:name="krum"/>
    <w:p>
      <w:pPr>
        <w:pStyle w:val="Heading2"/>
      </w:pPr>
      <w:r>
        <w:t xml:space="preserve">Krum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submitted updates and a Byzantine bound</w:t>
      </w:r>
      <w:r>
        <w:t xml:space="preserve"> </w:t>
      </w:r>
      <m:oMath>
        <m:r>
          <m:t>f</m:t>
        </m:r>
      </m:oMath>
      <w:r>
        <w:t xml:space="preserve">, the score of update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contains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nearest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updates.</w:t>
      </w:r>
      <w:r>
        <w:t xml:space="preserve"> </w:t>
      </w:r>
      <w:r>
        <w:t xml:space="preserve">Self-distance is set to infinity before neighbor selection. Krum returns the</w:t>
      </w:r>
      <w:r>
        <w:t xml:space="preserve"> </w:t>
      </w:r>
      <w:r>
        <w:t xml:space="preserve">single update with minimum score. 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, satisfying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t>f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bookmarkEnd w:id="34"/>
    <w:bookmarkStart w:id="35" w:name="static-trimmedmean"/>
    <w:p>
      <w:pPr>
        <w:pStyle w:val="Heading2"/>
      </w:pPr>
      <w:r>
        <w:t xml:space="preserve">Static TrimmedMean</w:t>
      </w:r>
    </w:p>
    <w:p>
      <w:pPr>
        <w:pStyle w:val="FirstParagraph"/>
      </w:pPr>
      <w:r>
        <w:t xml:space="preserve">For coordinate</w:t>
      </w:r>
      <w:r>
        <w:t xml:space="preserve"> </w:t>
      </w:r>
      <m:oMath>
        <m:r>
          <m:t>q</m:t>
        </m:r>
      </m:oMath>
      <w:r>
        <w:t xml:space="preserve">, the 20 scalar values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q</m:t>
            </m:r>
          </m:sub>
          <m:sup>
            <m:r>
              <m:t>t</m:t>
            </m:r>
          </m:sup>
        </m:sSubSup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are sorted. Static TrimmedMean removes four</w:t>
      </w:r>
      <w:r>
        <w:t xml:space="preserve"> </w:t>
      </w:r>
      <w:r>
        <w:t xml:space="preserve">values from each tail and averages the remaining 12: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f</m:t>
              </m:r>
            </m:sup>
            <m:e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t>t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6" w:name="adaptive-trimmed-mean"/>
    <w:p>
      <w:pPr>
        <w:pStyle w:val="Heading2"/>
      </w:pPr>
      <w:r>
        <w:t xml:space="preserve">Adaptive Trimmed Mean</w:t>
      </w:r>
    </w:p>
    <w:p>
      <w:pPr>
        <w:pStyle w:val="FirstParagraph"/>
      </w:pPr>
      <w:r>
        <w:t xml:space="preserve">ATMA first flattens each update and computes the coordinate-wise median vector</w:t>
      </w:r>
      <w:r>
        <w:t xml:space="preserve"> </w:t>
      </w:r>
      <m:oMath>
        <m:sSup>
          <m:e>
            <m:r>
              <m:t>m</m:t>
            </m:r>
          </m:e>
          <m:sup>
            <m:r>
              <m:t>t</m:t>
            </m:r>
          </m:sup>
        </m:sSup>
      </m:oMath>
      <w:r>
        <w:t xml:space="preserve">. Client distance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median distance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t>t</m:t>
            </m:r>
          </m:sup>
        </m:sSup>
      </m:oMath>
      <w:r>
        <w:t xml:space="preserve"> </w:t>
      </w:r>
      <w:r>
        <w:t xml:space="preserve">and median absolute deviation</w:t>
      </w:r>
      <w:r>
        <w:t xml:space="preserve"> </w:t>
      </w:r>
      <m:oMath>
        <m:r>
          <m:rPr>
            <m:sty m:val="p"/>
          </m:rPr>
          <m:t>MAD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, the robust score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num>
            <m:den>
              <m:r>
                <m:t>1.4826</m:t>
              </m:r>
              <m:r>
                <m:rPr>
                  <m:sty m:val="p"/>
                </m:rPr>
                <m:t>MAD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Clients with</w:t>
      </w:r>
      <w:r>
        <w:t xml:space="preserve"> </w:t>
      </w:r>
      <m:oMath>
        <m:sSubSup>
          <m:e>
            <m:r>
              <m:t>z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&gt;</m:t>
        </m:r>
        <m:r>
          <m:t>3.5</m:t>
        </m:r>
      </m:oMath>
      <w:r>
        <w:t xml:space="preserve"> </w:t>
      </w:r>
      <w:r>
        <w:t xml:space="preserve">are flagged. If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is the flagged fraction,</w:t>
      </w:r>
      <w:r>
        <w:t xml:space="preserve"> </w:t>
      </w:r>
      <w:r>
        <w:t xml:space="preserve">the per-tail trim ratio is updated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0.05</m:t>
                  </m:r>
                  <m:r>
                    <m:rPr>
                      <m:sty m:val="p"/>
                    </m:rPr>
                    <m:t>,</m:t>
                  </m:r>
                  <m:r>
                    <m:t>0.20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0.20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0.50</m:t>
        </m:r>
      </m:oMath>
      <w:r>
        <w:t xml:space="preserve">. ATMA then applies coordinate-wise trimmed mean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round</m:t>
        </m:r>
        <m:r>
          <m:rPr>
            <m:sty m:val="p"/>
          </m:rPr>
          <m:t>(</m:t>
        </m:r>
        <m:r>
          <m:t>N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values removed from each tail.</w:t>
      </w:r>
    </w:p>
    <w:bookmarkEnd w:id="36"/>
    <w:bookmarkStart w:id="37" w:name="blockchain-audit-contract"/>
    <w:p>
      <w:pPr>
        <w:pStyle w:val="Heading2"/>
      </w:pPr>
      <w:r>
        <w:t xml:space="preserve">Blockchain Audit Contract</w:t>
      </w:r>
    </w:p>
    <w:p>
      <w:pPr>
        <w:pStyle w:val="FirstParagraph"/>
      </w:pPr>
      <w:r>
        <w:t xml:space="preserve">The Solidity contract stores an update-hash mapping indexed by round and</w:t>
      </w:r>
      <w:r>
        <w:t xml:space="preserve"> </w:t>
      </w:r>
      <w:r>
        <w:t xml:space="preserve">client, the corresponding anomaly flag, and a</w:t>
      </w:r>
      <w:r>
        <w:t xml:space="preserve"> </w:t>
      </w:r>
      <w:r>
        <w:t xml:space="preserve">round summary containing the aggregate hash and accepted/flagged counts. The</w:t>
      </w:r>
      <w:r>
        <w:t xml:space="preserve"> </w:t>
      </w:r>
      <w:r>
        <w:t xml:space="preserve">coordinator submits SHA-256 commitments; model tensors are not stored on-chain.</w:t>
      </w:r>
      <w:r>
        <w:t xml:space="preserve"> </w:t>
      </w:r>
      <w:r>
        <w:t xml:space="preserve">The contract was compiled with Solidity 0.8.19 and deployed to Ganache chain</w:t>
      </w:r>
      <w:r>
        <w:t xml:space="preserve"> </w:t>
      </w:r>
      <w:r>
        <w:t xml:space="preserve">1337. Blockchain logging was enabled for ATMA with seed 42. Accuracy comparisons</w:t>
      </w:r>
      <w:r>
        <w:t xml:space="preserve"> </w:t>
      </w:r>
      <w:r>
        <w:t xml:space="preserve">do not use blockchain state and are therefore not attributed to blockchain.</w:t>
      </w:r>
    </w:p>
    <w:bookmarkEnd w:id="37"/>
    <w:bookmarkStart w:id="38" w:name="executed-procedure"/>
    <w:p>
      <w:pPr>
        <w:pStyle w:val="Heading2"/>
      </w:pPr>
      <w:r>
        <w:t xml:space="preserve">Executed Procedure</w:t>
      </w:r>
    </w:p>
    <w:p>
      <w:pPr>
        <w:pStyle w:val="FirstParagraph"/>
      </w:pPr>
      <w:r>
        <w:t xml:space="preserve">For each seed and method, the implementation executes:</w:t>
      </w:r>
    </w:p>
    <w:p>
      <w:pPr>
        <w:numPr>
          <w:ilvl w:val="0"/>
          <w:numId w:val="1002"/>
        </w:numPr>
      </w:pPr>
      <w:r>
        <w:t xml:space="preserve">set Python, NumPy, PyTorch, and CUDA seeds;</w:t>
      </w:r>
    </w:p>
    <w:p>
      <w:pPr>
        <w:numPr>
          <w:ilvl w:val="0"/>
          <w:numId w:val="1002"/>
        </w:numPr>
      </w:pPr>
      <w:r>
        <w:t xml:space="preserve">load and normalize MNIST;</w:t>
      </w:r>
    </w:p>
    <w:p>
      <w:pPr>
        <w:numPr>
          <w:ilvl w:val="0"/>
          <w:numId w:val="1002"/>
        </w:numPr>
      </w:pPr>
      <w:r>
        <w:t xml:space="preserve">create the seed-specific Dirichlet partition;</w:t>
      </w:r>
    </w:p>
    <w:p>
      <w:pPr>
        <w:numPr>
          <w:ilvl w:val="0"/>
          <w:numId w:val="1002"/>
        </w:numPr>
      </w:pPr>
      <w:r>
        <w:t xml:space="preserve">initialize the same CNN architecture;</w:t>
      </w:r>
    </w:p>
    <w:p>
      <w:pPr>
        <w:numPr>
          <w:ilvl w:val="0"/>
          <w:numId w:val="1002"/>
        </w:numPr>
      </w:pPr>
      <w:r>
        <w:t xml:space="preserve">copy the global model to each of the 20 clients;</w:t>
      </w:r>
    </w:p>
    <w:p>
      <w:pPr>
        <w:numPr>
          <w:ilvl w:val="0"/>
          <w:numId w:val="1002"/>
        </w:numPr>
      </w:pPr>
      <w:r>
        <w:t xml:space="preserve">perform three deterministic mini-batch SGD steps;</w:t>
      </w:r>
    </w:p>
    <w:p>
      <w:pPr>
        <w:numPr>
          <w:ilvl w:val="0"/>
          <w:numId w:val="1002"/>
        </w:numPr>
      </w:pPr>
      <w:r>
        <w:t xml:space="preserve">poison labels and scale deltas for clients 0–3 in attacked runs;</w:t>
      </w:r>
    </w:p>
    <w:p>
      <w:pPr>
        <w:numPr>
          <w:ilvl w:val="0"/>
          <w:numId w:val="1002"/>
        </w:numPr>
      </w:pPr>
      <w:r>
        <w:t xml:space="preserve">aggregate all 20 deltas using the selected method;</w:t>
      </w:r>
    </w:p>
    <w:p>
      <w:pPr>
        <w:numPr>
          <w:ilvl w:val="0"/>
          <w:numId w:val="1002"/>
        </w:numPr>
      </w:pPr>
      <w:r>
        <w:t xml:space="preserve">update and evaluate the global model on all 10,000 test images;</w:t>
      </w:r>
    </w:p>
    <w:p>
      <w:pPr>
        <w:numPr>
          <w:ilvl w:val="0"/>
          <w:numId w:val="1002"/>
        </w:numPr>
      </w:pPr>
      <w:r>
        <w:t xml:space="preserve">for the audited ATMA run, submit all update hashes and the round</w:t>
      </w:r>
      <w:r>
        <w:t xml:space="preserve"> </w:t>
      </w:r>
      <w:r>
        <w:t xml:space="preserve">summary, wait for receipts, and read stored hashes back from the contract;</w:t>
      </w:r>
    </w:p>
    <w:p>
      <w:pPr>
        <w:numPr>
          <w:ilvl w:val="0"/>
          <w:numId w:val="1002"/>
        </w:numPr>
      </w:pPr>
      <w:r>
        <w:t xml:space="preserve">serialize per-round metrics, metadata, receipts, and summaries to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.</w:t>
      </w:r>
    </w:p>
    <w:bookmarkEnd w:id="38"/>
    <w:bookmarkStart w:id="39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Final accuracy is summarized across three seeds with the sample standard</w:t>
      </w:r>
      <w:r>
        <w:t xml:space="preserve"> </w:t>
      </w:r>
      <w:r>
        <w:t xml:space="preserve">deviation. The 95% confidence interval uses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</w:t>
      </w:r>
      <w:r>
        <w:t xml:space="preserve"> </w:t>
      </w:r>
      <w:r>
        <w:t xml:space="preserve">two degrees of freedom. Paired, two-sided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 use seed-matched final</w:t>
      </w:r>
      <w:r>
        <w:t xml:space="preserve"> </w:t>
      </w:r>
      <w:r>
        <w:t xml:space="preserve">accuracies. Because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inferential results are interpreted as supporting</w:t>
      </w:r>
      <w:r>
        <w:t xml:space="preserve"> </w:t>
      </w:r>
      <w:r>
        <w:t xml:space="preserve">evidence rather than broad population estimates.</w:t>
      </w:r>
    </w:p>
    <w:bookmarkEnd w:id="39"/>
    <w:bookmarkEnd w:id="40"/>
    <w:bookmarkStart w:id="53" w:name="results"/>
    <w:p>
      <w:pPr>
        <w:pStyle w:val="Heading1"/>
      </w:pPr>
      <w:r>
        <w:t xml:space="preserve">Results</w:t>
      </w:r>
    </w:p>
    <w:bookmarkStart w:id="41" w:name="tab:actual_results"/>
    <w:p>
      <w:pPr>
        <w:pStyle w:val="TableCaption"/>
      </w:pPr>
      <w:r>
        <w:t xml:space="preserve">Final MNIST Accuracy Across Three Seeds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MNIST Accuracy Across Three See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(clean)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[79.28, 85.69]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(attack)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[15.39, 29.33]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[41.71, 78.32]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TrimmedMean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[74.47, 81.99]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[73.68, 82.62]</w:t>
            </w:r>
          </w:p>
        </w:tc>
      </w:tr>
    </w:tbl>
    <w:bookmarkEnd w:id="41"/>
    <w:p>
      <w:pPr>
        <w:pStyle w:val="BodyText"/>
      </w:pPr>
      <w:r>
        <w:t xml:space="preserve">The attack reduces FedAvg from 82.49% to 22.36%, a mean decrease of 60.12</w:t>
      </w:r>
      <w:r>
        <w:t xml:space="preserve"> </w:t>
      </w:r>
      <w:r>
        <w:t xml:space="preserve">percentage points. Krum improves attacked accuracy by 37.65 points,</w:t>
      </w:r>
      <w:r>
        <w:t xml:space="preserve"> </w:t>
      </w:r>
      <w:r>
        <w:t xml:space="preserve">TrimmedMean by 55.87 points, and ATMA by 55.79 points. Seed-paired tests give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0.018</m:t>
        </m:r>
      </m:oMath>
      <w:r>
        <w:t xml:space="preserve"> </w:t>
      </w:r>
      <w:r>
        <w:t xml:space="preserve">for Krum versus attacked FedAvg,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0.0019</m:t>
        </m:r>
      </m:oMath>
      <w:r>
        <w:t xml:space="preserve"> </w:t>
      </w:r>
      <w:r>
        <w:t xml:space="preserve">for TrimmedMean,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0.0022</m:t>
        </m:r>
      </m:oMath>
      <w:r>
        <w:t xml:space="preserve"> </w:t>
      </w:r>
      <w:r>
        <w:t xml:space="preserve">for ATMA. These values should be read cautiously because only three</w:t>
      </w:r>
      <w:r>
        <w:t xml:space="preserve"> </w:t>
      </w:r>
      <w:r>
        <w:t xml:space="preserve">seeds were evaluated.</w:t>
      </w:r>
    </w:p>
    <w:bookmarkStart w:id="45" w:name="fig:convergence"/>
    <w:p>
      <w:pPr>
        <w:pStyle w:val="CaptionedFigure"/>
      </w:pPr>
      <w:r>
        <w:drawing>
          <wp:inline>
            <wp:extent cx="2880360" cy="18135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1_convergence_actua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test accuracy across seeds 42, 43, and 44. Shaded regions show</w:t>
      </w:r>
      <w:r>
        <w:t xml:space="preserve"> </w:t>
      </w:r>
      <w:r>
        <w:t xml:space="preserve">one sample standard deviation. Every method uses the configuration in</w:t>
      </w:r>
      <w:r>
        <w:t xml:space="preserve"> </w:t>
      </w: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.</w:t>
      </w:r>
    </w:p>
    <w:bookmarkEnd w:id="45"/>
    <w:p>
      <w:pPr>
        <w:pStyle w:val="BodyText"/>
      </w:pPr>
      <w:r>
        <w:t xml:space="preserve">Figure </w:t>
      </w:r>
      <w:hyperlink w:anchor="fig:converge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clean FedAvg converges fastest. Attacked</w:t>
      </w:r>
      <w:r>
        <w:t xml:space="preserve"> </w:t>
      </w:r>
      <w:r>
        <w:t xml:space="preserve">FedAvg remains unstable and low. Krum avoids malicious clients but learns more</w:t>
      </w:r>
      <w:r>
        <w:t xml:space="preserve"> </w:t>
      </w:r>
      <w:r>
        <w:t xml:space="preserve">slowly because each round retains only one client update. TrimmedMean and ATMA</w:t>
      </w:r>
      <w:r>
        <w:t xml:space="preserve"> </w:t>
      </w:r>
      <w:r>
        <w:t xml:space="preserve">combine several updates and finish close to the clean baseline.</w:t>
      </w:r>
    </w:p>
    <w:bookmarkStart w:id="49" w:name="fig:final_accuracy"/>
    <w:p>
      <w:pPr>
        <w:pStyle w:val="CaptionedFigure"/>
      </w:pPr>
      <w:r>
        <w:drawing>
          <wp:inline>
            <wp:extent cx="2880360" cy="167013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2_final_accuracy_actu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70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accuracy at round 20. Error bars are 95% confidence intervals</w:t>
      </w:r>
      <w:r>
        <w:t xml:space="preserve"> </w:t>
      </w:r>
      <w:r>
        <w:t xml:space="preserve">computed with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for three seeds.</w:t>
      </w:r>
    </w:p>
    <w:bookmarkEnd w:id="49"/>
    <w:p>
      <w:pPr>
        <w:pStyle w:val="BodyText"/>
      </w:pPr>
      <w:r>
        <w:t xml:space="preserve">ATMA and TrimmedMean differ by only</w:t>
      </w:r>
      <w:r>
        <w:t xml:space="preserve"> </w:t>
      </w:r>
      <m:oMath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percentage points on average,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0.706</m:t>
        </m:r>
      </m:oMath>
      <w:r>
        <w:t xml:space="preserve">. Therefore, this experiment does not establish an ATMA accuracy</w:t>
      </w:r>
      <w:r>
        <w:t xml:space="preserve"> </w:t>
      </w:r>
      <w:r>
        <w:t xml:space="preserve">advantage. Instead, ATMA removes the need to manually set the final trim count:</w:t>
      </w:r>
      <w:r>
        <w:t xml:space="preserve"> </w:t>
      </w:r>
      <w:r>
        <w:t xml:space="preserve">its ratio is initialized at 0.10, changes to 0.15 after the first observed</w:t>
      </w:r>
      <w:r>
        <w:t xml:space="preserve"> </w:t>
      </w:r>
      <w:r>
        <w:t xml:space="preserve">round, and approaches 0.20 in all three runs.</w:t>
      </w:r>
    </w:p>
    <w:bookmarkStart w:id="50" w:name="detection-and-krum-selection"/>
    <w:p>
      <w:pPr>
        <w:pStyle w:val="Heading2"/>
      </w:pPr>
      <w:r>
        <w:t xml:space="preserve">Detection and Krum Selection</w:t>
      </w:r>
    </w:p>
    <w:p>
      <w:pPr>
        <w:pStyle w:val="FirstParagraph"/>
      </w:pPr>
      <w:r>
        <w:t xml:space="preserve">Across 60 ATMA rounds, there are 240 Byzantine client-round instances and 960</w:t>
      </w:r>
      <w:r>
        <w:t xml:space="preserve"> </w:t>
      </w:r>
      <w:r>
        <w:t xml:space="preserve">honest instances. ATMA produces 240 true positives, eight false positives, no</w:t>
      </w:r>
      <w:r>
        <w:t xml:space="preserve"> </w:t>
      </w:r>
      <w:r>
        <w:t xml:space="preserve">false negatives, and 952 true negatives. Precision is 96.77%, recall is</w:t>
      </w:r>
      <w:r>
        <w:t xml:space="preserve"> </w:t>
      </w:r>
      <w:r>
        <w:t xml:space="preserve">100%, and F1 is 98.36%. The number of flags per round ranges from four to six.</w:t>
      </w:r>
      <w:r>
        <w:t xml:space="preserve"> </w:t>
      </w:r>
      <w:r>
        <w:t xml:space="preserve">These metrics concern the explicit attack used here and should not be</w:t>
      </w:r>
      <w:r>
        <w:t xml:space="preserve"> </w:t>
      </w:r>
      <w:r>
        <w:t xml:space="preserve">generalized to stealthier attacks.</w:t>
      </w:r>
    </w:p>
    <w:p>
      <w:pPr>
        <w:pStyle w:val="BodyText"/>
      </w:pPr>
      <w:r>
        <w:t xml:space="preserve">Corrected Krum selects an honest client in all 60 evaluated rounds. Its lower</w:t>
      </w:r>
      <w:r>
        <w:t xml:space="preserve"> </w:t>
      </w:r>
      <w:r>
        <w:t xml:space="preserve">accuracy therefore does not indicate Byzantine selection; it reflects the</w:t>
      </w:r>
      <w:r>
        <w:t xml:space="preserve"> </w:t>
      </w:r>
      <w:r>
        <w:t xml:space="preserve">utility cost of reducing a heterogeneous 20-client round to one update.</w:t>
      </w:r>
    </w:p>
    <w:bookmarkEnd w:id="50"/>
    <w:bookmarkStart w:id="52" w:name="measured-blockchain-evidence"/>
    <w:p>
      <w:pPr>
        <w:pStyle w:val="Heading2"/>
      </w:pPr>
      <w:r>
        <w:t xml:space="preserve">Measured Blockchain Evidence</w:t>
      </w:r>
    </w:p>
    <w:bookmarkStart w:id="51" w:name="tab:blockchain_actual"/>
    <w:p>
      <w:pPr>
        <w:pStyle w:val="TableCaption"/>
      </w:pPr>
      <w:r>
        <w:t xml:space="preserve">Measured Ganache Audit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Ganache Audit Transa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deployment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512,965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update 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finalization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measured 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24,415,241</w:t>
            </w:r>
          </w:p>
        </w:tc>
      </w:tr>
    </w:tbl>
    <w:bookmarkEnd w:id="51"/>
    <w:p>
      <w:pPr>
        <w:pStyle w:val="BodyText"/>
      </w:pPr>
      <w:r>
        <w:t xml:space="preserve">The audited run deploys contract</w:t>
      </w:r>
      <w:r>
        <w:t xml:space="preserve"> </w:t>
      </w:r>
      <w:r>
        <w:rPr>
          <w:rStyle w:val="VerbatimChar"/>
        </w:rPr>
        <w:t xml:space="preserve">0xe78A...a8Ab</w:t>
      </w:r>
      <w:r>
        <w:t xml:space="preserve">; the complete address</w:t>
      </w:r>
      <w:r>
        <w:t xml:space="preserve"> </w:t>
      </w:r>
      <w:r>
        <w:t xml:space="preserve">is preserved in the result artifact. Deployment occurs in block 1.</w:t>
      </w:r>
      <w:r>
        <w:t xml:space="preserve"> </w:t>
      </w:r>
      <w:r>
        <w:t xml:space="preserve">The run then records 400 client updates and 20 round summaries in 420</w:t>
      </w:r>
      <w:r>
        <w:t xml:space="preserve"> </w:t>
      </w:r>
      <w:r>
        <w:t xml:space="preserve">transactions, all with receipt status 1. The final block is 421. Total measured</w:t>
      </w:r>
      <w:r>
        <w:t xml:space="preserve"> </w:t>
      </w:r>
      <w:r>
        <w:t xml:space="preserve">gas including deployment is 24,415,241. Every client hash and anomaly flag</w:t>
      </w:r>
      <w:r>
        <w:t xml:space="preserve"> </w:t>
      </w:r>
      <w:r>
        <w:t xml:space="preserve">passes contract read-back verification. These are local EVM measurements, not</w:t>
      </w:r>
      <w:r>
        <w:t xml:space="preserve"> </w:t>
      </w:r>
      <w:r>
        <w:t xml:space="preserve">Ethereum-mainnet cost or latency claims.</w:t>
      </w:r>
    </w:p>
    <w:bookmarkEnd w:id="52"/>
    <w:bookmarkEnd w:id="53"/>
    <w:bookmarkStart w:id="57" w:name="discussion"/>
    <w:p>
      <w:pPr>
        <w:pStyle w:val="Heading1"/>
      </w:pPr>
      <w:r>
        <w:t xml:space="preserve">Discussion</w:t>
      </w:r>
    </w:p>
    <w:bookmarkStart w:id="54" w:name="comparative-interpretation"/>
    <w:p>
      <w:pPr>
        <w:pStyle w:val="Heading2"/>
      </w:pPr>
      <w:r>
        <w:t xml:space="preserve">Comparative Interpretation</w:t>
      </w:r>
    </w:p>
    <w:p>
      <w:pPr>
        <w:pStyle w:val="FirstParagraph"/>
      </w:pPr>
      <w:r>
        <w:t xml:space="preserve">The comparison supports three conclusions. First, the combined label-flip and</w:t>
      </w:r>
      <w:r>
        <w:t xml:space="preserve"> </w:t>
      </w:r>
      <w:r>
        <w:t xml:space="preserve">scaled-update attack severely damages ordinary FedAvg. Second, coordinate-wise</w:t>
      </w:r>
      <w:r>
        <w:t xml:space="preserve"> </w:t>
      </w:r>
      <w:r>
        <w:t xml:space="preserve">trimming preserves substantially more utility than single-update Krum under</w:t>
      </w:r>
      <w:r>
        <w:t xml:space="preserve"> </w:t>
      </w:r>
      <w:r>
        <w:t xml:space="preserve">the evaluated non-IID partition. Third, adaptive trimming matches the static</w:t>
      </w:r>
      <w:r>
        <w:t xml:space="preserve"> </w:t>
      </w:r>
      <w:r>
        <w:t xml:space="preserve">method without being told to use the final 20% trim ratio. The experiment does</w:t>
      </w:r>
      <w:r>
        <w:t xml:space="preserve"> </w:t>
      </w:r>
      <w:r>
        <w:t xml:space="preserve">not show that ATMA is universally better than static trimming.</w:t>
      </w:r>
    </w:p>
    <w:bookmarkEnd w:id="54"/>
    <w:bookmarkStart w:id="55" w:name="contribution-of-blockchain"/>
    <w:p>
      <w:pPr>
        <w:pStyle w:val="Heading2"/>
      </w:pPr>
      <w:r>
        <w:t xml:space="preserve">Contribution of Blockchain</w:t>
      </w:r>
    </w:p>
    <w:p>
      <w:pPr>
        <w:pStyle w:val="FirstParagraph"/>
      </w:pPr>
      <w:r>
        <w:t xml:space="preserve">Blockchain contributes immutable commitments and reproducible evidence, not</w:t>
      </w:r>
      <w:r>
        <w:t xml:space="preserve"> </w:t>
      </w:r>
      <w:r>
        <w:t xml:space="preserve">robust aggregation. Detection is performed off-chain before its output is</w:t>
      </w:r>
      <w:r>
        <w:t xml:space="preserve"> </w:t>
      </w:r>
      <w:r>
        <w:t xml:space="preserve">committed. This design avoids storing high-dimensional model updates on-chain</w:t>
      </w:r>
      <w:r>
        <w:t xml:space="preserve"> </w:t>
      </w:r>
      <w:r>
        <w:t xml:space="preserve">and permits later verification that a recorded hash or flag was not changed.</w:t>
      </w:r>
      <w:r>
        <w:t xml:space="preserve"> </w:t>
      </w:r>
      <w:r>
        <w:t xml:space="preserve">The experiment uses a single-node Ganache network, so it validates contract</w:t>
      </w:r>
      <w:r>
        <w:t xml:space="preserve"> </w:t>
      </w:r>
      <w:r>
        <w:t xml:space="preserve">execution and audit semantics but not decentralized consensus, public-network</w:t>
      </w:r>
      <w:r>
        <w:t xml:space="preserve"> </w:t>
      </w:r>
      <w:r>
        <w:t xml:space="preserve">latency, or economic feasibility.</w:t>
      </w:r>
    </w:p>
    <w:bookmarkEnd w:id="55"/>
    <w:bookmarkStart w:id="5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study uses one dataset, one CNN, 20 clients, 20 rounds, three seeds, and</w:t>
      </w:r>
      <w:r>
        <w:t xml:space="preserve"> </w:t>
      </w:r>
      <w:r>
        <w:t xml:space="preserve">one combined untargeted attack. The local computation is capped at three</w:t>
      </w:r>
      <w:r>
        <w:t xml:space="preserve"> </w:t>
      </w:r>
      <w:r>
        <w:t xml:space="preserve">mini-batches per client per round. Blockchain validation is limited to one</w:t>
      </w:r>
      <w:r>
        <w:t xml:space="preserve"> </w:t>
      </w:r>
      <w:r>
        <w:t xml:space="preserve">ATMA seed on Ganache. No claim is made regarding live Layer-2 deployment,</w:t>
      </w:r>
      <w:r>
        <w:t xml:space="preserve"> </w:t>
      </w:r>
      <w:r>
        <w:t xml:space="preserve">production readiness, or dollar-denominated cost.</w:t>
      </w:r>
    </w:p>
    <w:p>
      <w:pPr>
        <w:pStyle w:val="BodyText"/>
      </w:pPr>
      <w:r>
        <w:t xml:space="preserve">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</w:t>
      </w:r>
      <w:r>
        <w:t xml:space="preserve"> </w:t>
      </w:r>
      <w:r>
        <w:t xml:space="preserve">and</w:t>
      </w:r>
      <w:r>
        <w:t xml:space="preserve"> </w:t>
      </w:r>
      <w:r>
        <w:t xml:space="preserve">targeted backdoor attacks studied by Sun et al. </w:t>
      </w:r>
      <w:r>
        <w:t xml:space="preserve">, remain outside</w:t>
      </w:r>
      <w:r>
        <w:t xml:space="preserve"> </w:t>
      </w:r>
      <w:r>
        <w:t xml:space="preserve">the present scope.</w:t>
      </w:r>
    </w:p>
    <w:bookmarkEnd w:id="56"/>
    <w:bookmarkEnd w:id="57"/>
    <w:bookmarkStart w:id="5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work presents a reproducible evaluation of Byzantine-robust FL and</w:t>
      </w:r>
      <w:r>
        <w:t xml:space="preserve"> </w:t>
      </w:r>
      <w:r>
        <w:t xml:space="preserve">blockchain auditability under one consistent protocol. A combined label-flip</w:t>
      </w:r>
      <w:r>
        <w:t xml:space="preserve"> </w:t>
      </w:r>
      <w:r>
        <w:t xml:space="preserve">and scaled-update attack reduces FedAvg from 82.49% clean accuracy to 22.36%.</w:t>
      </w:r>
      <w:r>
        <w:t xml:space="preserve"> </w:t>
      </w:r>
      <w:r>
        <w:t xml:space="preserve">Krum recovers to 60.01%, while TrimmedMean and ATMA reach 78.23% and 78.15%,</w:t>
      </w:r>
      <w:r>
        <w:t xml:space="preserve"> </w:t>
      </w:r>
      <w:r>
        <w:t xml:space="preserve">respectively. ATMA does not significantly outperform static TrimmedMean, but it</w:t>
      </w:r>
      <w:r>
        <w:t xml:space="preserve"> </w:t>
      </w:r>
      <w:r>
        <w:t xml:space="preserve">adapts its trimming ratio automatically and detects all 240 Byzantine</w:t>
      </w:r>
      <w:r>
        <w:t xml:space="preserve"> </w:t>
      </w:r>
      <w:r>
        <w:t xml:space="preserve">client-round instances with eight false positives.</w:t>
      </w:r>
    </w:p>
    <w:p>
      <w:pPr>
        <w:pStyle w:val="BodyText"/>
      </w:pPr>
      <w:r>
        <w:t xml:space="preserve">The blockchain component records 400 client-update commitments and 20 round</w:t>
      </w:r>
      <w:r>
        <w:t xml:space="preserve"> </w:t>
      </w:r>
      <w:r>
        <w:t xml:space="preserve">summaries in 420 successful transactions, with all values verified by contract</w:t>
      </w:r>
      <w:r>
        <w:t xml:space="preserve"> </w:t>
      </w:r>
      <w:r>
        <w:t xml:space="preserve">read-back. Thus, robust aggregation supplies model protection, while blockchain</w:t>
      </w:r>
      <w:r>
        <w:t xml:space="preserve"> </w:t>
      </w:r>
      <w:r>
        <w:t xml:space="preserve">supplies tamper-evident evidence. This narrower conclusion is supported by the</w:t>
      </w:r>
      <w:r>
        <w:t xml:space="preserve"> </w:t>
      </w:r>
      <w:r>
        <w:t xml:space="preserve">released code, raw JSON result, generated figures, contract artifact, and</w:t>
      </w:r>
      <w:r>
        <w:t xml:space="preserve"> </w:t>
      </w:r>
      <w:r>
        <w:t xml:space="preserve">transaction receipts.</w:t>
      </w:r>
    </w:p>
    <w:p>
      <w:pPr>
        <w:pStyle w:val="BodyText"/>
      </w:pPr>
      <w:r>
        <w:t xml:space="preserve">Future work should increase the number of seeds and rounds, test larger and</w:t>
      </w:r>
      <w:r>
        <w:t xml:space="preserve"> </w:t>
      </w:r>
      <w:r>
        <w:t xml:space="preserve">more heterogeneous datasets, evaluate partial participation, deploy the audit</w:t>
      </w:r>
      <w:r>
        <w:t xml:space="preserve"> </w:t>
      </w:r>
      <w:r>
        <w:t xml:space="preserve">contract on a multi-node or public test network, and include ALIE, model</w:t>
      </w:r>
      <w:r>
        <w:t xml:space="preserve"> </w:t>
      </w:r>
      <w:r>
        <w:t xml:space="preserve">replacement, and targeted backdoor attacks.</w:t>
      </w:r>
    </w:p>
    <w:bookmarkEnd w:id="58"/>
    <w:bookmarkStart w:id="61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public repository provides the exact experiment script, robust aggregation</w:t>
      </w:r>
      <w:r>
        <w:t xml:space="preserve"> </w:t>
      </w:r>
      <w:r>
        <w:t xml:space="preserve">module, Solidity contract source, raw JSON result, generated tables, and figure</w:t>
      </w:r>
      <w:r>
        <w:t xml:space="preserve"> </w:t>
      </w:r>
      <w:r>
        <w:t xml:space="preserve">generation code.</w:t>
      </w:r>
      <w:r>
        <w:rPr>
          <w:rStyle w:val="FootnoteReference"/>
        </w:rPr>
        <w:footnoteReference w:id="59"/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H. B. McMahan, E. Moore, D. Ramage, S. Hampson, and B. Agüera y Arcas,</w:t>
      </w:r>
      <w:r>
        <w:t xml:space="preserve"> </w:t>
      </w:r>
      <w:r>
        <w:t xml:space="preserve">“Communication-efficient learning of deep networks from decentralized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20th Int. Conf. Artif. Intell. Statist. (AISTATS)</w:t>
      </w:r>
      <w:r>
        <w:t xml:space="preserve">, vol. 54,</w:t>
      </w:r>
      <w:r>
        <w:t xml:space="preserve"> </w:t>
      </w:r>
      <w:r>
        <w:t xml:space="preserve">2017, pp. 1273–1282.</w:t>
      </w:r>
    </w:p>
    <w:p>
      <w:pPr>
        <w:pStyle w:val="BodyText"/>
      </w:pPr>
      <w:r>
        <w:t xml:space="preserve">P. Kairouz, H. B. McMahan, B. Avent,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“Advances and open problems in federated learning,”</w:t>
      </w:r>
      <w:r>
        <w:t xml:space="preserve"> </w:t>
      </w:r>
      <w:r>
        <w:rPr>
          <w:i/>
          <w:iCs/>
        </w:rPr>
        <w:t xml:space="preserve">Found. Trends Mach. Learn.</w:t>
      </w:r>
      <w:r>
        <w:t xml:space="preserve">, vol. 14, no. 1–2, pp. 1–210, 2021,</w:t>
      </w:r>
      <w:r>
        <w:t xml:space="preserve"> </w:t>
      </w:r>
      <w:r>
        <w:t xml:space="preserve">doi: 10.1561/2200000083.</w:t>
      </w:r>
    </w:p>
    <w:p>
      <w:pPr>
        <w:pStyle w:val="BodyText"/>
      </w:pPr>
      <w:r>
        <w:t xml:space="preserve">P. Blanchard, E. M. El Mhamdi, R. Guerraoui, and J. Stainer,</w:t>
      </w:r>
      <w:r>
        <w:t xml:space="preserve"> </w:t>
      </w:r>
      <w:r>
        <w:t xml:space="preserve">“Machine learning with adversaries: Byzantine tolerant gradient descent,”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30, 2017.</w:t>
      </w:r>
    </w:p>
    <w:p>
      <w:pPr>
        <w:pStyle w:val="BodyText"/>
      </w:pPr>
      <w:r>
        <w:t xml:space="preserve">D. Yin, Y. Chen, R. Kannan, and P. Bartlett,</w:t>
      </w:r>
      <w:r>
        <w:t xml:space="preserve"> </w:t>
      </w:r>
      <w:r>
        <w:t xml:space="preserve">“Byzantine-robust distributed learning: Towards optimal statistical rates,”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35th Int. Conf. Mach. Learn. (ICML)</w:t>
      </w:r>
      <w:r>
        <w:t xml:space="preserve">, vol. 80, 2018,</w:t>
      </w:r>
      <w:r>
        <w:t xml:space="preserve"> </w:t>
      </w:r>
      <w:r>
        <w:t xml:space="preserve">pp. 5650–5659.</w:t>
      </w:r>
    </w:p>
    <w:p>
      <w:pPr>
        <w:pStyle w:val="BodyText"/>
      </w:pPr>
      <w:r>
        <w:t xml:space="preserve">M. Baruch, G. Baruch, and Y. Goldberg,</w:t>
      </w:r>
      <w:r>
        <w:t xml:space="preserve"> </w:t>
      </w:r>
      <w:r>
        <w:t xml:space="preserve">“A little is enough: Circumventing defenses for distributed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32, 2019.</w:t>
      </w:r>
    </w:p>
    <w:p>
      <w:pPr>
        <w:pStyle w:val="BodyText"/>
      </w:pPr>
      <w:r>
        <w:t xml:space="preserve">Z. Sun, P. Kairouz, A. T. Suresh, and H. B. McMahan,</w:t>
      </w:r>
      <w:r>
        <w:t xml:space="preserve"> </w:t>
      </w:r>
      <w:r>
        <w:t xml:space="preserve">“Can you really backdoor federated learning?”</w:t>
      </w:r>
      <w:r>
        <w:t xml:space="preserve"> </w:t>
      </w:r>
      <w:r>
        <w:t xml:space="preserve">arXiv:1911.07963, 2019.</w:t>
      </w:r>
    </w:p>
    <w:p>
      <w:pPr>
        <w:pStyle w:val="BodyText"/>
      </w:pPr>
      <w:r>
        <w:t xml:space="preserve">H. Kim, J. Park, M. Bennis, and S.-L. Kim,</w:t>
      </w:r>
      <w:r>
        <w:t xml:space="preserve"> </w:t>
      </w:r>
      <w:r>
        <w:t xml:space="preserve">“Blockchained on-device federated learning,”</w:t>
      </w:r>
      <w:r>
        <w:t xml:space="preserve"> </w:t>
      </w:r>
      <w:r>
        <w:rPr>
          <w:i/>
          <w:iCs/>
        </w:rPr>
        <w:t xml:space="preserve">IEEE Commun. Lett.</w:t>
      </w:r>
      <w:r>
        <w:t xml:space="preserve">, vol. 24, no. 6, pp. 1279–1283, Jun. 2020,</w:t>
      </w:r>
      <w:r>
        <w:t xml:space="preserve"> </w:t>
      </w:r>
      <w:r>
        <w:t xml:space="preserve">doi: 10.1109/LCOMM.2019.2921755.</w:t>
      </w:r>
    </w:p>
    <w:p>
      <w:pPr>
        <w:pStyle w:val="BodyText"/>
      </w:pPr>
      <w:r>
        <w:t xml:space="preserve">Y. Lu, X. Huang, K. Zhang, S. Maharjan, and Y. Zhang,</w:t>
      </w:r>
      <w:r>
        <w:t xml:space="preserve"> </w:t>
      </w:r>
      <w:r>
        <w:t xml:space="preserve">“Blockchain empowered asynchronous federated learning for secure data sharing</w:t>
      </w:r>
      <w:r>
        <w:t xml:space="preserve"> </w:t>
      </w:r>
      <w:r>
        <w:t xml:space="preserve">in Internet of Vehicles,”</w:t>
      </w:r>
      <w:r>
        <w:t xml:space="preserve"> </w:t>
      </w:r>
      <w:r>
        <w:rPr>
          <w:i/>
          <w:iCs/>
        </w:rPr>
        <w:t xml:space="preserve">IEEE Trans. Veh. Technol.</w:t>
      </w:r>
      <w:r>
        <w:t xml:space="preserve">, vol. 69, no. 4, pp. 4298–4311, Apr. 2020,</w:t>
      </w:r>
      <w:r>
        <w:t xml:space="preserve"> </w:t>
      </w:r>
      <w:r>
        <w:t xml:space="preserve">doi: 10.1109/TVT.2020.2973651.</w:t>
      </w:r>
    </w:p>
    <w:bookmarkEnd w:id="61"/>
    <w:sectPr w:rsidR="00331994" w:rsidSect="003F37B2">
      <w:type w:val="continuous"/>
      <w:pgSz w:w="12240" w:h="15840" w:code="1"/>
      <w:pgMar w:top="1080" w:right="893" w:bottom="1440" w:left="893" w:header="720" w:footer="720" w:gutter="0"/>
      <w:cols w:num="2" w:space="360"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8402"/>
    </w:tblGrid>
    <w:tr w:rsidR="008A20E8" w14:paraId="03DAB3F4" w14:textId="77777777" w:rsidTr="00F645F8">
      <w:tc>
        <w:tcPr>
          <w:tcW w:w="2268" w:type="dxa"/>
        </w:tcPr>
        <w:p w14:paraId="2931912F" w14:textId="77777777" w:rsidR="008A20E8" w:rsidRPr="00F645F8" w:rsidRDefault="008A20E8" w:rsidP="00F645F8">
          <w:pPr>
            <w:pStyle w:val="Footer"/>
            <w:ind w:firstLine="198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www.etasr.com</w:t>
          </w:r>
        </w:p>
      </w:tc>
      <w:tc>
        <w:tcPr>
          <w:tcW w:w="8402" w:type="dxa"/>
        </w:tcPr>
        <w:p w14:paraId="6D9B8F70" w14:textId="77777777" w:rsidR="008A20E8" w:rsidRPr="00F645F8" w:rsidRDefault="00CE4855" w:rsidP="00E50730">
          <w:pPr>
            <w:pStyle w:val="Footer"/>
            <w:ind w:firstLine="198"/>
            <w:jc w:val="right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DO NOT ALTER HEADER &amp; FOOTER. THEY WILL BE COMPLETED DURING EDITING</w:t>
          </w:r>
        </w:p>
      </w:tc>
    </w:tr>
  </w:tbl>
  <w:p w14:paraId="78363948" w14:textId="77777777" w:rsidR="008A20E8" w:rsidRDefault="008A20E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0">
        <w:r>
          <w:rPr>
            <w:rStyle w:val="Hyperlink"/>
          </w:rPr>
          <w:t xml:space="preserve">https://github.com/vokasitibrawijaya/byzantine-robust-fl-blockchain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5070"/>
      <w:gridCol w:w="3827"/>
      <w:gridCol w:w="1417"/>
      <w:gridCol w:w="709"/>
    </w:tblGrid>
    <w:tr w:rsidR="00802CCB" w:rsidRPr="00F645F8" w14:paraId="734A1610" w14:textId="77777777" w:rsidTr="00802CCB">
      <w:tc>
        <w:tcPr>
          <w:tcW w:w="5070" w:type="dxa"/>
        </w:tcPr>
        <w:p w14:paraId="3D3DF443" w14:textId="77777777" w:rsidR="00802CCB" w:rsidRPr="00F645F8" w:rsidRDefault="00802CCB" w:rsidP="00802CCB">
          <w:pPr>
            <w:pStyle w:val="Header"/>
            <w:ind w:firstLine="284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Engineering, Technology &amp; Applied Science Research</w:t>
          </w:r>
        </w:p>
      </w:tc>
      <w:tc>
        <w:tcPr>
          <w:tcW w:w="3827" w:type="dxa"/>
        </w:tcPr>
        <w:p w14:paraId="0CD07706" w14:textId="77777777" w:rsidR="00802CCB" w:rsidRPr="00F645F8" w:rsidRDefault="00802CCB" w:rsidP="004D2F11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Vol. X</w:t>
          </w:r>
          <w:r>
            <w:rPr>
              <w:rFonts w:eastAsia="Times New Roman"/>
              <w:b/>
              <w:i/>
              <w:sz w:val="18"/>
              <w:szCs w:val="18"/>
            </w:rPr>
            <w:t>X</w:t>
          </w:r>
          <w:r w:rsidRPr="00F645F8">
            <w:rPr>
              <w:rFonts w:eastAsia="Times New Roman"/>
              <w:b/>
              <w:i/>
              <w:sz w:val="18"/>
              <w:szCs w:val="18"/>
            </w:rPr>
            <w:t xml:space="preserve">, No. X, 20XX, </w:t>
          </w:r>
          <w:r>
            <w:rPr>
              <w:rFonts w:eastAsia="Times New Roman"/>
              <w:b/>
              <w:i/>
              <w:sz w:val="18"/>
              <w:szCs w:val="18"/>
            </w:rPr>
            <w:t>XXXXX-XXXXX</w:t>
          </w:r>
        </w:p>
      </w:tc>
      <w:tc>
        <w:tcPr>
          <w:tcW w:w="1417" w:type="dxa"/>
        </w:tcPr>
        <w:p w14:paraId="3472DC00" w14:textId="77777777" w:rsidR="00802CCB" w:rsidRPr="00F645F8" w:rsidRDefault="00802CCB" w:rsidP="00264ED6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b/>
              <w:sz w:val="22"/>
              <w:szCs w:val="22"/>
            </w:rPr>
            <w:fldChar w:fldCharType="begin"/>
          </w:r>
          <w:r w:rsidRPr="00F645F8">
            <w:rPr>
              <w:b/>
              <w:sz w:val="22"/>
              <w:szCs w:val="22"/>
            </w:rPr>
            <w:instrText xml:space="preserve"> PAGE </w:instrText>
          </w:r>
          <w:r w:rsidRPr="00F645F8">
            <w:rPr>
              <w:rFonts w:eastAsia="Times New Roman"/>
              <w:b/>
              <w:sz w:val="22"/>
              <w:szCs w:val="22"/>
            </w:rPr>
            <w:fldChar w:fldCharType="separate"/>
          </w:r>
          <w:r w:rsidR="00B747B2">
            <w:rPr>
              <w:b/>
              <w:noProof/>
              <w:sz w:val="22"/>
              <w:szCs w:val="22"/>
            </w:rPr>
            <w:t>5</w:t>
          </w:r>
          <w:r w:rsidRPr="00F645F8">
            <w:rPr>
              <w:b/>
              <w:sz w:val="22"/>
              <w:szCs w:val="22"/>
            </w:rPr>
            <w:fldChar w:fldCharType="end"/>
          </w:r>
        </w:p>
      </w:tc>
      <w:tc>
        <w:tcPr>
          <w:tcW w:w="709" w:type="dxa"/>
        </w:tcPr>
        <w:p w14:paraId="356EB608" w14:textId="77777777" w:rsidR="00802CCB" w:rsidRPr="00F645F8" w:rsidRDefault="00802CCB" w:rsidP="00264ED6">
          <w:pPr>
            <w:pStyle w:val="Header"/>
            <w:ind w:firstLine="198"/>
            <w:rPr>
              <w:b/>
              <w:sz w:val="22"/>
              <w:szCs w:val="22"/>
            </w:rPr>
          </w:pPr>
        </w:p>
      </w:tc>
    </w:tr>
  </w:tbl>
  <w:p w14:paraId="7C3D56C0" w14:textId="77777777" w:rsidR="00802CCB" w:rsidRPr="00BF6CC6" w:rsidRDefault="00802CCB" w:rsidP="00802CCB">
    <w:pPr>
      <w:pStyle w:val="Header"/>
      <w:jc w:val="both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">
    <w:nsid w:val="37660336"/>
    <w:multiLevelType w:val="hybridMultilevel"/>
    <w:tmpl w:val="2C8EC13C"/>
    <w:lvl w:ilvl="0" w:tplc="9ACABCEA">
      <w:start w:val="1"/>
      <w:numFmt w:val="bullet"/>
      <w:pStyle w:val="ETASR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4189603E"/>
    <w:multiLevelType w:val="multilevel"/>
    <w:tmpl w:val="3C505140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pos="216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pos="72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3">
    <w:nsid w:val="45B21287"/>
    <w:multiLevelType w:val="hybridMultilevel"/>
    <w:tmpl w:val="6BE464EA"/>
    <w:lvl w:ilvl="0" w:tplc="D540B9D2">
      <w:start w:val="1"/>
      <w:numFmt w:val="decimal"/>
      <w:pStyle w:val="ETASRnumberedlist"/>
      <w:lvlText w:val="%1."/>
      <w:lvlJc w:val="left"/>
      <w:pPr>
        <w:ind w:hanging="360" w:left="502"/>
      </w:pPr>
    </w:lvl>
    <w:lvl w:ilvl="1" w:tentative="1" w:tplc="04080019">
      <w:start w:val="1"/>
      <w:numFmt w:val="lowerLetter"/>
      <w:lvlText w:val="%2."/>
      <w:lvlJc w:val="left"/>
      <w:pPr>
        <w:ind w:hanging="360" w:left="1440"/>
      </w:pPr>
    </w:lvl>
    <w:lvl w:ilvl="2" w:tentative="1" w:tplc="0408001B">
      <w:start w:val="1"/>
      <w:numFmt w:val="lowerRoman"/>
      <w:lvlText w:val="%3."/>
      <w:lvlJc w:val="right"/>
      <w:pPr>
        <w:ind w:hanging="180" w:left="2160"/>
      </w:pPr>
    </w:lvl>
    <w:lvl w:ilvl="3" w:tentative="1" w:tplc="0408000F">
      <w:start w:val="1"/>
      <w:numFmt w:val="decimal"/>
      <w:lvlText w:val="%4."/>
      <w:lvlJc w:val="left"/>
      <w:pPr>
        <w:ind w:hanging="360" w:left="2880"/>
      </w:pPr>
    </w:lvl>
    <w:lvl w:ilvl="4" w:tentative="1" w:tplc="04080019">
      <w:start w:val="1"/>
      <w:numFmt w:val="lowerLetter"/>
      <w:lvlText w:val="%5."/>
      <w:lvlJc w:val="left"/>
      <w:pPr>
        <w:ind w:hanging="360" w:left="3600"/>
      </w:pPr>
    </w:lvl>
    <w:lvl w:ilvl="5" w:tentative="1" w:tplc="0408001B">
      <w:start w:val="1"/>
      <w:numFmt w:val="lowerRoman"/>
      <w:lvlText w:val="%6."/>
      <w:lvlJc w:val="right"/>
      <w:pPr>
        <w:ind w:hanging="180" w:left="4320"/>
      </w:pPr>
    </w:lvl>
    <w:lvl w:ilvl="6" w:tentative="1" w:tplc="0408000F">
      <w:start w:val="1"/>
      <w:numFmt w:val="decimal"/>
      <w:lvlText w:val="%7."/>
      <w:lvlJc w:val="left"/>
      <w:pPr>
        <w:ind w:hanging="360" w:left="5040"/>
      </w:pPr>
    </w:lvl>
    <w:lvl w:ilvl="7" w:tentative="1" w:tplc="04080019">
      <w:start w:val="1"/>
      <w:numFmt w:val="lowerLetter"/>
      <w:lvlText w:val="%8."/>
      <w:lvlJc w:val="left"/>
      <w:pPr>
        <w:ind w:hanging="360" w:left="5760"/>
      </w:pPr>
    </w:lvl>
    <w:lvl w:ilvl="8" w:tentative="1" w:tplc="0408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52CA544A"/>
    <w:multiLevelType w:val="singleLevel"/>
    <w:tmpl w:val="90E641EA"/>
    <w:lvl w:ilvl="0">
      <w:start w:val="1"/>
      <w:numFmt w:val="decimal"/>
      <w:pStyle w:val="ETASR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5">
    <w:nsid w:val="6C402C58"/>
    <w:multiLevelType w:val="hybridMultilevel"/>
    <w:tmpl w:val="03F2A2BE"/>
    <w:lvl w:ilvl="0" w:tplc="E5161D66">
      <w:start w:val="1"/>
      <w:numFmt w:val="decimal"/>
      <w:pStyle w:val="ETASRfigurecaption"/>
      <w:lvlText w:val="Fig. %1. "/>
      <w:lvlJc w:val="left"/>
      <w:pPr>
        <w:tabs>
          <w:tab w:pos="720" w:val="num"/>
        </w:tabs>
        <w:ind w:firstLine="0" w:left="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6">
    <w:nsid w:val="6F8C114F"/>
    <w:multiLevelType w:val="hybridMultilevel"/>
    <w:tmpl w:val="8BFA7704"/>
    <w:lvl w:ilvl="0" w:tplc="DCB8150C">
      <w:start w:val="1"/>
      <w:numFmt w:val="upperRoman"/>
      <w:pStyle w:val="ETASRtablehead"/>
      <w:lvlText w:val="TABLE %1. "/>
      <w:lvlJc w:val="left"/>
      <w:pPr>
        <w:ind w:hanging="360" w:left="72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292905140" w:numId="1">
    <w:abstractNumId w:val="1"/>
  </w:num>
  <w:num w16cid:durableId="188109741" w:numId="2">
    <w:abstractNumId w:val="5"/>
  </w:num>
  <w:num w16cid:durableId="413405204" w:numId="3">
    <w:abstractNumId w:val="0"/>
  </w:num>
  <w:num w16cid:durableId="476194102" w:numId="4">
    <w:abstractNumId w:val="2"/>
  </w:num>
  <w:num w16cid:durableId="2091079436" w:numId="5">
    <w:abstractNumId w:val="2"/>
  </w:num>
  <w:num w16cid:durableId="1120610182" w:numId="6">
    <w:abstractNumId w:val="2"/>
  </w:num>
  <w:num w16cid:durableId="480578332" w:numId="7">
    <w:abstractNumId w:val="2"/>
  </w:num>
  <w:num w16cid:durableId="1011760149" w:numId="8">
    <w:abstractNumId w:val="4"/>
  </w:num>
  <w:num w16cid:durableId="1827165574" w:numId="9">
    <w:abstractNumId w:val="3"/>
  </w:num>
  <w:num w16cid:durableId="1346664224" w:numId="10">
    <w:abstractNumId w:val="6"/>
  </w:num>
  <w:num w16cid:durableId="1472673865" w:numId="11">
    <w:abstractNumId w:val="1"/>
  </w:num>
  <w:num w16cid:durableId="1515536931" w:numId="12">
    <w:abstractNumId w:val="1"/>
  </w:num>
  <w:num w16cid:durableId="1438797364" w:numId="13">
    <w:abstractNumId w:val="1"/>
  </w:num>
  <w:num w16cid:durableId="746801614" w:numId="14">
    <w:abstractNumId w:val="1"/>
  </w:num>
  <w:num w16cid:durableId="71859133" w:numId="15">
    <w:abstractNumId w:val="1"/>
  </w:num>
  <w:num w16cid:durableId="1744184413" w:numId="16">
    <w:abstractNumId w:val="1"/>
  </w:num>
  <w:num w16cid:durableId="1830511098" w:numId="17">
    <w:abstractNumId w:val="1"/>
  </w:num>
  <w:num w16cid:durableId="1288853791" w:numId="18">
    <w:abstractNumId w:val="1"/>
  </w:num>
  <w:num w16cid:durableId="7681186" w:numId="19">
    <w:abstractNumId w:val="1"/>
  </w:num>
  <w:num w16cid:durableId="613292965" w:numId="20">
    <w:abstractNumId w:val="4"/>
  </w:num>
  <w:num w16cid:durableId="1475951023" w:numId="21">
    <w:abstractNumId w:val="1"/>
  </w:num>
  <w:num w16cid:durableId="1887791003" w:numId="22">
    <w:abstractNumId w:val="2"/>
  </w:num>
  <w:num w16cid:durableId="1406761832" w:numId="23">
    <w:abstractNumId w:val="4"/>
  </w:num>
  <w:num w16cid:durableId="1246526407" w:numId="24">
    <w:abstractNumId w:val="4"/>
  </w:num>
  <w:num w16cid:durableId="1468278641" w:numId="25">
    <w:abstractNumId w:val="1"/>
  </w:num>
  <w:num w16cid:durableId="605384232" w:numId="26">
    <w:abstractNumId w:val="4"/>
  </w:num>
  <w:num w16cid:durableId="575018885" w:numId="27">
    <w:abstractNumId w:val="4"/>
  </w:num>
  <w:num w16cid:durableId="11693558" w:numId="28">
    <w:abstractNumId w:val="4"/>
  </w:num>
  <w:num w16cid:durableId="122506926" w:numId="29">
    <w:abstractNumId w:val="4"/>
  </w:num>
  <w:num w16cid:durableId="1704790714" w:numId="30">
    <w:abstractNumId w:val="4"/>
  </w:num>
  <w:num w16cid:durableId="666860554" w:numId="31">
    <w:abstractNumId w:val="1"/>
  </w:num>
  <w:num w16cid:durableId="1626697800" w:numId="32">
    <w:abstractNumId w:val="4"/>
  </w:num>
  <w:num w16cid:durableId="1795517041" w:numId="33">
    <w:abstractNumId w:val="4"/>
  </w:num>
  <w:num w16cid:durableId="531264502" w:numId="34">
    <w:abstractNumId w:val="1"/>
  </w:num>
  <w:num w16cid:durableId="1783107729" w:numId="35">
    <w:abstractNumId w:val="4"/>
  </w:num>
  <w:num w16cid:durableId="601300801" w:numId="36">
    <w:abstractNumId w:val="1"/>
  </w:num>
  <w:num w16cid:durableId="1021081703" w:numId="37">
    <w:abstractNumId w:val="2"/>
  </w:num>
  <w:num w16cid:durableId="1238326068" w:numId="38">
    <w:abstractNumId w:val="2"/>
  </w:num>
  <w:num w16cid:durableId="1014263990" w:numId="39">
    <w:abstractNumId w:val="3"/>
    <w:lvlOverride w:ilvl="0">
      <w:startOverride w:val="1"/>
    </w:lvlOverride>
  </w:num>
  <w:num w16cid:durableId="209538252" w:numId="40">
    <w:abstractNumId w:val="3"/>
  </w:num>
  <w:num w16cid:durableId="2048600234" w:numId="41">
    <w:abstractNumId w:val="3"/>
    <w:lvlOverride w:ilvl="0">
      <w:startOverride w:val="1"/>
    </w:lvlOverride>
  </w:num>
  <w:num w16cid:durableId="598366219"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4033915" w:numId="43">
    <w:abstractNumId w:val="2"/>
  </w:num>
  <w:num w16cid:durableId="1112015495" w:numId="44">
    <w:abstractNumId w:val="3"/>
  </w:num>
  <w:num w16cid:durableId="732315799"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oNotHyphenateCaps/>
  <w:clickAndTypeStyle w:val="ETASRbodytext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2F11"/>
    <w:rsid w:val="00012992"/>
    <w:rsid w:val="0001678C"/>
    <w:rsid w:val="00017A6C"/>
    <w:rsid w:val="00030F2E"/>
    <w:rsid w:val="000341EF"/>
    <w:rsid w:val="00041388"/>
    <w:rsid w:val="0005069E"/>
    <w:rsid w:val="00073029"/>
    <w:rsid w:val="000747DF"/>
    <w:rsid w:val="0008397E"/>
    <w:rsid w:val="00090939"/>
    <w:rsid w:val="000A0FC5"/>
    <w:rsid w:val="000B1140"/>
    <w:rsid w:val="000B1B92"/>
    <w:rsid w:val="000B2C93"/>
    <w:rsid w:val="000B5B0C"/>
    <w:rsid w:val="000C5BAB"/>
    <w:rsid w:val="000E0D04"/>
    <w:rsid w:val="000E1F0A"/>
    <w:rsid w:val="000E3A1E"/>
    <w:rsid w:val="000E54AC"/>
    <w:rsid w:val="000E6B3F"/>
    <w:rsid w:val="000E7F57"/>
    <w:rsid w:val="000F2BC9"/>
    <w:rsid w:val="000F5731"/>
    <w:rsid w:val="001016D6"/>
    <w:rsid w:val="001037A3"/>
    <w:rsid w:val="0010518C"/>
    <w:rsid w:val="0010794C"/>
    <w:rsid w:val="0011403B"/>
    <w:rsid w:val="00115637"/>
    <w:rsid w:val="001178A5"/>
    <w:rsid w:val="00117D0E"/>
    <w:rsid w:val="0012285B"/>
    <w:rsid w:val="0012729D"/>
    <w:rsid w:val="00140DA6"/>
    <w:rsid w:val="00146ECB"/>
    <w:rsid w:val="00150192"/>
    <w:rsid w:val="00157777"/>
    <w:rsid w:val="0016008F"/>
    <w:rsid w:val="00165EDC"/>
    <w:rsid w:val="001665A4"/>
    <w:rsid w:val="0017004D"/>
    <w:rsid w:val="00170D8A"/>
    <w:rsid w:val="001821D8"/>
    <w:rsid w:val="00182B21"/>
    <w:rsid w:val="001832BA"/>
    <w:rsid w:val="0019269F"/>
    <w:rsid w:val="0019416F"/>
    <w:rsid w:val="00195CB0"/>
    <w:rsid w:val="00195D6E"/>
    <w:rsid w:val="00197A1B"/>
    <w:rsid w:val="001A3692"/>
    <w:rsid w:val="001A3AD1"/>
    <w:rsid w:val="001A4B1E"/>
    <w:rsid w:val="001B549E"/>
    <w:rsid w:val="001C7B62"/>
    <w:rsid w:val="001C7F73"/>
    <w:rsid w:val="001D0620"/>
    <w:rsid w:val="001D3003"/>
    <w:rsid w:val="001E18F2"/>
    <w:rsid w:val="001E2588"/>
    <w:rsid w:val="001E3459"/>
    <w:rsid w:val="001E3D1B"/>
    <w:rsid w:val="001E412A"/>
    <w:rsid w:val="001E4B70"/>
    <w:rsid w:val="001F0317"/>
    <w:rsid w:val="00200993"/>
    <w:rsid w:val="00204A81"/>
    <w:rsid w:val="00214C02"/>
    <w:rsid w:val="002173DC"/>
    <w:rsid w:val="002323A5"/>
    <w:rsid w:val="0023277A"/>
    <w:rsid w:val="002353F9"/>
    <w:rsid w:val="002361AF"/>
    <w:rsid w:val="0024088F"/>
    <w:rsid w:val="002441B3"/>
    <w:rsid w:val="0024517E"/>
    <w:rsid w:val="00245D4B"/>
    <w:rsid w:val="002512C5"/>
    <w:rsid w:val="00253DF0"/>
    <w:rsid w:val="00257B0C"/>
    <w:rsid w:val="0026123C"/>
    <w:rsid w:val="00261F17"/>
    <w:rsid w:val="002627D2"/>
    <w:rsid w:val="002734EF"/>
    <w:rsid w:val="00273873"/>
    <w:rsid w:val="00274CA7"/>
    <w:rsid w:val="00277648"/>
    <w:rsid w:val="00281916"/>
    <w:rsid w:val="002836F2"/>
    <w:rsid w:val="00297DA8"/>
    <w:rsid w:val="002A2464"/>
    <w:rsid w:val="002A49D0"/>
    <w:rsid w:val="002A6BAD"/>
    <w:rsid w:val="002B159C"/>
    <w:rsid w:val="002B20B3"/>
    <w:rsid w:val="002B2E32"/>
    <w:rsid w:val="002B6584"/>
    <w:rsid w:val="002C0C78"/>
    <w:rsid w:val="002D7CDF"/>
    <w:rsid w:val="002E09C3"/>
    <w:rsid w:val="002E401F"/>
    <w:rsid w:val="00302385"/>
    <w:rsid w:val="003041DB"/>
    <w:rsid w:val="003067C3"/>
    <w:rsid w:val="003142FE"/>
    <w:rsid w:val="003203D2"/>
    <w:rsid w:val="00324960"/>
    <w:rsid w:val="00324FB5"/>
    <w:rsid w:val="00325027"/>
    <w:rsid w:val="00331071"/>
    <w:rsid w:val="00331994"/>
    <w:rsid w:val="00334E23"/>
    <w:rsid w:val="00344DC3"/>
    <w:rsid w:val="00347610"/>
    <w:rsid w:val="00353E23"/>
    <w:rsid w:val="00355284"/>
    <w:rsid w:val="00363879"/>
    <w:rsid w:val="00364EFB"/>
    <w:rsid w:val="00367E28"/>
    <w:rsid w:val="00374D02"/>
    <w:rsid w:val="003818A9"/>
    <w:rsid w:val="00382693"/>
    <w:rsid w:val="00391252"/>
    <w:rsid w:val="003938C7"/>
    <w:rsid w:val="00394B29"/>
    <w:rsid w:val="00395857"/>
    <w:rsid w:val="00396181"/>
    <w:rsid w:val="003B0D3A"/>
    <w:rsid w:val="003B5B23"/>
    <w:rsid w:val="003E31BF"/>
    <w:rsid w:val="003F174E"/>
    <w:rsid w:val="003F37B2"/>
    <w:rsid w:val="003F3897"/>
    <w:rsid w:val="003F67DE"/>
    <w:rsid w:val="003F709B"/>
    <w:rsid w:val="004005B0"/>
    <w:rsid w:val="004121CB"/>
    <w:rsid w:val="00412219"/>
    <w:rsid w:val="00421B2F"/>
    <w:rsid w:val="00422A6F"/>
    <w:rsid w:val="00424271"/>
    <w:rsid w:val="00424BCB"/>
    <w:rsid w:val="00431F36"/>
    <w:rsid w:val="00436F27"/>
    <w:rsid w:val="00437AB9"/>
    <w:rsid w:val="00442AA9"/>
    <w:rsid w:val="00461201"/>
    <w:rsid w:val="00466C15"/>
    <w:rsid w:val="004729A3"/>
    <w:rsid w:val="00480C6E"/>
    <w:rsid w:val="004870FB"/>
    <w:rsid w:val="0049138F"/>
    <w:rsid w:val="00491832"/>
    <w:rsid w:val="00494946"/>
    <w:rsid w:val="004965E4"/>
    <w:rsid w:val="004A189C"/>
    <w:rsid w:val="004B31C9"/>
    <w:rsid w:val="004C19C3"/>
    <w:rsid w:val="004C1BBC"/>
    <w:rsid w:val="004C4824"/>
    <w:rsid w:val="004D000D"/>
    <w:rsid w:val="004D2031"/>
    <w:rsid w:val="004D2F11"/>
    <w:rsid w:val="004D7A2A"/>
    <w:rsid w:val="004E205F"/>
    <w:rsid w:val="004E38BA"/>
    <w:rsid w:val="004E62B7"/>
    <w:rsid w:val="004F5EEA"/>
    <w:rsid w:val="00501BF4"/>
    <w:rsid w:val="00503A6D"/>
    <w:rsid w:val="00505DD3"/>
    <w:rsid w:val="005061B1"/>
    <w:rsid w:val="00506A26"/>
    <w:rsid w:val="005147AE"/>
    <w:rsid w:val="00517FCC"/>
    <w:rsid w:val="00521B36"/>
    <w:rsid w:val="00522FED"/>
    <w:rsid w:val="00524489"/>
    <w:rsid w:val="005277F7"/>
    <w:rsid w:val="005329D9"/>
    <w:rsid w:val="005347B3"/>
    <w:rsid w:val="00535270"/>
    <w:rsid w:val="00535FA0"/>
    <w:rsid w:val="00540E6B"/>
    <w:rsid w:val="00541A3B"/>
    <w:rsid w:val="00553173"/>
    <w:rsid w:val="00553DB0"/>
    <w:rsid w:val="005553A0"/>
    <w:rsid w:val="00555D68"/>
    <w:rsid w:val="005578D6"/>
    <w:rsid w:val="0057055E"/>
    <w:rsid w:val="00571117"/>
    <w:rsid w:val="00572D1D"/>
    <w:rsid w:val="00577AAA"/>
    <w:rsid w:val="00590D17"/>
    <w:rsid w:val="00590FD2"/>
    <w:rsid w:val="00591C83"/>
    <w:rsid w:val="00593043"/>
    <w:rsid w:val="005A2B1C"/>
    <w:rsid w:val="005B0F5D"/>
    <w:rsid w:val="005B1273"/>
    <w:rsid w:val="005C7346"/>
    <w:rsid w:val="005C7A59"/>
    <w:rsid w:val="005D2922"/>
    <w:rsid w:val="005D4C52"/>
    <w:rsid w:val="005D6C94"/>
    <w:rsid w:val="005D7820"/>
    <w:rsid w:val="005E0250"/>
    <w:rsid w:val="005E6E07"/>
    <w:rsid w:val="0060024D"/>
    <w:rsid w:val="006005E1"/>
    <w:rsid w:val="00600A2F"/>
    <w:rsid w:val="00600FBB"/>
    <w:rsid w:val="0060256D"/>
    <w:rsid w:val="00603379"/>
    <w:rsid w:val="00603C9B"/>
    <w:rsid w:val="00606284"/>
    <w:rsid w:val="00610C2E"/>
    <w:rsid w:val="00614BFB"/>
    <w:rsid w:val="00620547"/>
    <w:rsid w:val="0062097D"/>
    <w:rsid w:val="00622881"/>
    <w:rsid w:val="006235C8"/>
    <w:rsid w:val="00623684"/>
    <w:rsid w:val="0063189E"/>
    <w:rsid w:val="00631CE4"/>
    <w:rsid w:val="00640905"/>
    <w:rsid w:val="00645910"/>
    <w:rsid w:val="00646FDE"/>
    <w:rsid w:val="00653024"/>
    <w:rsid w:val="006545D1"/>
    <w:rsid w:val="00662315"/>
    <w:rsid w:val="00663AB1"/>
    <w:rsid w:val="00666BB2"/>
    <w:rsid w:val="00667E56"/>
    <w:rsid w:val="00671C2C"/>
    <w:rsid w:val="00675D76"/>
    <w:rsid w:val="00677C1C"/>
    <w:rsid w:val="00682F53"/>
    <w:rsid w:val="006859F4"/>
    <w:rsid w:val="0069513A"/>
    <w:rsid w:val="00696C34"/>
    <w:rsid w:val="006A2E44"/>
    <w:rsid w:val="006A4E66"/>
    <w:rsid w:val="006B09E6"/>
    <w:rsid w:val="006E1978"/>
    <w:rsid w:val="006F4F20"/>
    <w:rsid w:val="00701BDA"/>
    <w:rsid w:val="00703531"/>
    <w:rsid w:val="007035BC"/>
    <w:rsid w:val="00711FE6"/>
    <w:rsid w:val="00712152"/>
    <w:rsid w:val="007239A8"/>
    <w:rsid w:val="00725C07"/>
    <w:rsid w:val="007317F4"/>
    <w:rsid w:val="00735C54"/>
    <w:rsid w:val="007369DC"/>
    <w:rsid w:val="00736C67"/>
    <w:rsid w:val="00736EA2"/>
    <w:rsid w:val="007506AE"/>
    <w:rsid w:val="00751CC5"/>
    <w:rsid w:val="00752049"/>
    <w:rsid w:val="00752609"/>
    <w:rsid w:val="00757B2B"/>
    <w:rsid w:val="00765C0D"/>
    <w:rsid w:val="0076641E"/>
    <w:rsid w:val="00770F4A"/>
    <w:rsid w:val="007721ED"/>
    <w:rsid w:val="00775D77"/>
    <w:rsid w:val="007770C1"/>
    <w:rsid w:val="00781B92"/>
    <w:rsid w:val="00791B2C"/>
    <w:rsid w:val="007922F5"/>
    <w:rsid w:val="007960B3"/>
    <w:rsid w:val="007A7770"/>
    <w:rsid w:val="007B0236"/>
    <w:rsid w:val="007B0292"/>
    <w:rsid w:val="007B4F15"/>
    <w:rsid w:val="007B7A6A"/>
    <w:rsid w:val="007C48C1"/>
    <w:rsid w:val="007D0C81"/>
    <w:rsid w:val="007E0CC1"/>
    <w:rsid w:val="007E1F18"/>
    <w:rsid w:val="007E33C4"/>
    <w:rsid w:val="00802CCB"/>
    <w:rsid w:val="00803BA6"/>
    <w:rsid w:val="008071EA"/>
    <w:rsid w:val="008109E6"/>
    <w:rsid w:val="00814C3F"/>
    <w:rsid w:val="00817269"/>
    <w:rsid w:val="00822C14"/>
    <w:rsid w:val="008240A7"/>
    <w:rsid w:val="008249FB"/>
    <w:rsid w:val="008256DB"/>
    <w:rsid w:val="00830302"/>
    <w:rsid w:val="00831697"/>
    <w:rsid w:val="008348DD"/>
    <w:rsid w:val="00841C26"/>
    <w:rsid w:val="00847F1A"/>
    <w:rsid w:val="00851EF4"/>
    <w:rsid w:val="008532A3"/>
    <w:rsid w:val="00853B60"/>
    <w:rsid w:val="00857DFD"/>
    <w:rsid w:val="008606F2"/>
    <w:rsid w:val="00862210"/>
    <w:rsid w:val="00863390"/>
    <w:rsid w:val="008633AA"/>
    <w:rsid w:val="00864517"/>
    <w:rsid w:val="00874B6E"/>
    <w:rsid w:val="00877C2C"/>
    <w:rsid w:val="00885D57"/>
    <w:rsid w:val="00886371"/>
    <w:rsid w:val="00886DEC"/>
    <w:rsid w:val="00891635"/>
    <w:rsid w:val="00895E8D"/>
    <w:rsid w:val="008A20E8"/>
    <w:rsid w:val="008A5793"/>
    <w:rsid w:val="008A63D2"/>
    <w:rsid w:val="008A70AA"/>
    <w:rsid w:val="008B206D"/>
    <w:rsid w:val="008B6A23"/>
    <w:rsid w:val="008B741D"/>
    <w:rsid w:val="008C2716"/>
    <w:rsid w:val="008C2A18"/>
    <w:rsid w:val="008D0AF0"/>
    <w:rsid w:val="008D150A"/>
    <w:rsid w:val="008D6C61"/>
    <w:rsid w:val="008E7628"/>
    <w:rsid w:val="008F1CFB"/>
    <w:rsid w:val="008F2563"/>
    <w:rsid w:val="008F67D4"/>
    <w:rsid w:val="00901869"/>
    <w:rsid w:val="0091666D"/>
    <w:rsid w:val="00925DC6"/>
    <w:rsid w:val="00926524"/>
    <w:rsid w:val="00931338"/>
    <w:rsid w:val="009322FA"/>
    <w:rsid w:val="00932B63"/>
    <w:rsid w:val="009370C4"/>
    <w:rsid w:val="00943C62"/>
    <w:rsid w:val="009523BB"/>
    <w:rsid w:val="00954824"/>
    <w:rsid w:val="00955247"/>
    <w:rsid w:val="00961866"/>
    <w:rsid w:val="00966EAF"/>
    <w:rsid w:val="00972340"/>
    <w:rsid w:val="00972D2E"/>
    <w:rsid w:val="009733D5"/>
    <w:rsid w:val="00974BC4"/>
    <w:rsid w:val="00977778"/>
    <w:rsid w:val="00981591"/>
    <w:rsid w:val="0098166C"/>
    <w:rsid w:val="00981E33"/>
    <w:rsid w:val="00982563"/>
    <w:rsid w:val="00982611"/>
    <w:rsid w:val="00986C48"/>
    <w:rsid w:val="00987755"/>
    <w:rsid w:val="009928C8"/>
    <w:rsid w:val="009A26D2"/>
    <w:rsid w:val="009A737F"/>
    <w:rsid w:val="009B2663"/>
    <w:rsid w:val="009C25E7"/>
    <w:rsid w:val="009C47AD"/>
    <w:rsid w:val="009D2091"/>
    <w:rsid w:val="009D22A4"/>
    <w:rsid w:val="009D27B5"/>
    <w:rsid w:val="009E0067"/>
    <w:rsid w:val="009E17D8"/>
    <w:rsid w:val="009E1E69"/>
    <w:rsid w:val="009F6AD0"/>
    <w:rsid w:val="00A02397"/>
    <w:rsid w:val="00A033AB"/>
    <w:rsid w:val="00A12811"/>
    <w:rsid w:val="00A13F19"/>
    <w:rsid w:val="00A14599"/>
    <w:rsid w:val="00A21539"/>
    <w:rsid w:val="00A355FD"/>
    <w:rsid w:val="00A36452"/>
    <w:rsid w:val="00A40A08"/>
    <w:rsid w:val="00A45FC2"/>
    <w:rsid w:val="00A474D3"/>
    <w:rsid w:val="00A50867"/>
    <w:rsid w:val="00A50EA7"/>
    <w:rsid w:val="00A517C4"/>
    <w:rsid w:val="00A5417E"/>
    <w:rsid w:val="00A57619"/>
    <w:rsid w:val="00A663B2"/>
    <w:rsid w:val="00A71B79"/>
    <w:rsid w:val="00A75F05"/>
    <w:rsid w:val="00A84C24"/>
    <w:rsid w:val="00A919A5"/>
    <w:rsid w:val="00A929DF"/>
    <w:rsid w:val="00A948F1"/>
    <w:rsid w:val="00A97D5B"/>
    <w:rsid w:val="00AA1EF5"/>
    <w:rsid w:val="00AA35CB"/>
    <w:rsid w:val="00AA7324"/>
    <w:rsid w:val="00AB2E3D"/>
    <w:rsid w:val="00AB30D6"/>
    <w:rsid w:val="00AD045B"/>
    <w:rsid w:val="00AD4758"/>
    <w:rsid w:val="00AE046B"/>
    <w:rsid w:val="00AE07C0"/>
    <w:rsid w:val="00AE1ABC"/>
    <w:rsid w:val="00AE7355"/>
    <w:rsid w:val="00AF3E87"/>
    <w:rsid w:val="00AF66B9"/>
    <w:rsid w:val="00B03815"/>
    <w:rsid w:val="00B055EE"/>
    <w:rsid w:val="00B12058"/>
    <w:rsid w:val="00B2437F"/>
    <w:rsid w:val="00B31140"/>
    <w:rsid w:val="00B44F4C"/>
    <w:rsid w:val="00B47BB8"/>
    <w:rsid w:val="00B532CE"/>
    <w:rsid w:val="00B54E13"/>
    <w:rsid w:val="00B60DE7"/>
    <w:rsid w:val="00B61289"/>
    <w:rsid w:val="00B65273"/>
    <w:rsid w:val="00B66D64"/>
    <w:rsid w:val="00B70014"/>
    <w:rsid w:val="00B72F40"/>
    <w:rsid w:val="00B747B2"/>
    <w:rsid w:val="00B75534"/>
    <w:rsid w:val="00B81171"/>
    <w:rsid w:val="00B840E7"/>
    <w:rsid w:val="00B86B84"/>
    <w:rsid w:val="00B92D4D"/>
    <w:rsid w:val="00B944C3"/>
    <w:rsid w:val="00BA4BFE"/>
    <w:rsid w:val="00BB178A"/>
    <w:rsid w:val="00BB18EE"/>
    <w:rsid w:val="00BC6D2A"/>
    <w:rsid w:val="00BD577E"/>
    <w:rsid w:val="00BD6F67"/>
    <w:rsid w:val="00BD70BA"/>
    <w:rsid w:val="00BE3342"/>
    <w:rsid w:val="00BE59BF"/>
    <w:rsid w:val="00BF523A"/>
    <w:rsid w:val="00BF6CC6"/>
    <w:rsid w:val="00BF7E7A"/>
    <w:rsid w:val="00C0526C"/>
    <w:rsid w:val="00C06B0E"/>
    <w:rsid w:val="00C107ED"/>
    <w:rsid w:val="00C122C9"/>
    <w:rsid w:val="00C13F92"/>
    <w:rsid w:val="00C22E2B"/>
    <w:rsid w:val="00C30A64"/>
    <w:rsid w:val="00C3261C"/>
    <w:rsid w:val="00C34118"/>
    <w:rsid w:val="00C36630"/>
    <w:rsid w:val="00C410C5"/>
    <w:rsid w:val="00C4279F"/>
    <w:rsid w:val="00C44D4B"/>
    <w:rsid w:val="00C46D3D"/>
    <w:rsid w:val="00C46DF4"/>
    <w:rsid w:val="00C52F11"/>
    <w:rsid w:val="00C52FC6"/>
    <w:rsid w:val="00C540BF"/>
    <w:rsid w:val="00C57E1A"/>
    <w:rsid w:val="00C67939"/>
    <w:rsid w:val="00C67F3E"/>
    <w:rsid w:val="00C71E89"/>
    <w:rsid w:val="00C75A90"/>
    <w:rsid w:val="00C83949"/>
    <w:rsid w:val="00C9666B"/>
    <w:rsid w:val="00CA5D04"/>
    <w:rsid w:val="00CA647B"/>
    <w:rsid w:val="00CB6258"/>
    <w:rsid w:val="00CB778C"/>
    <w:rsid w:val="00CC1CC8"/>
    <w:rsid w:val="00CC3304"/>
    <w:rsid w:val="00CC4E63"/>
    <w:rsid w:val="00CE03E7"/>
    <w:rsid w:val="00CE4855"/>
    <w:rsid w:val="00CE4D9A"/>
    <w:rsid w:val="00CF051D"/>
    <w:rsid w:val="00CF0DD2"/>
    <w:rsid w:val="00CF0F48"/>
    <w:rsid w:val="00D0063E"/>
    <w:rsid w:val="00D06F18"/>
    <w:rsid w:val="00D13233"/>
    <w:rsid w:val="00D14824"/>
    <w:rsid w:val="00D22706"/>
    <w:rsid w:val="00D23C3C"/>
    <w:rsid w:val="00D27DA0"/>
    <w:rsid w:val="00D33175"/>
    <w:rsid w:val="00D37B8A"/>
    <w:rsid w:val="00D51152"/>
    <w:rsid w:val="00D61C13"/>
    <w:rsid w:val="00D66DF4"/>
    <w:rsid w:val="00D7073B"/>
    <w:rsid w:val="00D904A1"/>
    <w:rsid w:val="00D909AF"/>
    <w:rsid w:val="00D91A3B"/>
    <w:rsid w:val="00D91C03"/>
    <w:rsid w:val="00D958DE"/>
    <w:rsid w:val="00DA466E"/>
    <w:rsid w:val="00DA7E98"/>
    <w:rsid w:val="00DB2E3A"/>
    <w:rsid w:val="00DB4852"/>
    <w:rsid w:val="00DC1CB5"/>
    <w:rsid w:val="00DC3887"/>
    <w:rsid w:val="00DD13FF"/>
    <w:rsid w:val="00DD6F1D"/>
    <w:rsid w:val="00DE223E"/>
    <w:rsid w:val="00DF0F3D"/>
    <w:rsid w:val="00DF3388"/>
    <w:rsid w:val="00DF3CE1"/>
    <w:rsid w:val="00DF5E0B"/>
    <w:rsid w:val="00DF6448"/>
    <w:rsid w:val="00E0081C"/>
    <w:rsid w:val="00E05053"/>
    <w:rsid w:val="00E05DA0"/>
    <w:rsid w:val="00E07E65"/>
    <w:rsid w:val="00E1016B"/>
    <w:rsid w:val="00E16A94"/>
    <w:rsid w:val="00E225AE"/>
    <w:rsid w:val="00E31D3A"/>
    <w:rsid w:val="00E40420"/>
    <w:rsid w:val="00E41D0E"/>
    <w:rsid w:val="00E42CB0"/>
    <w:rsid w:val="00E472F8"/>
    <w:rsid w:val="00E50193"/>
    <w:rsid w:val="00E50266"/>
    <w:rsid w:val="00E50730"/>
    <w:rsid w:val="00E5523E"/>
    <w:rsid w:val="00E578FC"/>
    <w:rsid w:val="00E6764E"/>
    <w:rsid w:val="00E77F15"/>
    <w:rsid w:val="00E86E04"/>
    <w:rsid w:val="00E87E8F"/>
    <w:rsid w:val="00E97E45"/>
    <w:rsid w:val="00EA234C"/>
    <w:rsid w:val="00EA5556"/>
    <w:rsid w:val="00EB34F1"/>
    <w:rsid w:val="00EC4CD4"/>
    <w:rsid w:val="00ED08B5"/>
    <w:rsid w:val="00ED27FD"/>
    <w:rsid w:val="00ED385C"/>
    <w:rsid w:val="00ED6973"/>
    <w:rsid w:val="00ED7C4A"/>
    <w:rsid w:val="00EE0C77"/>
    <w:rsid w:val="00EE4728"/>
    <w:rsid w:val="00EF044E"/>
    <w:rsid w:val="00EF181C"/>
    <w:rsid w:val="00F05E70"/>
    <w:rsid w:val="00F13B33"/>
    <w:rsid w:val="00F13DBB"/>
    <w:rsid w:val="00F1657B"/>
    <w:rsid w:val="00F1774B"/>
    <w:rsid w:val="00F22930"/>
    <w:rsid w:val="00F33731"/>
    <w:rsid w:val="00F34A08"/>
    <w:rsid w:val="00F51311"/>
    <w:rsid w:val="00F52363"/>
    <w:rsid w:val="00F645F8"/>
    <w:rsid w:val="00F64B71"/>
    <w:rsid w:val="00F7781B"/>
    <w:rsid w:val="00F80944"/>
    <w:rsid w:val="00F86CE0"/>
    <w:rsid w:val="00F91F81"/>
    <w:rsid w:val="00FA20AC"/>
    <w:rsid w:val="00FA5A4C"/>
    <w:rsid w:val="00FB39DC"/>
    <w:rsid w:val="00FB52A4"/>
    <w:rsid w:val="00FB6D03"/>
    <w:rsid w:val="00FC39EB"/>
    <w:rsid w:val="00FC5265"/>
    <w:rsid w:val="00FC6E9B"/>
    <w:rsid w:val="00FD132B"/>
    <w:rsid w:val="00FD25E9"/>
    <w:rsid w:val="00FD6492"/>
    <w:rsid w:val="00FE0FA5"/>
    <w:rsid w:val="00FE2A7A"/>
    <w:rsid w:val="00FE501C"/>
    <w:rsid w:val="00FF0DC4"/>
    <w:rsid w:val="00FF1798"/>
    <w:rsid w:val="00FF77D3"/>
  </w:rsids>
  <w:themeFontLang w:val="el-G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905"/>
    <w:rPr>
      <w:lang w:val="en-US" w:eastAsia="en-US"/>
    </w:rPr>
  </w:style>
  <w:style w:type="paragraph" w:styleId="Heading1">
    <w:name w:val="heading 1"/>
    <w:basedOn w:val="Normal"/>
    <w:next w:val="Normal"/>
    <w:qFormat/>
    <w:rsid w:val="00886DEC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caps/>
      <w:noProof/>
    </w:rPr>
  </w:style>
  <w:style w:type="paragraph" w:styleId="Heading2">
    <w:name w:val="heading 2"/>
    <w:basedOn w:val="Normal"/>
    <w:next w:val="Normal"/>
    <w:qFormat/>
    <w:rsid w:val="009E0067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9E0067"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9E0067"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9E006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ASRauthor">
    <w:name w:val="ETASR author"/>
    <w:basedOn w:val="Normal"/>
    <w:rsid w:val="00214C02"/>
    <w:pPr>
      <w:spacing w:after="40"/>
      <w:ind w:left="1134"/>
      <w:jc w:val="left"/>
    </w:pPr>
    <w:rPr>
      <w:rFonts w:eastAsia="MS Mincho"/>
      <w:b/>
      <w:noProof/>
      <w:sz w:val="22"/>
      <w:szCs w:val="22"/>
    </w:rPr>
  </w:style>
  <w:style w:type="paragraph" w:customStyle="1" w:styleId="ETASRHeading1">
    <w:name w:val="ETASR Heading 1"/>
    <w:basedOn w:val="Heading1"/>
    <w:rsid w:val="00666BB2"/>
    <w:rPr>
      <w:rFonts w:eastAsia="MS Mincho"/>
    </w:rPr>
  </w:style>
  <w:style w:type="paragraph" w:customStyle="1" w:styleId="ETASRsponsors">
    <w:name w:val="ETASR sponsors"/>
    <w:basedOn w:val="Normal"/>
    <w:rsid w:val="00653024"/>
    <w:pPr>
      <w:framePr w:wrap="auto" w:vAnchor="page" w:hAnchor="page" w:x="894" w:y="14401"/>
      <w:pBdr>
        <w:top w:val="single" w:sz="4" w:space="2" w:color="auto"/>
      </w:pBdr>
      <w:ind w:firstLine="288"/>
      <w:jc w:val="left"/>
    </w:pPr>
    <w:rPr>
      <w:rFonts w:eastAsia="MS Mincho"/>
      <w:sz w:val="16"/>
      <w:szCs w:val="16"/>
    </w:rPr>
  </w:style>
  <w:style w:type="paragraph" w:customStyle="1" w:styleId="ETASRaffiliation">
    <w:name w:val="ETASR affiliation"/>
    <w:basedOn w:val="Normal"/>
    <w:link w:val="ETASRaffiliationChar"/>
    <w:rsid w:val="00214C02"/>
    <w:pPr>
      <w:ind w:left="1134"/>
      <w:jc w:val="both"/>
    </w:pPr>
    <w:rPr>
      <w:rFonts w:eastAsia="MS Mincho"/>
      <w:sz w:val="22"/>
    </w:rPr>
  </w:style>
  <w:style w:type="paragraph" w:customStyle="1" w:styleId="ETASRHeading2">
    <w:name w:val="ETASR Heading 2"/>
    <w:basedOn w:val="Heading2"/>
    <w:rsid w:val="00A14599"/>
    <w:rPr>
      <w:rFonts w:eastAsia="MS Mincho"/>
    </w:rPr>
  </w:style>
  <w:style w:type="paragraph" w:customStyle="1" w:styleId="equation">
    <w:name w:val="equation"/>
    <w:basedOn w:val="Normal"/>
    <w:rsid w:val="009E0067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ETASRkeywords">
    <w:name w:val="ETASR key words"/>
    <w:basedOn w:val="Normal"/>
    <w:rsid w:val="00FD6492"/>
    <w:pPr>
      <w:spacing w:after="120"/>
      <w:ind w:left="1134" w:right="1098"/>
      <w:jc w:val="both"/>
    </w:pPr>
    <w:rPr>
      <w:rFonts w:eastAsia="MS Mincho"/>
      <w:b/>
      <w:bCs/>
      <w:i/>
      <w:iCs/>
      <w:noProof/>
      <w:sz w:val="18"/>
      <w:szCs w:val="18"/>
    </w:rPr>
  </w:style>
  <w:style w:type="paragraph" w:customStyle="1" w:styleId="footnote">
    <w:name w:val="footnote"/>
    <w:rsid w:val="009E0067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ETASRHeading3">
    <w:name w:val="ETASR Heading 3"/>
    <w:basedOn w:val="Heading3"/>
    <w:link w:val="ETASRHeading3Char"/>
    <w:qFormat/>
    <w:rsid w:val="00E6764E"/>
    <w:pPr>
      <w:tabs>
        <w:tab w:val="clear" w:pos="2160"/>
        <w:tab w:val="left" w:pos="284"/>
      </w:tabs>
      <w:spacing w:before="120" w:after="60"/>
      <w:ind w:firstLine="0"/>
      <w:jc w:val="left"/>
    </w:pPr>
    <w:rPr>
      <w:rFonts w:eastAsia="MS Mincho"/>
    </w:rPr>
  </w:style>
  <w:style w:type="paragraph" w:customStyle="1" w:styleId="ETASRHeading5bold">
    <w:name w:val="ETASR Heading 5+bold"/>
    <w:basedOn w:val="Heading5"/>
    <w:link w:val="ETASRHeading5boldChar"/>
    <w:qFormat/>
    <w:rsid w:val="00886DEC"/>
    <w:rPr>
      <w:rFonts w:eastAsia="MS Mincho"/>
      <w:b/>
      <w:caps/>
      <w:smallCaps w:val="0"/>
    </w:rPr>
  </w:style>
  <w:style w:type="character" w:customStyle="1" w:styleId="Heading5Char">
    <w:name w:val="Heading 5 Char"/>
    <w:link w:val="Heading5"/>
    <w:rsid w:val="00ED27FD"/>
    <w:rPr>
      <w:rFonts w:eastAsia="SimSun"/>
      <w:smallCaps/>
      <w:noProof/>
      <w:lang w:val="en-US" w:eastAsia="en-US" w:bidi="ar-SA"/>
    </w:rPr>
  </w:style>
  <w:style w:type="character" w:customStyle="1" w:styleId="ETASRHeading5boldChar">
    <w:name w:val="ETASR Heading 5+bold Char"/>
    <w:link w:val="ETASRHeading5bold"/>
    <w:rsid w:val="00886DEC"/>
    <w:rPr>
      <w:rFonts w:eastAsia="MS Mincho"/>
      <w:b/>
      <w:caps/>
      <w:noProof/>
      <w:lang w:val="en-US" w:eastAsia="en-US"/>
    </w:rPr>
  </w:style>
  <w:style w:type="character" w:customStyle="1" w:styleId="Heading3Char">
    <w:name w:val="Heading 3 Char"/>
    <w:link w:val="Heading3"/>
    <w:rsid w:val="007B0292"/>
    <w:rPr>
      <w:i/>
      <w:iCs/>
      <w:noProof/>
      <w:lang w:val="en-US" w:eastAsia="en-US"/>
    </w:rPr>
  </w:style>
  <w:style w:type="paragraph" w:styleId="BodyText">
    <w:name w:val="Body Text"/>
    <w:basedOn w:val="Normal"/>
    <w:rsid w:val="001D0620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figurecaption">
    <w:name w:val="figure caption"/>
    <w:rsid w:val="001D0620"/>
    <w:pPr>
      <w:tabs>
        <w:tab w:val="num" w:pos="720"/>
      </w:tabs>
      <w:spacing w:before="80" w:after="200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1D0620"/>
    <w:pPr>
      <w:spacing w:before="60" w:after="30"/>
      <w:jc w:val="right"/>
    </w:pPr>
    <w:rPr>
      <w:sz w:val="12"/>
      <w:szCs w:val="12"/>
      <w:lang w:val="en-US" w:eastAsia="en-US"/>
    </w:rPr>
  </w:style>
  <w:style w:type="paragraph" w:customStyle="1" w:styleId="ETASRfigurecaption">
    <w:name w:val="ETASR figure caption"/>
    <w:basedOn w:val="figurecaption"/>
    <w:rsid w:val="001D0620"/>
    <w:pPr>
      <w:numPr>
        <w:numId w:val="2"/>
      </w:numPr>
    </w:pPr>
  </w:style>
  <w:style w:type="paragraph" w:customStyle="1" w:styleId="ETASRtablecolhead">
    <w:name w:val="ETASR table col head"/>
    <w:qFormat/>
    <w:rsid w:val="003F709B"/>
    <w:pPr>
      <w:ind w:firstLine="6"/>
    </w:pPr>
    <w:rPr>
      <w:b/>
      <w:bCs/>
      <w:sz w:val="16"/>
      <w:szCs w:val="16"/>
      <w:lang w:val="en-US" w:eastAsia="en-US"/>
    </w:rPr>
  </w:style>
  <w:style w:type="paragraph" w:styleId="Header">
    <w:name w:val="header"/>
    <w:basedOn w:val="Normal"/>
    <w:rsid w:val="002B20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20B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A20E8"/>
    <w:pPr>
      <w:ind w:firstLine="198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TASRbodytext">
    <w:name w:val="ETASR body text"/>
    <w:basedOn w:val="Normal"/>
    <w:link w:val="ETASRbodytextChar"/>
    <w:qFormat/>
    <w:rsid w:val="00666BB2"/>
    <w:pPr>
      <w:spacing w:after="120" w:line="228" w:lineRule="auto"/>
      <w:ind w:firstLine="288"/>
      <w:jc w:val="both"/>
    </w:pPr>
    <w:rPr>
      <w:rFonts w:eastAsia="MS Mincho"/>
      <w:spacing w:val="-1"/>
    </w:rPr>
  </w:style>
  <w:style w:type="paragraph" w:customStyle="1" w:styleId="ETASRbulletlist">
    <w:name w:val="ETASR bullet list"/>
    <w:basedOn w:val="E-mailSignature"/>
    <w:qFormat/>
    <w:rsid w:val="00090939"/>
    <w:pPr>
      <w:numPr>
        <w:numId w:val="1"/>
      </w:numPr>
      <w:tabs>
        <w:tab w:val="clear" w:pos="648"/>
        <w:tab w:val="num" w:pos="284"/>
      </w:tabs>
      <w:spacing w:after="120" w:line="228" w:lineRule="auto"/>
      <w:ind w:left="284" w:hanging="284"/>
      <w:jc w:val="both"/>
    </w:pPr>
    <w:rPr>
      <w:rFonts w:eastAsia="MS Mincho"/>
      <w:spacing w:val="-1"/>
    </w:rPr>
  </w:style>
  <w:style w:type="paragraph" w:customStyle="1" w:styleId="ETASRreferences">
    <w:name w:val="ETASR references"/>
    <w:basedOn w:val="Normal"/>
    <w:qFormat/>
    <w:rsid w:val="00666BB2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character" w:customStyle="1" w:styleId="ETASRHeading3Char">
    <w:name w:val="ETASR Heading 3 Char"/>
    <w:link w:val="ETASRHeading3"/>
    <w:rsid w:val="00E6764E"/>
    <w:rPr>
      <w:rFonts w:eastAsia="MS Mincho"/>
      <w:i/>
      <w:iCs/>
      <w:noProof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347B3"/>
    <w:rPr>
      <w:color w:val="808080"/>
    </w:rPr>
  </w:style>
  <w:style w:type="paragraph" w:customStyle="1" w:styleId="ETASRabstract">
    <w:name w:val="ETASR abstract"/>
    <w:basedOn w:val="Normal"/>
    <w:rsid w:val="00FD6492"/>
    <w:pPr>
      <w:spacing w:after="200"/>
      <w:ind w:left="1134" w:right="1098"/>
      <w:jc w:val="both"/>
    </w:pPr>
    <w:rPr>
      <w:rFonts w:eastAsia="MS Mincho"/>
      <w:b/>
      <w:bCs/>
      <w:sz w:val="18"/>
      <w:szCs w:val="18"/>
    </w:rPr>
  </w:style>
  <w:style w:type="paragraph" w:customStyle="1" w:styleId="ETASRpapertitle">
    <w:name w:val="ETASR paper title"/>
    <w:basedOn w:val="Normal"/>
    <w:rsid w:val="00214C02"/>
    <w:pPr>
      <w:spacing w:after="120"/>
      <w:ind w:left="1134"/>
      <w:jc w:val="left"/>
    </w:pPr>
    <w:rPr>
      <w:rFonts w:eastAsia="MS Mincho"/>
      <w:noProof/>
      <w:sz w:val="48"/>
      <w:szCs w:val="48"/>
    </w:rPr>
  </w:style>
  <w:style w:type="paragraph" w:customStyle="1" w:styleId="ETASRpapersubtitle">
    <w:name w:val="ETASR paper subtitle"/>
    <w:basedOn w:val="Normal"/>
    <w:rsid w:val="00214C02"/>
    <w:pPr>
      <w:spacing w:after="120"/>
      <w:ind w:left="1134"/>
      <w:jc w:val="left"/>
    </w:pPr>
    <w:rPr>
      <w:rFonts w:eastAsia="MS Mincho"/>
      <w:noProof/>
      <w:sz w:val="28"/>
      <w:szCs w:val="28"/>
    </w:rPr>
  </w:style>
  <w:style w:type="paragraph" w:customStyle="1" w:styleId="ETASRHeading4">
    <w:name w:val="ETASR Heading 4"/>
    <w:basedOn w:val="Heading4"/>
    <w:link w:val="ETASRHeading4Char"/>
    <w:rsid w:val="00622881"/>
    <w:rPr>
      <w:rFonts w:eastAsia="MS Mincho"/>
    </w:rPr>
  </w:style>
  <w:style w:type="character" w:customStyle="1" w:styleId="Heading4Char">
    <w:name w:val="Heading 4 Char"/>
    <w:link w:val="Heading4"/>
    <w:rsid w:val="00622881"/>
    <w:rPr>
      <w:i/>
      <w:iCs/>
      <w:noProof/>
      <w:lang w:val="en-US" w:eastAsia="en-US"/>
    </w:rPr>
  </w:style>
  <w:style w:type="character" w:customStyle="1" w:styleId="ETASRHeading4Char">
    <w:name w:val="ETASR Heading 4 Char"/>
    <w:link w:val="ETASRHeading4"/>
    <w:rsid w:val="00622881"/>
    <w:rPr>
      <w:rFonts w:eastAsia="MS Mincho"/>
      <w:i/>
      <w:iCs/>
      <w:noProof/>
      <w:lang w:val="en-US" w:eastAsia="en-US"/>
    </w:rPr>
  </w:style>
  <w:style w:type="paragraph" w:styleId="BalloonText">
    <w:name w:val="Balloon Text"/>
    <w:basedOn w:val="Normal"/>
    <w:link w:val="BalloonTextChar"/>
    <w:rsid w:val="005347B3"/>
    <w:rPr>
      <w:rFonts w:ascii="Tahoma" w:hAnsi="Tahoma" w:cs="Tahoma"/>
      <w:sz w:val="16"/>
      <w:szCs w:val="16"/>
    </w:rPr>
  </w:style>
  <w:style w:type="paragraph" w:customStyle="1" w:styleId="ETASRtablehead">
    <w:name w:val="ETASR table head"/>
    <w:basedOn w:val="Normal"/>
    <w:link w:val="ETASRtableheadChar"/>
    <w:autoRedefine/>
    <w:rsid w:val="00F22930"/>
    <w:pPr>
      <w:numPr>
        <w:numId w:val="10"/>
      </w:numPr>
      <w:spacing w:before="240" w:after="120" w:line="216" w:lineRule="auto"/>
    </w:pPr>
    <w:rPr>
      <w:smallCaps/>
      <w:noProof/>
      <w:sz w:val="16"/>
      <w:szCs w:val="16"/>
    </w:rPr>
  </w:style>
  <w:style w:type="paragraph" w:customStyle="1" w:styleId="ETASRtablecolsubhead">
    <w:name w:val="ETASR table col subhead"/>
    <w:basedOn w:val="Normal"/>
    <w:rsid w:val="003E31BF"/>
    <w:pPr>
      <w:ind w:firstLine="6"/>
    </w:pPr>
    <w:rPr>
      <w:b/>
      <w:bCs/>
      <w:i/>
      <w:iCs/>
      <w:sz w:val="15"/>
      <w:szCs w:val="15"/>
    </w:rPr>
  </w:style>
  <w:style w:type="paragraph" w:customStyle="1" w:styleId="ETASRtablecopy">
    <w:name w:val="ETASR table copy"/>
    <w:basedOn w:val="Normal"/>
    <w:rsid w:val="003F709B"/>
    <w:pPr>
      <w:ind w:firstLine="6"/>
    </w:pPr>
    <w:rPr>
      <w:noProof/>
      <w:sz w:val="16"/>
      <w:szCs w:val="16"/>
    </w:rPr>
  </w:style>
  <w:style w:type="paragraph" w:customStyle="1" w:styleId="ETASRtablefootnote063">
    <w:name w:val="ETASR table footnote + Αριστερά:  0.63 εκ."/>
    <w:basedOn w:val="Normal"/>
    <w:rsid w:val="00302385"/>
    <w:pPr>
      <w:spacing w:before="60" w:after="30"/>
      <w:ind w:left="360"/>
      <w:jc w:val="right"/>
    </w:pPr>
    <w:rPr>
      <w:rFonts w:eastAsia="MS Mincho"/>
      <w:sz w:val="12"/>
      <w:szCs w:val="12"/>
    </w:rPr>
  </w:style>
  <w:style w:type="character" w:customStyle="1" w:styleId="BalloonTextChar">
    <w:name w:val="Balloon Text Char"/>
    <w:basedOn w:val="DefaultParagraphFont"/>
    <w:link w:val="BalloonText"/>
    <w:rsid w:val="005347B3"/>
    <w:rPr>
      <w:rFonts w:ascii="Tahoma" w:hAnsi="Tahoma" w:cs="Tahoma"/>
      <w:sz w:val="16"/>
      <w:szCs w:val="16"/>
      <w:lang w:val="en-US" w:eastAsia="en-US"/>
    </w:rPr>
  </w:style>
  <w:style w:type="paragraph" w:customStyle="1" w:styleId="ETASRnumberedlist">
    <w:name w:val="ETASR numbered list"/>
    <w:basedOn w:val="Normal"/>
    <w:link w:val="ETASRnumberedlistChar"/>
    <w:qFormat/>
    <w:rsid w:val="00577AAA"/>
    <w:pPr>
      <w:numPr>
        <w:numId w:val="9"/>
      </w:numPr>
      <w:spacing w:after="120"/>
      <w:jc w:val="both"/>
    </w:pPr>
  </w:style>
  <w:style w:type="character" w:customStyle="1" w:styleId="ETASRnumberedlistChar">
    <w:name w:val="ETASR numbered list Char"/>
    <w:basedOn w:val="DefaultParagraphFont"/>
    <w:link w:val="ETASRnumberedlist"/>
    <w:rsid w:val="00577AAA"/>
    <w:rPr>
      <w:lang w:val="en-US" w:eastAsia="en-US"/>
    </w:rPr>
  </w:style>
  <w:style w:type="paragraph" w:customStyle="1" w:styleId="ETASRTABLEHEAD0">
    <w:name w:val="ETASR TABLE HEAD"/>
    <w:basedOn w:val="ETASRtablehead"/>
    <w:next w:val="ETASRbodytext"/>
    <w:link w:val="ETASRTABLEHEADChar0"/>
    <w:rsid w:val="00886DEC"/>
    <w:rPr>
      <w:caps/>
      <w:smallCaps w:val="0"/>
    </w:rPr>
  </w:style>
  <w:style w:type="character" w:customStyle="1" w:styleId="ETASRtableheadChar">
    <w:name w:val="ETASR table head Char"/>
    <w:basedOn w:val="DefaultParagraphFont"/>
    <w:link w:val="ETASRtablehead"/>
    <w:rsid w:val="00F22930"/>
    <w:rPr>
      <w:smallCaps/>
      <w:noProof/>
      <w:sz w:val="16"/>
      <w:szCs w:val="16"/>
      <w:lang w:val="en-US" w:eastAsia="en-US"/>
    </w:rPr>
  </w:style>
  <w:style w:type="character" w:customStyle="1" w:styleId="ETASRTABLEHEADChar0">
    <w:name w:val="ETASR TABLE HEAD Char"/>
    <w:basedOn w:val="ETASRtableheadChar"/>
    <w:link w:val="ETASRTABLEHEAD0"/>
    <w:rsid w:val="00886DEC"/>
    <w:rPr>
      <w:caps/>
      <w:smallCaps w:val="0"/>
      <w:noProof/>
      <w:sz w:val="16"/>
      <w:szCs w:val="16"/>
      <w:lang w:val="en-US" w:eastAsia="en-US"/>
    </w:rPr>
  </w:style>
  <w:style w:type="character" w:styleId="Hyperlink">
    <w:name w:val="Hyperlink"/>
    <w:basedOn w:val="DefaultParagraphFont"/>
    <w:rsid w:val="00F7781B"/>
    <w:rPr>
      <w:color w:val="0000FF" w:themeColor="hyperlink"/>
      <w:u w:val="single"/>
    </w:rPr>
  </w:style>
  <w:style w:type="paragraph" w:customStyle="1" w:styleId="Default">
    <w:name w:val="Default"/>
    <w:rsid w:val="00851E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0D04"/>
    <w:rPr>
      <w:i/>
      <w:iCs/>
    </w:rPr>
  </w:style>
  <w:style w:type="paragraph" w:styleId="E-mailSignature">
    <w:name w:val="E-mail Signature"/>
    <w:basedOn w:val="Normal"/>
    <w:link w:val="E-mailSignatureChar"/>
    <w:rsid w:val="00F91F81"/>
  </w:style>
  <w:style w:type="character" w:customStyle="1" w:styleId="E-mailSignatureChar">
    <w:name w:val="E-mail Signature Char"/>
    <w:basedOn w:val="DefaultParagraphFont"/>
    <w:link w:val="E-mailSignature"/>
    <w:rsid w:val="00F91F81"/>
    <w:rPr>
      <w:lang w:val="en-US" w:eastAsia="en-US"/>
    </w:rPr>
  </w:style>
  <w:style w:type="paragraph" w:customStyle="1" w:styleId="ETASRdates">
    <w:name w:val="ETASR dates"/>
    <w:basedOn w:val="ETASRaffiliation"/>
    <w:link w:val="ETASRdatesChar"/>
    <w:qFormat/>
    <w:rsid w:val="0024517E"/>
    <w:pPr>
      <w:spacing w:before="120"/>
      <w:ind w:left="1138"/>
      <w:jc w:val="center"/>
    </w:pPr>
    <w:rPr>
      <w:i/>
      <w:sz w:val="16"/>
      <w:szCs w:val="16"/>
    </w:rPr>
  </w:style>
  <w:style w:type="character" w:customStyle="1" w:styleId="ETASRaffiliationChar">
    <w:name w:val="ETASR affiliation Char"/>
    <w:basedOn w:val="DefaultParagraphFont"/>
    <w:link w:val="ETASRaffiliation"/>
    <w:rsid w:val="00214C02"/>
    <w:rPr>
      <w:rFonts w:eastAsia="MS Mincho"/>
      <w:sz w:val="22"/>
      <w:lang w:val="en-US" w:eastAsia="en-US"/>
    </w:rPr>
  </w:style>
  <w:style w:type="character" w:customStyle="1" w:styleId="ETASRdatesChar">
    <w:name w:val="ETASR dates Char"/>
    <w:basedOn w:val="ETASRaffiliationChar"/>
    <w:link w:val="ETASRdates"/>
    <w:rsid w:val="0024517E"/>
    <w:rPr>
      <w:rFonts w:eastAsia="MS Mincho"/>
      <w:i/>
      <w:sz w:val="16"/>
      <w:szCs w:val="16"/>
      <w:lang w:val="en-US" w:eastAsia="en-US"/>
    </w:rPr>
  </w:style>
  <w:style w:type="paragraph" w:customStyle="1" w:styleId="ETASRHeading5">
    <w:name w:val="ETASR Heading 5"/>
    <w:basedOn w:val="ETASRHeading5bold"/>
    <w:link w:val="ETASRHeading5Char"/>
    <w:qFormat/>
    <w:rsid w:val="005A2B1C"/>
    <w:rPr>
      <w:b w:val="0"/>
    </w:rPr>
  </w:style>
  <w:style w:type="character" w:customStyle="1" w:styleId="ETASRHeading5Char">
    <w:name w:val="ETASR Heading 5 Char"/>
    <w:basedOn w:val="DefaultParagraphFont"/>
    <w:link w:val="ETASRHeading5"/>
    <w:rsid w:val="005A2B1C"/>
    <w:rPr>
      <w:rFonts w:eastAsia="MS Mincho"/>
      <w:caps/>
      <w:noProof/>
      <w:lang w:val="en-US" w:eastAsia="en-US"/>
    </w:rPr>
  </w:style>
  <w:style w:type="character" w:customStyle="1" w:styleId="name">
    <w:name w:val="name"/>
    <w:basedOn w:val="DefaultParagraphFont"/>
    <w:rsid w:val="000B5B0C"/>
  </w:style>
  <w:style w:type="character" w:customStyle="1" w:styleId="affiliation">
    <w:name w:val="affiliation"/>
    <w:basedOn w:val="DefaultParagraphFont"/>
    <w:rsid w:val="000B5B0C"/>
  </w:style>
  <w:style w:type="paragraph" w:customStyle="1" w:styleId="ETASRcode">
    <w:name w:val="ETASR code"/>
    <w:basedOn w:val="ETASRbodytext"/>
    <w:link w:val="ETASRcodeChar"/>
    <w:qFormat/>
    <w:rsid w:val="001E2588"/>
    <w:pPr>
      <w:spacing w:after="0" w:line="240" w:lineRule="auto"/>
      <w:ind w:firstLine="0"/>
      <w:jc w:val="left"/>
    </w:pPr>
    <w:rPr>
      <w:rFonts w:ascii="Courier New" w:hAnsi="Courier New"/>
    </w:rPr>
  </w:style>
  <w:style w:type="character" w:customStyle="1" w:styleId="ETASRbodytextChar">
    <w:name w:val="ETASR body text Char"/>
    <w:basedOn w:val="DefaultParagraphFont"/>
    <w:link w:val="ETASRbodytext"/>
    <w:rsid w:val="007B4F15"/>
    <w:rPr>
      <w:rFonts w:eastAsia="MS Mincho"/>
      <w:spacing w:val="-1"/>
      <w:lang w:val="en-US" w:eastAsia="en-US"/>
    </w:rPr>
  </w:style>
  <w:style w:type="character" w:customStyle="1" w:styleId="ETASRcodeChar">
    <w:name w:val="ETASR code Char"/>
    <w:basedOn w:val="ETASRbodytextChar"/>
    <w:link w:val="ETASRcode"/>
    <w:rsid w:val="001E2588"/>
    <w:rPr>
      <w:rFonts w:ascii="Courier New" w:eastAsia="MS Mincho" w:hAnsi="Courier New"/>
      <w:spacing w:val="-1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F5D"/>
    <w:rPr>
      <w:color w:val="605E5C"/>
      <w:shd w:val="clear" w:color="auto" w:fill="E1DFDD"/>
    </w:rPr>
  </w:style>
  <w:style w:type="character" w:customStyle="1" w:styleId="q-box">
    <w:name w:val="q-box"/>
    <w:basedOn w:val="DefaultParagraphFont"/>
    <w:rsid w:val="007C48C1"/>
  </w:style>
  <w:style w:type="paragraph" w:styleId="NormalWeb">
    <w:name w:val="Normal (Web)"/>
    <w:basedOn w:val="Normal"/>
    <w:semiHidden/>
    <w:unhideWhenUsed/>
    <w:rsid w:val="004D00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21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0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1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5841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1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33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8" Target="header1.xml" Type="http://schemas.openxmlformats.org/officeDocument/2006/relationships/header" /><Relationship Id="rId12" Target="media/image2.wmf" Type="http://schemas.openxmlformats.org/officeDocument/2006/relationships/image" /><Relationship Id="rId15" Target="media/image4.png" Type="http://schemas.openxmlformats.org/officeDocument/2006/relationships/image" /><Relationship Id="rId10" Target="media/image1.wmf" Type="http://schemas.openxmlformats.org/officeDocument/2006/relationships/image" /><Relationship Id="rId9" Target="footer1.xml" Type="http://schemas.openxmlformats.org/officeDocument/2006/relationships/footer" /><Relationship Id="rId14" Target="media/image3.png" Type="http://schemas.openxmlformats.org/officeDocument/2006/relationships/image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hyperlink" Id="rId60" Target="https://github.com/vokasitibrawijaya/byzantine-robust-fl-block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vokasitibrawijaya/byzantine-robust-fl-blockchain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ropbox\ETASR_papers\templates\ETASRTEMPLATE_n_check_th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ETASRTEMPLATE_n_check_this.dotx</Template>
  <TotalTime>327</TotalTime>
  <Pages>6</Pages>
  <Words>4171</Words>
  <Characters>23781</Characters>
  <Application>Microsoft Office Word</Application>
  <DocSecurity>0</DocSecurity>
  <Lines>198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ETASR TEMPLATE</vt:lpstr>
      <vt:lpstr>ETASR PAPER FORMAT</vt:lpstr>
    </vt:vector>
  </TitlesOfParts>
  <Company>ETASR</Company>
  <LinksUpToDate>false</LinksUpToDate>
  <CharactersWithSpaces>27897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2026-06-24T05:34:33Z</dcterms:created>
  <dcterms:modified xsi:type="dcterms:W3CDTF">2026-06-24T05:34:33Z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