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5F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F0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9B3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D75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  <w:proofErr w:type="gramStart"/>
              </m:e>
              <m:lim>
                <m:r>
                  <w:rPr>
                    <w:rFonts w:ascii="Cambria Math" w:hAnsi="Cambria Math"/>
                    <w:lang w:val="ru-RU"/>
                  </w:rPr>
                  <m:t>С</m:t>
                </m:r>
                <w:proofErr w:type="gramEnd"/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proofErr w:type="gramStart"/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</m:t>
        </m:r>
        <m:r>
          <w:rPr>
            <w:rFonts w:ascii="Cambria Math" w:eastAsiaTheme="minorEastAsia" w:hAnsi="Cambria Math"/>
            <w:lang w:val="ru-RU"/>
          </w:rPr>
          <m:t>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</m:t>
            </m:r>
            <m:r>
              <w:rPr>
                <w:rFonts w:ascii="Cambria Math" w:eastAsiaTheme="minorEastAsia" w:hAnsi="Cambria Math"/>
                <w:lang w:val="ru-RU"/>
              </w:rPr>
              <m:t>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</w:t>
      </w:r>
      <w:proofErr w:type="gramEnd"/>
      <w:r w:rsidR="00AE6B98">
        <w:rPr>
          <w:rFonts w:eastAsiaTheme="minorEastAsia"/>
          <w:lang w:val="ru-RU"/>
        </w:rPr>
        <w:t xml:space="preserve"> </w:t>
      </w:r>
      <w:proofErr w:type="gramStart"/>
      <w:r w:rsidR="00AE6B98">
        <w:rPr>
          <w:rFonts w:eastAsiaTheme="minorEastAsia"/>
          <w:lang w:val="ru-RU"/>
        </w:rPr>
        <w:t>с</w:t>
      </w:r>
      <w:proofErr w:type="gramEnd"/>
      <w:r w:rsidR="00AE6B98">
        <w:rPr>
          <w:rFonts w:eastAsiaTheme="minorEastAsia"/>
          <w:lang w:val="ru-RU"/>
        </w:rPr>
        <w:t xml:space="preserve">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3</w:t>
      </w:r>
      <w:r>
        <w:rPr>
          <w:lang w:val="ru-RU"/>
        </w:rPr>
        <w:t xml:space="preserve">– </w:t>
      </w:r>
      <w:r>
        <w:rPr>
          <w:lang w:val="ru-RU"/>
        </w:rPr>
        <w:t>Исследовать и сравнить свойства емкостей и индуктивностей в цепях с комбинированным источником питания</w:t>
      </w:r>
    </w:p>
    <w:p w:rsidR="009B7BF4" w:rsidRPr="009B7BF4" w:rsidRDefault="009B7BF4" w:rsidP="009B7BF4">
      <w:pPr>
        <w:rPr>
          <w:lang w:val="ru-RU"/>
        </w:rPr>
      </w:pPr>
      <w:bookmarkStart w:id="0" w:name="_GoBack"/>
      <w:bookmarkEnd w:id="0"/>
    </w:p>
    <w:sectPr w:rsidR="009B7BF4" w:rsidRPr="009B7BF4" w:rsidSect="001D2C2D"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E1" w:rsidRDefault="00B142E1" w:rsidP="00935034">
      <w:pPr>
        <w:spacing w:after="0" w:line="240" w:lineRule="auto"/>
      </w:pPr>
      <w:r>
        <w:separator/>
      </w:r>
    </w:p>
  </w:endnote>
  <w:endnote w:type="continuationSeparator" w:id="0">
    <w:p w:rsidR="00B142E1" w:rsidRDefault="00B142E1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BF4" w:rsidRPr="009B7BF4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E1" w:rsidRDefault="00B142E1" w:rsidP="00935034">
      <w:pPr>
        <w:spacing w:after="0" w:line="240" w:lineRule="auto"/>
      </w:pPr>
      <w:r>
        <w:separator/>
      </w:r>
    </w:p>
  </w:footnote>
  <w:footnote w:type="continuationSeparator" w:id="0">
    <w:p w:rsidR="00B142E1" w:rsidRDefault="00B142E1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81DF3"/>
    <w:rsid w:val="00090E22"/>
    <w:rsid w:val="00096DFF"/>
    <w:rsid w:val="000A4414"/>
    <w:rsid w:val="000F12E0"/>
    <w:rsid w:val="00105C70"/>
    <w:rsid w:val="00124CA0"/>
    <w:rsid w:val="001B4EE9"/>
    <w:rsid w:val="001D2C2D"/>
    <w:rsid w:val="001E1E97"/>
    <w:rsid w:val="001E383A"/>
    <w:rsid w:val="00282A50"/>
    <w:rsid w:val="002854A9"/>
    <w:rsid w:val="00292377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415E29"/>
    <w:rsid w:val="00437E21"/>
    <w:rsid w:val="00465F37"/>
    <w:rsid w:val="0047077A"/>
    <w:rsid w:val="00487D87"/>
    <w:rsid w:val="005045D8"/>
    <w:rsid w:val="00507A50"/>
    <w:rsid w:val="005418E5"/>
    <w:rsid w:val="00556B3A"/>
    <w:rsid w:val="00592434"/>
    <w:rsid w:val="005D1AD8"/>
    <w:rsid w:val="0077111C"/>
    <w:rsid w:val="00794A44"/>
    <w:rsid w:val="007F1066"/>
    <w:rsid w:val="00821EC0"/>
    <w:rsid w:val="00862E82"/>
    <w:rsid w:val="008735A5"/>
    <w:rsid w:val="00903B66"/>
    <w:rsid w:val="00933BC6"/>
    <w:rsid w:val="00935034"/>
    <w:rsid w:val="00973D3A"/>
    <w:rsid w:val="00992864"/>
    <w:rsid w:val="009A47A0"/>
    <w:rsid w:val="009A6AF2"/>
    <w:rsid w:val="009B7BF4"/>
    <w:rsid w:val="009D6A06"/>
    <w:rsid w:val="009F1028"/>
    <w:rsid w:val="009F1CE9"/>
    <w:rsid w:val="00A1723C"/>
    <w:rsid w:val="00A314A4"/>
    <w:rsid w:val="00A5641C"/>
    <w:rsid w:val="00A639BC"/>
    <w:rsid w:val="00A7609E"/>
    <w:rsid w:val="00A764F0"/>
    <w:rsid w:val="00A94DF0"/>
    <w:rsid w:val="00AE6B98"/>
    <w:rsid w:val="00AF378E"/>
    <w:rsid w:val="00B142E1"/>
    <w:rsid w:val="00B342C3"/>
    <w:rsid w:val="00BC2250"/>
    <w:rsid w:val="00C26087"/>
    <w:rsid w:val="00C270F1"/>
    <w:rsid w:val="00C62324"/>
    <w:rsid w:val="00C876E3"/>
    <w:rsid w:val="00C9661B"/>
    <w:rsid w:val="00CD71B7"/>
    <w:rsid w:val="00D54E6B"/>
    <w:rsid w:val="00D55F48"/>
    <w:rsid w:val="00DC0B10"/>
    <w:rsid w:val="00DC1885"/>
    <w:rsid w:val="00DE03CD"/>
    <w:rsid w:val="00E1116C"/>
    <w:rsid w:val="00EC5B80"/>
    <w:rsid w:val="00F1067A"/>
    <w:rsid w:val="00F22F58"/>
    <w:rsid w:val="00F73931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200068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81</cp:revision>
  <dcterms:created xsi:type="dcterms:W3CDTF">2012-09-16T13:45:00Z</dcterms:created>
  <dcterms:modified xsi:type="dcterms:W3CDTF">2012-09-16T17:04:00Z</dcterms:modified>
</cp:coreProperties>
</file>