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Открытые программные интерфейсы. Получение информации о банковских счетах клиента. Методы для Юридических Лиц. — v2.0.0</w:t>
      </w:r>
    </w:p>
    <w:p>
      <w:pPr>
        <w:pStyle w:val="FirstParagraph"/>
      </w:pPr>
      <w:r>
        <w:drawing>
          <wp:inline>
            <wp:extent cx="2270013" cy="1560234"/>
            <wp:effectExtent b="0" l="0" r="0" t="0"/>
            <wp:docPr descr="Логотип Банка России" title="" id="21" name="Picture"/>
            <a:graphic>
              <a:graphicData uri="http://schemas.openxmlformats.org/drawingml/2006/picture">
                <pic:pic>
                  <pic:nvPicPr>
                    <pic:cNvPr descr="assets/title-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013" cy="156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СТАНДАРТ БАНКА РОССИИ</w:t>
      </w:r>
    </w:p>
    <w:p>
      <w:pPr>
        <w:pStyle w:val="BodyText"/>
      </w:pPr>
      <w:r>
        <w:t xml:space="preserve">ОТКРЫТЫЕ ПРОГРАММНЫЕ ИНТЕРФЕЙСЫ</w:t>
      </w:r>
    </w:p>
    <w:p>
      <w:pPr>
        <w:pStyle w:val="BodyText"/>
      </w:pPr>
      <w:r>
        <w:t xml:space="preserve">Открытые программные интерфейсы. Получение информации о банковских счетах клиента. Методы для Юридических Лиц.</w:t>
      </w:r>
    </w:p>
    <w:p>
      <w:pPr>
        <w:pStyle w:val="BodyText"/>
      </w:pPr>
      <w:r>
        <w:t xml:space="preserve">Дата введения: 2025-10-07</w:t>
      </w:r>
    </w:p>
    <w:p>
      <w:pPr>
        <w:pStyle w:val="BodyText"/>
      </w:pPr>
      <w:r>
        <w:t xml:space="preserve">Версия: 2.0.0</w:t>
      </w:r>
    </w:p>
    <w:p>
      <w:pPr>
        <w:pStyle w:val="BodyText"/>
      </w:pPr>
      <w:r>
        <w:t xml:space="preserve">Организация: Банк России</w:t>
      </w:r>
    </w:p>
    <w:p>
      <w:pPr>
        <w:pStyle w:val="BodyText"/>
      </w:pPr>
      <w:r>
        <w:t xml:space="preserve">Москва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br w:type="page"/>
      </w:r>
    </w:p>
    <w:p>
      <w:pPr>
        <w:pStyle w:val="BodyText"/>
      </w:pPr>
      <w:r>
        <w:t xml:space="preserve">Содержание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 </w:t>
      </w:r>
      <w:r>
        <w:fldChar w:fldCharType="end"/>
      </w:r>
    </w:p>
    <w:bookmarkStart w:id="23" w:name="Xb5d3a87960bb4cae882c6b62bc9b80eae9bf155"/>
    <w:p>
      <w:pPr>
        <w:pStyle w:val="1"/>
      </w:pPr>
      <w:r>
        <w:t xml:space="preserve">Открытые программные интерфейсы. Получение информации о банковских счетах клиента. Методы для Юридических Лиц.</w:t>
      </w:r>
    </w:p>
    <w:p>
      <w:pPr>
        <w:pStyle w:val="FirstParagraph"/>
      </w:pPr>
      <w:r>
        <w:t xml:space="preserve">Версия: 2.0.0 · Дата: 2025-10-07 · Организация: Банк России</w:t>
      </w:r>
    </w:p>
    <w:bookmarkEnd w:id="23"/>
    <w:bookmarkStart w:id="25" w:name="intro"/>
    <w:bookmarkStart w:id="24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Спецификация API описывает конечные точки, модели данных и контроль доступа для получения информации по банковским счетам, включая счета ЮЛ.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Унифицированная публикация спецификации API в HTML-формате.</w:t>
      </w:r>
    </w:p>
    <w:p>
      <w:pPr>
        <w:pStyle w:val="BodyText"/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Архитекторы, Разработчики, Тестировщики</w:t>
      </w:r>
    </w:p>
    <w:bookmarkEnd w:id="24"/>
    <w:bookmarkEnd w:id="25"/>
    <w:bookmarkStart w:id="29" w:name="overview"/>
    <w:bookmarkStart w:id="28" w:name="обзор-api"/>
    <w:p>
      <w:pPr>
        <w:pStyle w:val="1"/>
      </w:pPr>
      <w:r>
        <w:t xml:space="preserve">Обзор API</w:t>
      </w:r>
    </w:p>
    <w:bookmarkStart w:id="26" w:name="серверы"/>
    <w:p>
      <w:pPr>
        <w:pStyle w:val="2"/>
      </w:pPr>
      <w:r>
        <w:t xml:space="preserve">Серверы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https://api.bank.example/open-banking/v1/aisp-le</w:t>
      </w:r>
      <w:r>
        <w:t xml:space="preserve"> </w:t>
      </w:r>
      <w:r>
        <w:t xml:space="preserve">— Прод (prod)</w:t>
      </w:r>
    </w:p>
    <w:bookmarkEnd w:id="26"/>
    <w:bookmarkStart w:id="27" w:name="безопасность"/>
    <w:p>
      <w:pPr>
        <w:pStyle w:val="2"/>
      </w:pPr>
      <w:r>
        <w:t xml:space="preserve">Безопасность</w:t>
      </w:r>
    </w:p>
    <w:p>
      <w:pPr>
        <w:pStyle w:val="Compact"/>
        <w:numPr>
          <w:ilvl w:val="0"/>
          <w:numId w:val="1002"/>
        </w:numPr>
      </w:pPr>
      <w:r>
        <w:t xml:space="preserve">oauth2 — Client Authorization Code Flow (authorization_code)</w:t>
      </w:r>
    </w:p>
    <w:bookmarkEnd w:id="27"/>
    <w:bookmarkEnd w:id="28"/>
    <w:bookmarkEnd w:id="29"/>
    <w:bookmarkStart w:id="42" w:name="resources"/>
    <w:bookmarkStart w:id="41" w:name="ресурсы-и-методы"/>
    <w:p>
      <w:pPr>
        <w:pStyle w:val="1"/>
      </w:pPr>
      <w:r>
        <w:t xml:space="preserve">Ресурсы и методы</w:t>
      </w:r>
    </w:p>
    <w:bookmarkStart w:id="32" w:name="accounts"/>
    <w:p>
      <w:pPr>
        <w:pStyle w:val="2"/>
      </w:pPr>
      <w:r>
        <w:t xml:space="preserve">Accounts</w:t>
      </w:r>
    </w:p>
    <w:p>
      <w:pPr>
        <w:pStyle w:val="FirstParagraph"/>
      </w:pPr>
      <w:r>
        <w:t xml:space="preserve">Методы получения информации о счетах</w:t>
      </w:r>
    </w:p>
    <w:bookmarkStart w:id="30" w:name="get-accounts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</w:t>
      </w:r>
    </w:p>
    <w:p>
      <w:pPr>
        <w:pStyle w:val="FirstParagraph"/>
      </w:pPr>
      <w:r>
        <w:t xml:space="preserve">Получение списка счетов</w:t>
      </w:r>
    </w:p>
    <w:p>
      <w:pPr>
        <w:pStyle w:val="BodyText"/>
      </w:pPr>
      <w:r>
        <w:t xml:space="preserve">Возвращает список счетов и их идентификаторы (accountId), авторизованные пользователем.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Номер страницы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f3b9d9c4a23ad122214aef07a34f20efe88b438">
              <w:r>
                <w:rPr>
                  <w:rStyle w:val="af0"/>
                </w:rPr>
                <w:t xml:space="preserve">#/components/schemas/AccountResponseLE</w:t>
              </w:r>
            </w:hyperlink>
          </w:p>
        </w:tc>
      </w:tr>
    </w:tbl>
    <w:bookmarkEnd w:id="30"/>
    <w:bookmarkStart w:id="31" w:name="get-accountsaccountid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/accounts/{accountId}</w:t>
      </w:r>
    </w:p>
    <w:p>
      <w:pPr>
        <w:pStyle w:val="FirstParagraph"/>
      </w:pPr>
      <w:r>
        <w:t xml:space="preserve">Детали счета по accountId</w:t>
      </w:r>
    </w:p>
    <w:p>
      <w:pPr>
        <w:pStyle w:val="BodyText"/>
      </w:pPr>
      <w:r>
        <w:t xml:space="preserve">Возвращает детальную информацию по счёту.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f3b9d9c4a23ad122214aef07a34f20efe88b438">
              <w:r>
                <w:rPr>
                  <w:rStyle w:val="af0"/>
                </w:rPr>
                <w:t xml:space="preserve">#/components/schemas/AccountResponseLE</w:t>
              </w:r>
            </w:hyperlink>
          </w:p>
        </w:tc>
      </w:tr>
    </w:tbl>
    <w:bookmarkEnd w:id="31"/>
    <w:bookmarkEnd w:id="32"/>
    <w:bookmarkStart w:id="35" w:name="balances"/>
    <w:p>
      <w:pPr>
        <w:pStyle w:val="2"/>
      </w:pPr>
      <w:r>
        <w:t xml:space="preserve">Balances</w:t>
      </w:r>
    </w:p>
    <w:p>
      <w:pPr>
        <w:pStyle w:val="FirstParagraph"/>
      </w:pPr>
      <w:r>
        <w:t xml:space="preserve">Методы получения остатков</w:t>
      </w:r>
    </w:p>
    <w:bookmarkStart w:id="33" w:name="get-accountsaccountidbalances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/accounts/{accountId}/balances</w:t>
      </w:r>
    </w:p>
    <w:p>
      <w:pPr>
        <w:pStyle w:val="FirstParagraph"/>
      </w:pPr>
      <w:r>
        <w:t xml:space="preserve">Баланс по счёту</w:t>
      </w:r>
    </w:p>
    <w:p>
      <w:pPr>
        <w:pStyle w:val="BodyText"/>
      </w:pPr>
      <w:r>
        <w:t xml:space="preserve">Получение остатка по идентификатору счёта.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0a2a86c5f78afa6ecbc8daa9d2d34e1f2f2f2a1">
              <w:r>
                <w:rPr>
                  <w:rStyle w:val="af0"/>
                </w:rPr>
                <w:t xml:space="preserve">#/components/schemas/BalanceResponseLE</w:t>
              </w:r>
            </w:hyperlink>
          </w:p>
        </w:tc>
      </w:tr>
    </w:tbl>
    <w:bookmarkEnd w:id="33"/>
    <w:bookmarkStart w:id="34" w:name="get-balances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/balances</w:t>
      </w:r>
    </w:p>
    <w:p>
      <w:pPr>
        <w:pStyle w:val="FirstParagraph"/>
      </w:pPr>
      <w:r>
        <w:t xml:space="preserve">Остатки по всем счетам</w:t>
      </w:r>
    </w:p>
    <w:p>
      <w:pPr>
        <w:pStyle w:val="BodyText"/>
      </w:pPr>
      <w:r>
        <w:t xml:space="preserve">Остаток по всем счетам, указанным в согласии.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Номер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0a2a86c5f78afa6ecbc8daa9d2d34e1f2f2f2a1">
              <w:r>
                <w:rPr>
                  <w:rStyle w:val="af0"/>
                </w:rPr>
                <w:t xml:space="preserve">#/components/schemas/BalanceResponseLE</w:t>
              </w:r>
            </w:hyperlink>
          </w:p>
        </w:tc>
      </w:tr>
    </w:tbl>
    <w:bookmarkEnd w:id="34"/>
    <w:bookmarkEnd w:id="35"/>
    <w:bookmarkStart w:id="38" w:name="statements-async"/>
    <w:p>
      <w:pPr>
        <w:pStyle w:val="2"/>
      </w:pPr>
      <w:r>
        <w:t xml:space="preserve">Statements Async</w:t>
      </w:r>
    </w:p>
    <w:p>
      <w:pPr>
        <w:pStyle w:val="FirstParagraph"/>
      </w:pPr>
      <w:r>
        <w:t xml:space="preserve">Асинхронная выписка</w:t>
      </w:r>
    </w:p>
    <w:bookmarkStart w:id="36" w:name="post-statements"/>
    <w:p>
      <w:pPr>
        <w:pStyle w:val="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/statements</w:t>
      </w:r>
    </w:p>
    <w:p>
      <w:pPr>
        <w:pStyle w:val="FirstParagraph"/>
      </w:pPr>
      <w:r>
        <w:t xml:space="preserve">Создание ресурса выписки</w:t>
      </w:r>
    </w:p>
    <w:p>
      <w:pPr>
        <w:pStyle w:val="BodyText"/>
      </w:pPr>
      <w:r>
        <w:t xml:space="preserve">Создаёт ресурс выписки по accountId.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x-idempotency-key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Идемпотентность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x-jws-signature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Отделяемая подпись JWS</w:t>
            </w:r>
          </w:p>
        </w:tc>
      </w:tr>
    </w:tbl>
    <w:p>
      <w:pPr>
        <w:pStyle w:val="BodyText"/>
      </w:pPr>
      <w:r>
        <w:t xml:space="preserve">Тело запроса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Схема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application/json</w:t>
            </w:r>
          </w:p>
        </w:tc>
        <w:tc>
          <w:tcPr/>
          <w:p>
            <w:pPr>
              <w:pStyle w:val="Compact"/>
            </w:pPr>
            <w:hyperlink w:anchor="X8aa7df97814685bf771734cb431ac7123483d86">
              <w:r>
                <w:rPr>
                  <w:rStyle w:val="af0"/>
                </w:rPr>
                <w:t xml:space="preserve">#/components/schemas/StatementInitRequest</w:t>
              </w:r>
            </w:hyperlink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68551853bfd1d45ce38a5206b09b20501af38b9">
              <w:r>
                <w:rPr>
                  <w:rStyle w:val="af0"/>
                </w:rPr>
                <w:t xml:space="preserve">#/components/schemas/StatementInitResponse</w:t>
              </w:r>
            </w:hyperlink>
          </w:p>
        </w:tc>
      </w:tr>
    </w:tbl>
    <w:bookmarkEnd w:id="36"/>
    <w:bookmarkStart w:id="37" w:name="get-statementsstatementid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/statements/{statementId}</w:t>
      </w:r>
    </w:p>
    <w:p>
      <w:pPr>
        <w:pStyle w:val="FirstParagraph"/>
      </w:pPr>
      <w:r>
        <w:t xml:space="preserve">Получение выписки по идентификатору</w:t>
      </w:r>
    </w:p>
    <w:p>
      <w:pPr>
        <w:pStyle w:val="BodyText"/>
      </w:pPr>
      <w:r>
        <w:t xml:space="preserve">Возвращает выписку по statementId; поддерживает фильтрацию по датам.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Идентификатор выписки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fromBookingDateTime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Начало периода (date-time)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toBookingDateTime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Окончание периода (date-time)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75a8576503111f252f101c074337683a1ad9f76">
              <w:r>
                <w:rPr>
                  <w:rStyle w:val="af0"/>
                </w:rPr>
                <w:t xml:space="preserve">#/components/schemas/StatementStatementIdResponse</w:t>
              </w:r>
            </w:hyperlink>
          </w:p>
        </w:tc>
      </w:tr>
    </w:tbl>
    <w:bookmarkEnd w:id="37"/>
    <w:bookmarkEnd w:id="38"/>
    <w:bookmarkStart w:id="40" w:name="statements-sync"/>
    <w:p>
      <w:pPr>
        <w:pStyle w:val="2"/>
      </w:pPr>
      <w:r>
        <w:t xml:space="preserve">Statements Sync</w:t>
      </w:r>
    </w:p>
    <w:p>
      <w:pPr>
        <w:pStyle w:val="FirstParagraph"/>
      </w:pPr>
      <w:r>
        <w:t xml:space="preserve">Синхронная выписка</w:t>
      </w:r>
    </w:p>
    <w:bookmarkStart w:id="39" w:name="get-accountsaccountidstatements"/>
    <w:p>
      <w:pPr>
        <w:pStyle w:val="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/accounts/{accountId}/statements</w:t>
      </w:r>
    </w:p>
    <w:p>
      <w:pPr>
        <w:pStyle w:val="FirstParagraph"/>
      </w:pPr>
      <w:r>
        <w:t xml:space="preserve">Выписка по счёту</w:t>
      </w:r>
    </w:p>
    <w:p>
      <w:pPr>
        <w:pStyle w:val="BodyText"/>
      </w:pPr>
      <w:r>
        <w:t xml:space="preserve">Получение выписки по идентификатору счёта (онлайн).</w:t>
      </w:r>
    </w:p>
    <w:p>
      <w:pPr>
        <w:pStyle w:val="BodyText"/>
      </w:pPr>
      <w:r>
        <w:t xml:space="preserve">Параметры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Имя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Где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Обяз.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fromBookingDateTime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Начало периода (date-time)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toBookingDateTime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Окончание периода (date-time)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x-fapi-interaction-id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RFC4122 UUID идентификатор корреляции</w:t>
            </w:r>
          </w:p>
        </w:tc>
      </w:tr>
    </w:tbl>
    <w:p>
      <w:pPr>
        <w:pStyle w:val="BodyText"/>
      </w:pPr>
      <w:r>
        <w:t xml:space="preserve">Ответы</w:t>
      </w:r>
    </w:p>
    <w:tbl>
      <w:tblPr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5" w:type="dxa"/>
          <w:left w:w="75" w:type="dxa"/>
          <w:bottom w:w="75" w:type="dxa"/>
          <w:right w:w="75" w:type="dxa"/>
        </w:tblCellMa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Код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Compact"/>
            </w:pPr>
            <w:r>
              <w:t xml:space="preserve">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w:anchor="X56660b2bb911909213b7463be6e7f82206c59f6">
              <w:r>
                <w:rPr>
                  <w:rStyle w:val="af0"/>
                </w:rPr>
                <w:t xml:space="preserve">#/components/schemas/StatementAccountIdResponse</w:t>
              </w:r>
            </w:hyperlink>
          </w:p>
        </w:tc>
      </w:tr>
    </w:tbl>
    <w:bookmarkEnd w:id="39"/>
    <w:bookmarkEnd w:id="40"/>
    <w:bookmarkEnd w:id="41"/>
    <w:bookmarkEnd w:id="42"/>
    <w:bookmarkStart w:id="50" w:name="components"/>
    <w:bookmarkStart w:id="49" w:name="модели-данных"/>
    <w:p>
      <w:pPr>
        <w:pStyle w:val="1"/>
      </w:pPr>
      <w:r>
        <w:t xml:space="preserve">Модели данных</w:t>
      </w:r>
    </w:p>
    <w:bookmarkStart w:id="48" w:name="schema-examples"/>
    <w:bookmarkStart w:id="47" w:name="примеры"/>
    <w:p>
      <w:pPr>
        <w:pStyle w:val="2"/>
      </w:pPr>
      <w:r>
        <w:t xml:space="preserve">Примеры</w:t>
      </w:r>
    </w:p>
    <w:bookmarkStart w:id="43" w:name="accounts-1"/>
    <w:p>
      <w:pPr>
        <w:pStyle w:val="3"/>
      </w:pPr>
      <w:r>
        <w:t xml:space="preserve">Accounts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'https://api.bank.example/open-banking/v1/aisp-le/accounts'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/accounts/{accountId}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'https://api.bank.example/open-banking/v1/aisp-le/accounts/{accountId}'</w:t>
      </w:r>
    </w:p>
    <w:bookmarkEnd w:id="43"/>
    <w:bookmarkStart w:id="44" w:name="balances-1"/>
    <w:p>
      <w:pPr>
        <w:pStyle w:val="3"/>
      </w:pPr>
      <w:r>
        <w:t xml:space="preserve">Balances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/accounts/{accountId}/balances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'https://api.bank.example/open-banking/v1/aisp-le/accounts/{accountId}/balances'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/balances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'https://api.bank.example/open-banking/v1/aisp-le/balances'</w:t>
      </w:r>
    </w:p>
    <w:bookmarkEnd w:id="44"/>
    <w:bookmarkStart w:id="45" w:name="statements-async-1"/>
    <w:p>
      <w:pPr>
        <w:pStyle w:val="3"/>
      </w:pPr>
      <w:r>
        <w:t xml:space="preserve">Statements Async</w:t>
      </w:r>
    </w:p>
    <w:p>
      <w:pPr>
        <w:pStyle w:val="FirstParagraph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/statements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'https://api.bank.example/open-banking/v1/aisp-le/statements'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/statements/{statementId}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'https://api.bank.example/open-banking/v1/aisp-le/statements/{statementId}'</w:t>
      </w:r>
    </w:p>
    <w:bookmarkEnd w:id="45"/>
    <w:bookmarkStart w:id="46" w:name="statements-sync-1"/>
    <w:p>
      <w:pPr>
        <w:pStyle w:val="3"/>
      </w:pPr>
      <w:r>
        <w:t xml:space="preserve">Statements Sync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/accounts/{accountId}/statements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'https://api.bank.example/open-banking/v1/aisp-le/accounts/{accountId}/statements'</w:t>
      </w:r>
    </w:p>
    <w:bookmarkEnd w:id="46"/>
    <w:bookmarkEnd w:id="47"/>
    <w:bookmarkEnd w:id="48"/>
    <w:bookmarkEnd w:id="49"/>
    <w:bookmarkEnd w:id="50"/>
    <w:p>
      <w:pPr>
        <w:pStyle w:val="FirstParagraph"/>
      </w:pPr>
      <w:r>
        <w:t xml:space="preserve">Код документа:</w:t>
      </w:r>
    </w:p>
    <w:sectPr w:rsidR="00D62441" w:rsidRPr="005E65E3"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D80"/>
    <w:multiLevelType w:val="multilevel"/>
    <w:tmpl w:val="7124040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6853F3"/>
    <w:multiLevelType w:val="multilevel"/>
    <w:tmpl w:val="B6AC89A8"/>
    <w:lvl w:ilvl="0">
      <w:start w:val="1"/>
      <w:numFmt w:val="decimal"/>
      <w:lvlText w:val="%1. "/>
      <w:lvlJc w:val="left"/>
      <w:pPr>
        <w:ind w:left="794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936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  "/>
      <w:lvlJc w:val="left"/>
      <w:pPr>
        <w:ind w:left="1224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368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512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  <w:b/>
      </w:rPr>
    </w:lvl>
  </w:abstractNum>
  <w:abstractNum w:abstractNumId="2" w15:restartNumberingAfterBreak="0">
    <w:nsid w:val="2ECE6029"/>
    <w:multiLevelType w:val="multilevel"/>
    <w:tmpl w:val="829C3872"/>
    <w:lvl w:ilvl="0">
      <w:start w:val="1"/>
      <w:numFmt w:val="decimal"/>
      <w:lvlText w:val="%1."/>
      <w:lvlJc w:val="left"/>
      <w:pPr>
        <w:tabs>
          <w:tab w:val="num" w:pos="1588"/>
        </w:tabs>
        <w:ind w:left="1588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730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87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018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162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06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450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9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738" w:hanging="1584"/>
      </w:pPr>
      <w:rPr>
        <w:rFonts w:hint="default"/>
        <w:b/>
      </w:rPr>
    </w:lvl>
  </w:abstractNum>
  <w:abstractNum w:abstractNumId="3" w15:restartNumberingAfterBreak="0">
    <w:nsid w:val="405E2610"/>
    <w:multiLevelType w:val="multilevel"/>
    <w:tmpl w:val="E6107D10"/>
    <w:lvl w:ilvl="0">
      <w:start w:val="1"/>
      <w:numFmt w:val="decimal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a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A7C48F2"/>
    <w:multiLevelType w:val="multilevel"/>
    <w:tmpl w:val="E8DCBBD4"/>
    <w:lvl w:ilvl="0">
      <w:start w:val="1"/>
      <w:numFmt w:val="decimal"/>
      <w:lvlText w:val="%1."/>
      <w:lvlJc w:val="left"/>
      <w:pPr>
        <w:tabs>
          <w:tab w:val="num" w:pos="1658"/>
        </w:tabs>
        <w:ind w:left="1658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800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088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76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66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808" w:hanging="1584"/>
      </w:pPr>
      <w:rPr>
        <w:rFonts w:hint="default"/>
        <w:b/>
      </w:rPr>
    </w:lvl>
  </w:abstractNum>
  <w:abstractNum w:abstractNumId="5" w15:restartNumberingAfterBreak="0">
    <w:nsid w:val="5B447992"/>
    <w:multiLevelType w:val="multilevel"/>
    <w:tmpl w:val="36A60B72"/>
    <w:lvl w:ilvl="0">
      <w:start w:val="1"/>
      <w:numFmt w:val="decimal"/>
      <w:lvlText w:val="%1."/>
      <w:lvlJc w:val="left"/>
      <w:pPr>
        <w:tabs>
          <w:tab w:val="num" w:pos="434"/>
        </w:tabs>
        <w:ind w:left="434" w:hanging="434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77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/>
      </w:rPr>
    </w:lvl>
  </w:abstractNum>
  <w:abstractNum w:abstractNumId="6" w15:restartNumberingAfterBreak="0">
    <w:nsid w:val="70443F72"/>
    <w:multiLevelType w:val="multilevel"/>
    <w:tmpl w:val="40EAC8E8"/>
    <w:styleLink w:val="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FED7B57"/>
    <w:multiLevelType w:val="multilevel"/>
    <w:tmpl w:val="433CD68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87567024">
    <w:abstractNumId w:val="3"/>
  </w:num>
  <w:num w:numId="2" w16cid:durableId="1547334640">
    <w:abstractNumId w:val="7"/>
  </w:num>
  <w:num w:numId="3" w16cid:durableId="902450572">
    <w:abstractNumId w:val="7"/>
  </w:num>
  <w:num w:numId="4" w16cid:durableId="1657176000">
    <w:abstractNumId w:val="1"/>
  </w:num>
  <w:num w:numId="5" w16cid:durableId="633682586">
    <w:abstractNumId w:val="1"/>
  </w:num>
  <w:num w:numId="6" w16cid:durableId="1904102994">
    <w:abstractNumId w:val="5"/>
  </w:num>
  <w:num w:numId="7" w16cid:durableId="1601134136">
    <w:abstractNumId w:val="5"/>
  </w:num>
  <w:num w:numId="8" w16cid:durableId="956333842">
    <w:abstractNumId w:val="4"/>
  </w:num>
  <w:num w:numId="9" w16cid:durableId="1151798655">
    <w:abstractNumId w:val="2"/>
  </w:num>
  <w:num w:numId="10" w16cid:durableId="90392830">
    <w:abstractNumId w:val="0"/>
  </w:num>
  <w:num w:numId="11" w16cid:durableId="1212502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5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90"/>
    <w:rsid w:val="001B429E"/>
    <w:rsid w:val="00224204"/>
    <w:rsid w:val="00254691"/>
    <w:rsid w:val="0035588F"/>
    <w:rsid w:val="00442C20"/>
    <w:rsid w:val="00443390"/>
    <w:rsid w:val="00463B26"/>
    <w:rsid w:val="00480E17"/>
    <w:rsid w:val="004D7ABD"/>
    <w:rsid w:val="005E65E3"/>
    <w:rsid w:val="0073346F"/>
    <w:rsid w:val="00744826"/>
    <w:rsid w:val="008D3C32"/>
    <w:rsid w:val="009C131F"/>
    <w:rsid w:val="00D04B2E"/>
    <w:rsid w:val="00D62441"/>
    <w:rsid w:val="00DF3537"/>
    <w:rsid w:val="00E72055"/>
    <w:rsid w:val="00EE4770"/>
    <w:rsid w:val="00F005AA"/>
    <w:rsid w:val="00F51112"/>
    <w:rsid w:val="00F575A1"/>
    <w:rsid w:val="00FA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B6F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44826"/>
    <w:pPr>
      <w:spacing w:line="278" w:lineRule="auto"/>
      <w:contextualSpacing/>
    </w:pPr>
    <w:rPr>
      <w:rFonts w:ascii="Times New Roman" w:hAnsi="Times New Roman"/>
    </w:rPr>
  </w:style>
  <w:style w:type="paragraph" w:styleId="1">
    <w:name w:val="heading 1"/>
    <w:basedOn w:val="a0"/>
    <w:next w:val="a0"/>
    <w:link w:val="11"/>
    <w:autoRedefine/>
    <w:uiPriority w:val="9"/>
    <w:qFormat/>
    <w:rsid w:val="00443390"/>
    <w:pPr>
      <w:numPr>
        <w:numId w:val="10"/>
      </w:numPr>
      <w:tabs>
        <w:tab w:val="num" w:pos="1588"/>
      </w:tabs>
      <w:spacing w:before="100" w:beforeAutospacing="1" w:after="100" w:afterAutospacing="1" w:line="240" w:lineRule="auto"/>
      <w:contextualSpacing w:val="0"/>
      <w:outlineLvl w:val="0"/>
    </w:pPr>
    <w:rPr>
      <w:rFonts w:eastAsiaTheme="minorEastAsia" w:cs="Times New Roman"/>
      <w:b/>
      <w:color w:val="000000" w:themeColor="text1"/>
      <w:kern w:val="0"/>
      <w:lang w:eastAsia="ru-RU"/>
      <w14:ligatures w14:val="none"/>
      <w:sz w:val="40"/>
      <w:szCs w:val="40"/>
    </w:rPr>
  </w:style>
  <w:style w:type="paragraph" w:styleId="2">
    <w:name w:val="heading 2"/>
    <w:basedOn w:val="3"/>
    <w:next w:val="a0"/>
    <w:link w:val="20"/>
    <w:autoRedefine/>
    <w:uiPriority w:val="9"/>
    <w:unhideWhenUsed/>
    <w:qFormat/>
    <w:rsid w:val="00443390"/>
    <w:pPr>
      <w:numPr>
        <w:ilvl w:val="1"/>
      </w:numPr>
      <w:outlineLvl w:val="1"/>
    </w:pPr>
    <w:rPr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443390"/>
    <w:pPr>
      <w:keepNext/>
      <w:keepLines/>
      <w:numPr>
        <w:ilvl w:val="2"/>
        <w:numId w:val="10"/>
      </w:numPr>
      <w:tabs>
        <w:tab w:val="num" w:pos="774"/>
      </w:tabs>
      <w:spacing w:before="160" w:after="80" w:line="240" w:lineRule="auto"/>
      <w:contextualSpacing w:val="0"/>
      <w:outlineLvl w:val="2"/>
    </w:pPr>
    <w:rPr>
      <w:rFonts w:eastAsiaTheme="majorEastAsia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unhideWhenUsed/>
    <w:qFormat/>
    <w:rsid w:val="00443390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443390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44826"/>
    <w:pPr>
      <w:keepNext/>
      <w:keepLines/>
      <w:numPr>
        <w:ilvl w:val="5"/>
        <w:numId w:val="10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44826"/>
    <w:pPr>
      <w:keepNext/>
      <w:keepLines/>
      <w:numPr>
        <w:ilvl w:val="6"/>
        <w:numId w:val="10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44826"/>
    <w:pPr>
      <w:keepNext/>
      <w:keepLines/>
      <w:numPr>
        <w:ilvl w:val="7"/>
        <w:numId w:val="10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44826"/>
    <w:pPr>
      <w:keepNext/>
      <w:keepLines/>
      <w:numPr>
        <w:ilvl w:val="8"/>
        <w:numId w:val="10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риложение"/>
    <w:basedOn w:val="1"/>
    <w:autoRedefine/>
    <w:qFormat/>
    <w:rsid w:val="00254691"/>
    <w:pPr>
      <w:numPr>
        <w:ilvl w:val="1"/>
        <w:numId w:val="1"/>
      </w:numPr>
      <w:outlineLvl w:val="1"/>
    </w:pPr>
    <w:rPr>
      <w:b w:val="0"/>
      <w:bCs/>
      <w:sz w:val="36"/>
      <w:szCs w:val="36"/>
    </w:rPr>
  </w:style>
  <w:style w:type="character" w:customStyle="1" w:styleId="11">
    <w:name w:val="Заголовок 1 Знак"/>
    <w:basedOn w:val="a1"/>
    <w:link w:val="1"/>
    <w:uiPriority w:val="9"/>
    <w:rsid w:val="00443390"/>
    <w:rPr>
      <w:rFonts w:ascii="Times New Roman" w:eastAsiaTheme="minorEastAsia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44339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443390"/>
    <w:rPr>
      <w:rFonts w:ascii="Times New Roman" w:eastAsiaTheme="majorEastAsia" w:hAnsi="Times New Roman" w:cstheme="majorBidi"/>
      <w:b/>
      <w:color w:val="000000" w:themeColor="text1"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443390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50">
    <w:name w:val="Заголовок 5 Знак"/>
    <w:basedOn w:val="a1"/>
    <w:link w:val="5"/>
    <w:uiPriority w:val="9"/>
    <w:rsid w:val="00443390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Заголовок 6 Знак"/>
    <w:basedOn w:val="a1"/>
    <w:link w:val="6"/>
    <w:uiPriority w:val="9"/>
    <w:semiHidden/>
    <w:rsid w:val="007448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448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448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4482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4482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4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448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4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44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4482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44826"/>
    <w:pPr>
      <w:ind w:left="720"/>
    </w:pPr>
  </w:style>
  <w:style w:type="character" w:styleId="a9">
    <w:name w:val="Intense Emphasis"/>
    <w:basedOn w:val="a1"/>
    <w:uiPriority w:val="21"/>
    <w:qFormat/>
    <w:rsid w:val="00443390"/>
    <w:rPr>
      <w:i/>
      <w:iCs/>
      <w:color w:val="000000" w:themeColor="text1"/>
    </w:rPr>
  </w:style>
  <w:style w:type="paragraph" w:styleId="aa">
    <w:name w:val="Intense Quote"/>
    <w:basedOn w:val="a0"/>
    <w:next w:val="a0"/>
    <w:link w:val="ab"/>
    <w:uiPriority w:val="30"/>
    <w:qFormat/>
    <w:rsid w:val="0074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4482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744826"/>
    <w:rPr>
      <w:b/>
      <w:bCs/>
      <w:smallCaps/>
      <w:color w:val="0F4761" w:themeColor="accent1" w:themeShade="BF"/>
      <w:spacing w:val="5"/>
    </w:rPr>
  </w:style>
  <w:style w:type="numbering" w:customStyle="1" w:styleId="10">
    <w:name w:val="Текущий список1"/>
    <w:uiPriority w:val="99"/>
    <w:rsid w:val="00744826"/>
    <w:pPr>
      <w:numPr>
        <w:numId w:val="11"/>
      </w:numPr>
    </w:pPr>
  </w:style>
  <w:style w:type="table" w:styleId="ad">
    <w:name w:val="Table Grid"/>
    <w:basedOn w:val="a2"/>
    <w:uiPriority w:val="39"/>
    <w:rsid w:val="00744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4">
    <w:name w:val="Grid Table 4 Accent 4"/>
    <w:basedOn w:val="a2"/>
    <w:uiPriority w:val="49"/>
    <w:rsid w:val="00744826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">
    <w:name w:val="Grid Table 5 Dark"/>
    <w:basedOn w:val="a2"/>
    <w:uiPriority w:val="50"/>
    <w:rsid w:val="007448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2"/>
    <w:uiPriority w:val="49"/>
    <w:rsid w:val="007448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744826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e">
    <w:name w:val="caption"/>
    <w:basedOn w:val="a0"/>
    <w:next w:val="a0"/>
    <w:uiPriority w:val="35"/>
    <w:unhideWhenUsed/>
    <w:qFormat/>
    <w:rsid w:val="00D624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Table-aft">
    <w:name w:val="Table-aft"/>
    <w:basedOn w:val="a2"/>
    <w:uiPriority w:val="99"/>
    <w:rsid w:val="004D7ABD"/>
    <w:rPr>
      <w:rFonts w:ascii="Times New Roman" w:hAnsi="Times New Roman"/>
    </w:rPr>
    <w:tblPr/>
  </w:style>
  <w:style w:type="table" w:customStyle="1" w:styleId="Table">
    <w:name w:val="Table"/>
    <w:basedOn w:val="a2"/>
    <w:uiPriority w:val="99"/>
    <w:rsid w:val="004D7ABD"/>
    <w:rPr>
      <w:rFonts w:ascii="Times New Roman" w:hAnsi="Times New Roman"/>
    </w:rPr>
    <w:tblPr>
      <w:tblBorders>
        <w:top w:val="single" w:sz="4" w:space="0" w:color="0F4761" w:themeColor="accent1" w:themeShade="BF"/>
        <w:left w:val="single" w:sz="4" w:space="0" w:color="0F4761" w:themeColor="accent1" w:themeShade="BF"/>
        <w:bottom w:val="single" w:sz="4" w:space="0" w:color="0F4761" w:themeColor="accent1" w:themeShade="BF"/>
        <w:right w:val="single" w:sz="4" w:space="0" w:color="0F4761" w:themeColor="accent1" w:themeShade="BF"/>
        <w:insideH w:val="single" w:sz="4" w:space="0" w:color="0F4761" w:themeColor="accent1" w:themeShade="BF"/>
        <w:insideV w:val="single" w:sz="4" w:space="0" w:color="0F4761" w:themeColor="accent1" w:themeShade="BF"/>
      </w:tblBorders>
    </w:tblPr>
    <w:tcPr>
      <w:shd w:val="clear" w:color="auto" w:fill="auto"/>
    </w:tcPr>
    <w:tblStylePr w:type="firstRow">
      <w:pPr>
        <w:jc w:val="center"/>
      </w:pPr>
      <w:rPr>
        <w:b/>
      </w:rPr>
      <w:tblPr/>
      <w:tcPr>
        <w:shd w:val="clear" w:color="auto" w:fill="A6A6A6" w:themeFill="background1" w:themeFillShade="A6"/>
      </w:tcPr>
    </w:tblStylePr>
    <w:tblStylePr w:type="firstCol">
      <w:rPr>
        <w:rFonts w:ascii="Times New Roman" w:hAnsi="Times New Roman"/>
        <w:color w:val="0F4761" w:themeColor="accent1" w:themeShade="BF"/>
      </w:rPr>
    </w:tblStylePr>
  </w:style>
  <w:style w:type="paragraph" w:styleId="af">
    <w:name w:val="TOC Heading"/>
    <w:basedOn w:val="1"/>
    <w:next w:val="a0"/>
    <w:uiPriority w:val="39"/>
    <w:unhideWhenUsed/>
    <w:qFormat/>
    <w:rsid w:val="00443390"/>
    <w:pPr>
      <w:keepNext/>
      <w:keepLines/>
      <w:numPr>
        <w:numId w:val="0"/>
      </w:numPr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bCs/>
    </w:rPr>
  </w:style>
  <w:style w:type="paragraph" w:styleId="12">
    <w:name w:val="toc 1"/>
    <w:basedOn w:val="a0"/>
    <w:next w:val="a0"/>
    <w:autoRedefine/>
    <w:uiPriority w:val="39"/>
    <w:unhideWhenUsed/>
    <w:rsid w:val="00443390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443390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443390"/>
    <w:pPr>
      <w:ind w:left="480"/>
    </w:pPr>
    <w:rPr>
      <w:rFonts w:asciiTheme="minorHAnsi" w:hAnsiTheme="minorHAnsi"/>
      <w:sz w:val="20"/>
      <w:szCs w:val="20"/>
    </w:rPr>
  </w:style>
  <w:style w:type="character" w:styleId="af0">
    <w:name w:val="Hyperlink"/>
    <w:basedOn w:val="a1"/>
    <w:uiPriority w:val="99"/>
    <w:unhideWhenUsed/>
    <w:rsid w:val="00443390"/>
    <w:rPr>
      <w:color w:val="467886" w:themeColor="hyperlink"/>
      <w:u w:val="single"/>
    </w:rPr>
  </w:style>
  <w:style w:type="paragraph" w:styleId="41">
    <w:name w:val="toc 4"/>
    <w:basedOn w:val="a0"/>
    <w:next w:val="a0"/>
    <w:autoRedefine/>
    <w:uiPriority w:val="39"/>
    <w:semiHidden/>
    <w:unhideWhenUsed/>
    <w:rsid w:val="00443390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443390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443390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443390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443390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443390"/>
    <w:pPr>
      <w:ind w:left="1920"/>
    </w:pPr>
    <w:rPr>
      <w:rFonts w:asciiTheme="minorHAnsi" w:hAnsiTheme="minorHAnsi"/>
      <w:sz w:val="20"/>
      <w:szCs w:val="20"/>
    </w:rPr>
  </w:style>
  <w:style w:type="character" w:styleId="af1">
    <w:name w:val="FollowedHyperlink"/>
    <w:basedOn w:val="a1"/>
    <w:uiPriority w:val="99"/>
    <w:semiHidden/>
    <w:unhideWhenUsed/>
    <w:rsid w:val="004433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Оглавление.dotx</Template>
  <TotalTime>4</TotalTime>
  <Pages>1</Pages>
  <Words>40</Words>
  <Characters>327</Characters>
  <Application>Microsoft Office Word</Application>
  <DocSecurity>0</DocSecurity>
  <Lines>23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Открытые программные интерфейсы. Получение информации о банковских счетах клиента. Методы для Юридических Лиц. — v2.0.0</dc:title>
  <dc:creator/>
  <dc:language>ru</dc:language>
  <cp:keywords/>
  <dcterms:created xsi:type="dcterms:W3CDTF">2025-10-17T07:05:29Z</dcterms:created>
  <dcterms:modified xsi:type="dcterms:W3CDTF">2025-10-17T07:05:29Z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