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2240"/>
      </w:tblGrid>
      <w:tr>
        <w:trPr>
          <w:trHeight w:val="15800" w:hRule="exact"/>
        </w:trPr>
        <w:tc>
          <w:tcPr>
            <w:tcW w:type="dxa" w:w="12240"/>
            <w:shd w:val="clear" w:color="auto" w:fill="0E1640"/>
            <w:tcBorders>
              <w:top w:val="nil"/>
              <w:left w:val="nil"/>
              <w:bottom w:val="nil"/>
              <w:right w:val="nil"/>
            </w:tcBorders>
            <w:vAlign w:val="center"/>
          </w:tcPr>
          <w:p>
            <w:pPr>
              <w:spacing w:before="4200"/>
              <w:jc w:val="center"/>
            </w:pPr>
            <w:r>
              <w:rPr>
                <w:rFonts w:ascii="Calibri" w:hAnsi="Calibri"/>
                <w:b/>
                <w:i w:val="0"/>
                <w:color w:val="27B4E6"/>
                <w:sz w:val="30"/>
              </w:rPr>
              <w:t xml:space="preserve">■ </w:t>
            </w:r>
            <w:r>
              <w:rPr>
                <w:rFonts w:ascii="Calibri" w:hAnsi="Calibri"/>
                <w:b/>
                <w:i w:val="0"/>
                <w:color w:val="FFFFFF"/>
                <w:sz w:val="30"/>
                <w:spacing w:val="10"/>
              </w:rPr>
              <w:t>acceler</w:t>
            </w:r>
          </w:p>
          <w:p>
            <w:pPr>
              <w:spacing w:before="920" w:after="0"/>
              <w:jc w:val="center"/>
            </w:pPr>
            <w:r>
              <w:rPr>
                <w:rFonts w:ascii="Calibri" w:hAnsi="Calibri"/>
                <w:b/>
                <w:i w:val="0"/>
                <w:color w:val="27B4E6"/>
                <w:sz w:val="22"/>
                <w:spacing w:val="30"/>
              </w:rPr>
              <w:t>ACCELER ATLAS · POST-RELEASE REPORT</w:t>
            </w:r>
          </w:p>
          <w:p>
            <w:pPr>
              <w:spacing w:before="280" w:after="200"/>
              <w:jc w:val="center"/>
            </w:pPr>
            <w:r>
              <w:rPr>
                <w:rFonts w:ascii="Calibri" w:hAnsi="Calibri"/>
                <w:b/>
                <w:i w:val="0"/>
                <w:color w:val="FFFFFF"/>
                <w:sz w:val="66"/>
              </w:rPr>
              <w:t>Pre-Sales Agentic Process</w:t>
            </w:r>
            <w:r>
              <w:br/>
            </w:r>
            <w:r>
              <w:rPr>
                <w:rFonts w:ascii="Calibri" w:hAnsi="Calibri"/>
                <w:b/>
                <w:i w:val="0"/>
                <w:color w:val="FFFFFF"/>
                <w:sz w:val="66"/>
              </w:rPr>
              <w:t>Re-Engineering</w:t>
            </w:r>
          </w:p>
          <w:p>
            <w:pPr>
              <w:spacing w:before="0" w:after="0"/>
              <w:jc w:val="center"/>
            </w:pPr>
            <w:r>
              <w:rPr>
                <w:rFonts w:ascii="Calibri" w:hAnsi="Calibri"/>
                <w:b w:val="0"/>
                <w:i/>
                <w:color w:val="C7D3F0"/>
                <w:sz w:val="30"/>
              </w:rPr>
              <w:t>What Was Planned vs. What Shipped — the end-to-end report behind Acceler Atlas</w:t>
            </w:r>
          </w:p>
          <w:p>
            <w:pPr>
              <w:spacing w:before="520" w:after="520"/>
              <w:ind w:left="3744" w:right="3744"/>
              <w:jc w:val="center"/>
              <w:pBdr>
                <w:bottom w:val="single" w:sz="10" w:space="1" w:color="27B4E6"/>
              </w:pBdr>
            </w:pPr>
          </w:p>
          <w:p>
            <w:pPr>
              <w:spacing w:before="0" w:after="100"/>
              <w:jc w:val="center"/>
            </w:pPr>
            <w:r>
              <w:rPr>
                <w:rFonts w:ascii="Calibri" w:hAnsi="Calibri"/>
                <w:b w:val="0"/>
                <w:i w:val="0"/>
                <w:color w:val="E3E8F7"/>
                <w:sz w:val="22"/>
              </w:rPr>
              <w:t>Planned:  April 2026  →  Shipped:  July 2026 (v0.4.1)</w:t>
            </w:r>
          </w:p>
          <w:p>
            <w:pPr>
              <w:spacing w:before="0" w:after="100"/>
              <w:jc w:val="center"/>
            </w:pPr>
            <w:r>
              <w:rPr>
                <w:rFonts w:ascii="Calibri" w:hAnsi="Calibri"/>
                <w:b w:val="0"/>
                <w:i w:val="0"/>
                <w:color w:val="E3E8F7"/>
                <w:sz w:val="22"/>
              </w:rPr>
              <w:t>Owner: Utkarsh Raj  ·  Acceler B2B</w:t>
            </w:r>
          </w:p>
          <w:p>
            <w:pPr>
              <w:spacing w:before="0" w:after="100"/>
              <w:jc w:val="center"/>
            </w:pPr>
            <w:r>
              <w:rPr>
                <w:rFonts w:ascii="Calibri" w:hAnsi="Calibri"/>
                <w:b w:val="0"/>
                <w:i w:val="0"/>
                <w:color w:val="E3E8F7"/>
                <w:sz w:val="22"/>
              </w:rPr>
              <w:t>Companion docs: Plugin Setup &amp; Update Guide  ·  Acceler Atlas Documentation Hub</w:t>
            </w:r>
          </w:p>
          <w:p>
            <w:pPr>
              <w:spacing w:before="640" w:after="0"/>
              <w:jc w:val="center"/>
            </w:pPr>
            <w:r>
              <w:rPr>
                <w:rFonts w:ascii="Calibri" w:hAnsi="Calibri"/>
                <w:b w:val="0"/>
                <w:i w:val="0"/>
                <w:color w:val="8C9AC7"/>
                <w:sz w:val="19"/>
              </w:rPr>
              <w:t>INTERNAL — Acceler B2B</w:t>
            </w:r>
          </w:p>
        </w:tc>
      </w:tr>
    </w:tbl>
    <w:p>
      <w:pPr>
        <w:sectPr>
          <w:footerReference w:type="default" r:id="rId9"/>
          <w:pgSz w:w="12240" w:h="15840"/>
          <w:pgMar w:top="0" w:right="0" w:bottom="0" w:left="0" w:header="720" w:footer="720" w:gutter="0"/>
          <w:cols w:space="720"/>
          <w:docGrid w:linePitch="360"/>
        </w:sectPr>
      </w:pPr>
    </w:p>
    <w:p>
      <w:pPr>
        <w:keepNext/>
        <w:spacing w:before="440" w:after="40"/>
      </w:pPr>
      <w:r>
        <w:rPr>
          <w:rFonts w:ascii="Calibri" w:hAnsi="Calibri"/>
          <w:b/>
          <w:i w:val="0"/>
          <w:color w:val="1B2A6B"/>
          <w:sz w:val="44"/>
        </w:rPr>
        <w:t>1.  Executive Summary</w:t>
      </w:r>
    </w:p>
    <w:p>
      <w:pPr>
        <w:spacing w:before="0" w:after="200"/>
        <w:pBdr>
          <w:bottom w:val="single" w:sz="14" w:space="1" w:color="27B4E6"/>
        </w:pBdr>
      </w:pPr>
    </w:p>
    <w:p>
      <w:pPr>
        <w:spacing w:before="80" w:after="120"/>
      </w:pPr>
      <w:r>
        <w:rPr>
          <w:rFonts w:ascii="Calibri" w:hAnsi="Calibri"/>
          <w:b w:val="0"/>
          <w:i w:val="0"/>
          <w:color w:val="1A1A2E"/>
          <w:sz w:val="21"/>
        </w:rPr>
        <w:t>In April 2026 the APR (Agentic Process Re-engineering) proposal argued that Acceler's B2B pre-sales process — RFP to client-ready proposal — could be compressed from 2–5 days of manual work into a same-day, agent-assisted pipeline, without adding headcount. This document is the post-release account of what actually got built, what changed along the way, and what shipped to the org — now branded, end to end, as Acceler Atlas.</w:t>
      </w:r>
    </w:p>
    <w:p>
      <w:pPr>
        <w:spacing w:before="80" w:after="120"/>
      </w:pPr>
      <w:r>
        <w:rPr>
          <w:rFonts w:ascii="Calibri" w:hAnsi="Calibri"/>
          <w:b w:val="0"/>
          <w:i w:val="0"/>
          <w:color w:val="1A1A2E"/>
          <w:sz w:val="21"/>
        </w:rPr>
        <w:t>What shipped is a real, installable Claude Code plugin — acceler-presales — distributed through a private GitHub marketplace, plus the Acceler Knowledge Graph that powers it: 1,072 historical pre-sales files and 773 instructor profiles across 61 client accounts, turned into a queryable precedent layer. Anyone on the team with Claude Code and repo access installs the same pipeline with two commands and gets Utkarsh's judgment, pricing model, and proposal house style built in.</w:t>
      </w:r>
    </w:p>
    <w:p>
      <w:pPr>
        <w:spacing w:before="80" w:after="120"/>
      </w:pPr>
      <w:r>
        <w:rPr>
          <w:rFonts w:ascii="Calibri" w:hAnsi="Calibri"/>
          <w:b w:val="0"/>
          <w:i w:val="0"/>
          <w:color w:val="1A1A2E"/>
          <w:sz w:val="21"/>
        </w:rPr>
        <w:t>Why “Atlas”: the Knowledge Graph is literally that — a living, browsable map of every deal Acceler has ever pitched. The name covers the whole system this report describes: the map (the graph) and the plugin that reasons over it.</w:t>
      </w:r>
    </w:p>
    <w:tbl>
      <w:tblPr>
        <w:tblW w:type="auto" w:w="0"/>
        <w:tblLook w:firstColumn="1" w:firstRow="1" w:lastColumn="0" w:lastRow="0" w:noHBand="0" w:noVBand="1" w:val="04A0"/>
      </w:tblPr>
      <w:tblGrid>
        <w:gridCol w:w="9792"/>
      </w:tblGrid>
      <w:tr>
        <w:tc>
          <w:tcPr>
            <w:tcW w:type="dxa" w:w="9792"/>
            <w:shd w:val="clear" w:color="auto" w:fill="E8F7FD"/>
            <w:tcBorders>
              <w:top w:val="single" w:sz="4" w:space="0" w:color="27B4E6"/>
              <w:left w:val="single" w:sz="4" w:space="0" w:color="27B4E6"/>
              <w:bottom w:val="single" w:sz="4" w:space="0" w:color="27B4E6"/>
              <w:right w:val="single" w:sz="4" w:space="0" w:color="27B4E6"/>
            </w:tcBorders>
          </w:tcPr>
          <w:p>
            <w:pPr>
              <w:spacing w:before="120" w:after="40"/>
            </w:pPr>
            <w:r>
              <w:rPr>
                <w:rFonts w:ascii="Calibri" w:hAnsi="Calibri"/>
                <w:b/>
                <w:i w:val="0"/>
                <w:color w:val="1B2A6B"/>
                <w:sz w:val="20"/>
              </w:rPr>
              <w:t xml:space="preserve">STATUS AT RELEASE  </w:t>
            </w:r>
          </w:p>
          <w:p>
            <w:pPr>
              <w:spacing w:after="120"/>
            </w:pPr>
            <w:r>
              <w:rPr>
                <w:rFonts w:ascii="Calibri" w:hAnsi="Calibri"/>
                <w:b w:val="0"/>
                <w:i w:val="0"/>
                <w:color w:val="1A1A2E"/>
                <w:sz w:val="20"/>
              </w:rPr>
              <w:t>Plugin v0.4.1 · 10 slash commands · 7 bundled skills · KG covering 61 accounts / 1,072 files / 773 instructors · shipped as a private Git marketplace (voldemortuk/acceler-presales-plugin).</w:t>
            </w:r>
          </w:p>
        </w:tc>
      </w:tr>
    </w:tbl>
    <w:p>
      <w:pPr>
        <w:spacing w:after="40"/>
      </w:pPr>
    </w:p>
    <w:p>
      <w:pPr>
        <w:keepNext/>
        <w:spacing w:before="320" w:after="80"/>
      </w:pPr>
      <w:r>
        <w:rPr>
          <w:rFonts w:ascii="Calibri" w:hAnsi="Calibri"/>
          <w:b/>
          <w:i w:val="0"/>
          <w:color w:val="1B2A6B"/>
          <w:sz w:val="30"/>
        </w:rPr>
        <w:t>1.1  What the original plan asked for</w:t>
      </w:r>
    </w:p>
    <w:p>
      <w:pPr>
        <w:pStyle w:val="ListBullet"/>
        <w:spacing w:after="60"/>
        <w:ind w:left="317"/>
      </w:pPr>
      <w:r>
        <w:rPr>
          <w:rFonts w:ascii="Calibri" w:hAnsi="Calibri"/>
          <w:b/>
          <w:i w:val="0"/>
          <w:color w:val="1B2A6B"/>
          <w:sz w:val="21"/>
        </w:rPr>
        <w:t xml:space="preserve">Reduce turnaround — </w:t>
      </w:r>
      <w:r>
        <w:rPr>
          <w:rFonts w:ascii="Calibri" w:hAnsi="Calibri"/>
          <w:b w:val="0"/>
          <w:i w:val="0"/>
          <w:color w:val="1A1A2E"/>
          <w:sz w:val="21"/>
        </w:rPr>
        <w:t>cut proposal creation from 2–5 days to under 24 hours.</w:t>
      </w:r>
    </w:p>
    <w:p>
      <w:pPr>
        <w:pStyle w:val="ListBullet"/>
        <w:spacing w:after="60"/>
        <w:ind w:left="317"/>
      </w:pPr>
      <w:r>
        <w:rPr>
          <w:rFonts w:ascii="Calibri" w:hAnsi="Calibri"/>
          <w:b/>
          <w:i w:val="0"/>
          <w:color w:val="1B2A6B"/>
          <w:sz w:val="21"/>
        </w:rPr>
        <w:t xml:space="preserve">Automate the standard offerings — </w:t>
      </w:r>
      <w:r>
        <w:rPr>
          <w:rFonts w:ascii="Calibri" w:hAnsi="Calibri"/>
          <w:b w:val="0"/>
          <w:i w:val="0"/>
          <w:color w:val="1A1A2E"/>
          <w:sz w:val="21"/>
        </w:rPr>
        <w:t>AI Leaders, AI Builders, AI Enablers should need near-zero manual assembly.</w:t>
      </w:r>
    </w:p>
    <w:p>
      <w:pPr>
        <w:pStyle w:val="ListBullet"/>
        <w:spacing w:after="60"/>
        <w:ind w:left="317"/>
      </w:pPr>
      <w:r>
        <w:rPr>
          <w:rFonts w:ascii="Calibri" w:hAnsi="Calibri"/>
          <w:b/>
          <w:i w:val="0"/>
          <w:color w:val="1B2A6B"/>
          <w:sz w:val="21"/>
        </w:rPr>
        <w:t xml:space="preserve">Fix India pricing friction — </w:t>
      </w:r>
      <w:r>
        <w:rPr>
          <w:rFonts w:ascii="Calibri" w:hAnsi="Calibri"/>
          <w:b w:val="0"/>
          <w:i w:val="0"/>
          <w:color w:val="1A1A2E"/>
          <w:sz w:val="21"/>
        </w:rPr>
        <w:t>fewer negotiation cycles by getting the first quote right.</w:t>
      </w:r>
    </w:p>
    <w:p>
      <w:pPr>
        <w:pStyle w:val="ListBullet"/>
        <w:spacing w:after="60"/>
        <w:ind w:left="317"/>
      </w:pPr>
      <w:r>
        <w:rPr>
          <w:rFonts w:ascii="Calibri" w:hAnsi="Calibri"/>
          <w:b/>
          <w:i w:val="0"/>
          <w:color w:val="1B2A6B"/>
          <w:sz w:val="21"/>
        </w:rPr>
        <w:t xml:space="preserve">Encode judgment, not just templates — </w:t>
      </w:r>
      <w:r>
        <w:rPr>
          <w:rFonts w:ascii="Calibri" w:hAnsi="Calibri"/>
          <w:b w:val="0"/>
          <w:i w:val="0"/>
          <w:color w:val="1A1A2E"/>
          <w:sz w:val="21"/>
        </w:rPr>
        <w:t>a ‘Mini-UT’ orchestrator that reasons the way Utkarsh does about scope, routing, and review gates.</w:t>
      </w:r>
    </w:p>
    <w:p>
      <w:pPr>
        <w:pStyle w:val="ListBullet"/>
        <w:spacing w:after="60"/>
        <w:ind w:left="317"/>
      </w:pPr>
      <w:r>
        <w:rPr>
          <w:rFonts w:ascii="Calibri" w:hAnsi="Calibri"/>
          <w:b/>
          <w:i w:val="0"/>
          <w:color w:val="1B2A6B"/>
          <w:sz w:val="21"/>
        </w:rPr>
        <w:t xml:space="preserve">Protect quality while scaling — </w:t>
      </w:r>
      <w:r>
        <w:rPr>
          <w:rFonts w:ascii="Calibri" w:hAnsi="Calibri"/>
          <w:b w:val="0"/>
          <w:i w:val="0"/>
          <w:color w:val="1A1A2E"/>
          <w:sz w:val="21"/>
        </w:rPr>
        <w:t>output should not degrade as volume grows or as more people run the pipeline without Utkarsh in the loop.</w:t>
      </w:r>
    </w:p>
    <w:p>
      <w:pPr>
        <w:keepNext/>
        <w:spacing w:before="320" w:after="80"/>
      </w:pPr>
      <w:r>
        <w:rPr>
          <w:rFonts w:ascii="Calibri" w:hAnsi="Calibri"/>
          <w:b/>
          <w:i w:val="0"/>
          <w:color w:val="1B2A6B"/>
          <w:sz w:val="30"/>
        </w:rPr>
        <w:t>1.2  What shipped, in one line each</w:t>
      </w:r>
    </w:p>
    <w:tbl>
      <w:tblPr>
        <w:tblW w:type="auto" w:w="0"/>
        <w:jc w:val="center"/>
        <w:tblLayout w:type="fixed"/>
        <w:tblLook w:firstColumn="1" w:firstRow="1" w:lastColumn="0" w:lastRow="0" w:noHBand="0" w:noVBand="1" w:val="04A0"/>
      </w:tblPr>
      <w:tblGrid>
        <w:gridCol w:w="1872"/>
        <w:gridCol w:w="2736"/>
        <w:gridCol w:w="5112"/>
      </w:tblGrid>
      <w:tr>
        <w:tc>
          <w:tcPr>
            <w:tcW w:type="dxa" w:w="1872"/>
            <w:shd w:val="clear" w:color="auto" w:fill="1B2A6B"/>
            <w:tcBorders>
              <w:top w:val="single" w:sz="4" w:space="0" w:color="1B2A6B"/>
              <w:left w:val="single" w:sz="4" w:space="0" w:color="1B2A6B"/>
              <w:bottom w:val="single" w:sz="4" w:space="0" w:color="1B2A6B"/>
              <w:right w:val="single" w:sz="4" w:space="0" w:color="1B2A6B"/>
            </w:tcBorders>
            <w:vAlign w:val="center"/>
          </w:tcPr>
          <w:p>
            <w:pPr>
              <w:jc w:val="left"/>
            </w:pPr>
            <w:r>
              <w:rPr>
                <w:rFonts w:ascii="Calibri" w:hAnsi="Calibri"/>
                <w:b/>
                <w:i w:val="0"/>
                <w:color w:val="FFFFFF"/>
                <w:sz w:val="19"/>
              </w:rPr>
              <w:t>Pipeline stage</w:t>
            </w:r>
          </w:p>
        </w:tc>
        <w:tc>
          <w:tcPr>
            <w:tcW w:type="dxa" w:w="2736"/>
            <w:shd w:val="clear" w:color="auto" w:fill="1B2A6B"/>
            <w:tcBorders>
              <w:top w:val="single" w:sz="4" w:space="0" w:color="1B2A6B"/>
              <w:left w:val="single" w:sz="4" w:space="0" w:color="1B2A6B"/>
              <w:bottom w:val="single" w:sz="4" w:space="0" w:color="1B2A6B"/>
              <w:right w:val="single" w:sz="4" w:space="0" w:color="1B2A6B"/>
            </w:tcBorders>
            <w:vAlign w:val="center"/>
          </w:tcPr>
          <w:p>
            <w:pPr>
              <w:jc w:val="left"/>
            </w:pPr>
            <w:r>
              <w:rPr>
                <w:rFonts w:ascii="Calibri" w:hAnsi="Calibri"/>
                <w:b/>
                <w:i w:val="0"/>
                <w:color w:val="FFFFFF"/>
                <w:sz w:val="19"/>
              </w:rPr>
              <w:t>Command</w:t>
            </w:r>
          </w:p>
        </w:tc>
        <w:tc>
          <w:tcPr>
            <w:tcW w:type="dxa" w:w="5112"/>
            <w:shd w:val="clear" w:color="auto" w:fill="1B2A6B"/>
            <w:tcBorders>
              <w:top w:val="single" w:sz="4" w:space="0" w:color="1B2A6B"/>
              <w:left w:val="single" w:sz="4" w:space="0" w:color="1B2A6B"/>
              <w:bottom w:val="single" w:sz="4" w:space="0" w:color="1B2A6B"/>
              <w:right w:val="single" w:sz="4" w:space="0" w:color="1B2A6B"/>
            </w:tcBorders>
            <w:vAlign w:val="center"/>
          </w:tcPr>
          <w:p>
            <w:pPr>
              <w:jc w:val="left"/>
            </w:pPr>
            <w:r>
              <w:rPr>
                <w:rFonts w:ascii="Calibri" w:hAnsi="Calibri"/>
                <w:b/>
                <w:i w:val="0"/>
                <w:color w:val="FFFFFF"/>
                <w:sz w:val="19"/>
              </w:rPr>
              <w:t>What it does</w:t>
            </w:r>
          </w:p>
        </w:tc>
      </w:tr>
      <w:tr>
        <w:tc>
          <w:tcPr>
            <w:tcW w:type="dxa" w:w="1872"/>
            <w:shd w:val="clear" w:color="auto" w:fill="FFFFFF"/>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Discovery</w:t>
            </w:r>
          </w:p>
        </w:tc>
        <w:tc>
          <w:tcPr>
            <w:tcW w:type="dxa" w:w="2736"/>
            <w:shd w:val="clear" w:color="auto" w:fill="FFFFFF"/>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/acceler-presales:discovery</w:t>
            </w:r>
          </w:p>
        </w:tc>
        <w:tc>
          <w:tcPr>
            <w:tcW w:type="dxa" w:w="5112"/>
            <w:shd w:val="clear" w:color="auto" w:fill="FFFFFF"/>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Scores a brief against the 33-question checklist, flags must-ask gaps</w:t>
            </w:r>
          </w:p>
        </w:tc>
      </w:tr>
      <w:tr>
        <w:tc>
          <w:tcPr>
            <w:tcW w:type="dxa" w:w="1872"/>
            <w:shd w:val="clear" w:color="auto" w:fill="F5F7FA"/>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Precedent</w:t>
            </w:r>
          </w:p>
        </w:tc>
        <w:tc>
          <w:tcPr>
            <w:tcW w:type="dxa" w:w="2736"/>
            <w:shd w:val="clear" w:color="auto" w:fill="F5F7FA"/>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/acceler-presales:similar</w:t>
            </w:r>
          </w:p>
        </w:tc>
        <w:tc>
          <w:tcPr>
            <w:tcW w:type="dxa" w:w="5112"/>
            <w:shd w:val="clear" w:color="auto" w:fill="F5F7FA"/>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Finds the 3–5 closest historical accounts from the KG</w:t>
            </w:r>
          </w:p>
        </w:tc>
      </w:tr>
      <w:tr>
        <w:tc>
          <w:tcPr>
            <w:tcW w:type="dxa" w:w="1872"/>
            <w:shd w:val="clear" w:color="auto" w:fill="FFFFFF"/>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Proposal doc</w:t>
            </w:r>
          </w:p>
        </w:tc>
        <w:tc>
          <w:tcPr>
            <w:tcW w:type="dxa" w:w="2736"/>
            <w:shd w:val="clear" w:color="auto" w:fill="FFFFFF"/>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/acceler-presales:proposal</w:t>
            </w:r>
          </w:p>
        </w:tc>
        <w:tc>
          <w:tcPr>
            <w:tcW w:type="dxa" w:w="5112"/>
            <w:shd w:val="clear" w:color="auto" w:fill="FFFFFF"/>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Drafts the Acceler house-style program document</w:t>
            </w:r>
          </w:p>
        </w:tc>
      </w:tr>
      <w:tr>
        <w:tc>
          <w:tcPr>
            <w:tcW w:type="dxa" w:w="1872"/>
            <w:shd w:val="clear" w:color="auto" w:fill="F5F7FA"/>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Pitch deck</w:t>
            </w:r>
          </w:p>
        </w:tc>
        <w:tc>
          <w:tcPr>
            <w:tcW w:type="dxa" w:w="2736"/>
            <w:shd w:val="clear" w:color="auto" w:fill="F5F7FA"/>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/acceler-presales:proposal-deck</w:t>
            </w:r>
          </w:p>
        </w:tc>
        <w:tc>
          <w:tcPr>
            <w:tcW w:type="dxa" w:w="5112"/>
            <w:shd w:val="clear" w:color="auto" w:fill="F5F7FA"/>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Client-facing KASE HTML deck, exportable to PPTX</w:t>
            </w:r>
          </w:p>
        </w:tc>
      </w:tr>
      <w:tr>
        <w:tc>
          <w:tcPr>
            <w:tcW w:type="dxa" w:w="1872"/>
            <w:shd w:val="clear" w:color="auto" w:fill="FFFFFF"/>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Delivery deck</w:t>
            </w:r>
          </w:p>
        </w:tc>
        <w:tc>
          <w:tcPr>
            <w:tcW w:type="dxa" w:w="2736"/>
            <w:shd w:val="clear" w:color="auto" w:fill="FFFFFF"/>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/acceler-presales:session-deck</w:t>
            </w:r>
          </w:p>
        </w:tc>
        <w:tc>
          <w:tcPr>
            <w:tcW w:type="dxa" w:w="5112"/>
            <w:shd w:val="clear" w:color="auto" w:fill="FFFFFF"/>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Post-sale live-delivery deck for the instructor</w:t>
            </w:r>
          </w:p>
        </w:tc>
      </w:tr>
      <w:tr>
        <w:tc>
          <w:tcPr>
            <w:tcW w:type="dxa" w:w="1872"/>
            <w:shd w:val="clear" w:color="auto" w:fill="F5F7FA"/>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Pricing</w:t>
            </w:r>
          </w:p>
        </w:tc>
        <w:tc>
          <w:tcPr>
            <w:tcW w:type="dxa" w:w="2736"/>
            <w:shd w:val="clear" w:color="auto" w:fill="F5F7FA"/>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/acceler-presales:pricing</w:t>
            </w:r>
          </w:p>
        </w:tc>
        <w:tc>
          <w:tcPr>
            <w:tcW w:type="dxa" w:w="5112"/>
            <w:shd w:val="clear" w:color="auto" w:fill="F5F7FA"/>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Bottom-up cost stack, INR India / USD US, formula-driven Excel</w:t>
            </w:r>
          </w:p>
        </w:tc>
      </w:tr>
      <w:tr>
        <w:tc>
          <w:tcPr>
            <w:tcW w:type="dxa" w:w="1872"/>
            <w:shd w:val="clear" w:color="auto" w:fill="FFFFFF"/>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Staffing</w:t>
            </w:r>
          </w:p>
        </w:tc>
        <w:tc>
          <w:tcPr>
            <w:tcW w:type="dxa" w:w="2736"/>
            <w:shd w:val="clear" w:color="auto" w:fill="FFFFFF"/>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/acceler-presales:instructors</w:t>
            </w:r>
          </w:p>
        </w:tc>
        <w:tc>
          <w:tcPr>
            <w:tcW w:type="dxa" w:w="5112"/>
            <w:shd w:val="clear" w:color="auto" w:fill="FFFFFF"/>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Ranks SMEs from the 773-profile pool by topic + geography</w:t>
            </w:r>
          </w:p>
        </w:tc>
      </w:tr>
      <w:tr>
        <w:tc>
          <w:tcPr>
            <w:tcW w:type="dxa" w:w="1872"/>
            <w:shd w:val="clear" w:color="auto" w:fill="F5F7FA"/>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Coverage</w:t>
            </w:r>
          </w:p>
        </w:tc>
        <w:tc>
          <w:tcPr>
            <w:tcW w:type="dxa" w:w="2736"/>
            <w:shd w:val="clear" w:color="auto" w:fill="F5F7FA"/>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/acceler-presales:coverage</w:t>
            </w:r>
          </w:p>
        </w:tc>
        <w:tc>
          <w:tcPr>
            <w:tcW w:type="dxa" w:w="5112"/>
            <w:shd w:val="clear" w:color="auto" w:fill="F5F7FA"/>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Builds an RFP requirement-coverage matrix</w:t>
            </w:r>
          </w:p>
        </w:tc>
      </w:tr>
      <w:tr>
        <w:tc>
          <w:tcPr>
            <w:tcW w:type="dxa" w:w="1872"/>
            <w:shd w:val="clear" w:color="auto" w:fill="FFFFFF"/>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Full pipeline</w:t>
            </w:r>
          </w:p>
        </w:tc>
        <w:tc>
          <w:tcPr>
            <w:tcW w:type="dxa" w:w="2736"/>
            <w:shd w:val="clear" w:color="auto" w:fill="FFFFFF"/>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/acceler-presales:full-cycle</w:t>
            </w:r>
          </w:p>
        </w:tc>
        <w:tc>
          <w:tcPr>
            <w:tcW w:type="dxa" w:w="5112"/>
            <w:shd w:val="clear" w:color="auto" w:fill="FFFFFF"/>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Chains the stages above with review gates and handoffs</w:t>
            </w:r>
          </w:p>
        </w:tc>
      </w:tr>
    </w:tbl>
    <w:p>
      <w:pPr>
        <w:spacing w:after="80"/>
      </w:pPr>
    </w:p>
    <w:p>
      <w:pPr>
        <w:keepNext/>
        <w:spacing w:before="200" w:after="60"/>
      </w:pPr>
      <w:r>
        <w:rPr>
          <w:rFonts w:ascii="Calibri" w:hAnsi="Calibri"/>
          <w:b/>
          <w:i w:val="0"/>
          <w:color w:val="1690C2"/>
          <w:sz w:val="25"/>
        </w:rPr>
        <w:t>What this report covers</w:t>
      </w:r>
    </w:p>
    <w:p>
      <w:pPr>
        <w:spacing w:before="80" w:after="120"/>
      </w:pPr>
      <w:r>
        <w:rPr>
          <w:rFonts w:ascii="Calibri" w:hAnsi="Calibri"/>
          <w:b w:val="0"/>
          <w:i w:val="0"/>
          <w:color w:val="1A1A2E"/>
          <w:sz w:val="21"/>
        </w:rPr>
        <w:t>This is the single end-to-end account of Acceler Atlas — not just what was planned vs. shipped (§2), but the full system: its architecture (§3), where its judgment actually comes from (§4), its release history (§5), how to contribute to it (§6), how its Knowledge Graph is built (§7), and how another team could build the same thing for themselves (§8).</w:t>
      </w:r>
    </w:p>
    <w:p>
      <w:r>
        <w:br w:type="page"/>
      </w:r>
    </w:p>
    <w:p>
      <w:pPr>
        <w:keepNext/>
        <w:spacing w:before="440" w:after="40"/>
      </w:pPr>
      <w:r>
        <w:rPr>
          <w:rFonts w:ascii="Calibri" w:hAnsi="Calibri"/>
          <w:b/>
          <w:i w:val="0"/>
          <w:color w:val="1B2A6B"/>
          <w:sz w:val="44"/>
        </w:rPr>
        <w:t>2.  From Plan to Reality</w:t>
      </w:r>
    </w:p>
    <w:p>
      <w:pPr>
        <w:spacing w:before="0" w:after="200"/>
        <w:pBdr>
          <w:bottom w:val="single" w:sz="14" w:space="1" w:color="27B4E6"/>
        </w:pBdr>
      </w:pPr>
    </w:p>
    <w:p>
      <w:pPr>
        <w:spacing w:before="80" w:after="120"/>
      </w:pPr>
      <w:r>
        <w:rPr>
          <w:rFonts w:ascii="Calibri" w:hAnsi="Calibri"/>
          <w:b w:val="0"/>
          <w:i w:val="0"/>
          <w:color w:val="1A1A2E"/>
          <w:sz w:val="21"/>
        </w:rPr>
        <w:t>The table below maps every success criterion from the original April proposal to its actual release status. Where a number can't yet be backed by real usage data, that's called out — this report is meant to be trustworthy, not a victory lap.</w:t>
      </w:r>
    </w:p>
    <w:tbl>
      <w:tblPr>
        <w:tblW w:type="auto" w:w="0"/>
        <w:jc w:val="center"/>
        <w:tblLayout w:type="fixed"/>
        <w:tblLook w:firstColumn="1" w:firstRow="1" w:lastColumn="0" w:lastRow="0" w:noHBand="0" w:noVBand="1" w:val="04A0"/>
      </w:tblPr>
      <w:tblGrid>
        <w:gridCol w:w="2880"/>
        <w:gridCol w:w="1656"/>
        <w:gridCol w:w="5184"/>
      </w:tblGrid>
      <w:tr>
        <w:tc>
          <w:tcPr>
            <w:tcW w:type="dxa" w:w="2880"/>
            <w:shd w:val="clear" w:color="auto" w:fill="1B2A6B"/>
            <w:tcBorders>
              <w:top w:val="single" w:sz="4" w:space="0" w:color="1B2A6B"/>
              <w:left w:val="single" w:sz="4" w:space="0" w:color="1B2A6B"/>
              <w:bottom w:val="single" w:sz="4" w:space="0" w:color="1B2A6B"/>
              <w:right w:val="single" w:sz="4" w:space="0" w:color="1B2A6B"/>
            </w:tcBorders>
            <w:vAlign w:val="center"/>
          </w:tcPr>
          <w:p>
            <w:pPr>
              <w:jc w:val="left"/>
            </w:pPr>
            <w:r>
              <w:rPr>
                <w:rFonts w:ascii="Calibri" w:hAnsi="Calibri"/>
                <w:b/>
                <w:i w:val="0"/>
                <w:color w:val="FFFFFF"/>
                <w:sz w:val="19"/>
              </w:rPr>
              <w:t>Original success criterion</w:t>
            </w:r>
          </w:p>
        </w:tc>
        <w:tc>
          <w:tcPr>
            <w:tcW w:type="dxa" w:w="1656"/>
            <w:shd w:val="clear" w:color="auto" w:fill="1B2A6B"/>
            <w:tcBorders>
              <w:top w:val="single" w:sz="4" w:space="0" w:color="1B2A6B"/>
              <w:left w:val="single" w:sz="4" w:space="0" w:color="1B2A6B"/>
              <w:bottom w:val="single" w:sz="4" w:space="0" w:color="1B2A6B"/>
              <w:right w:val="single" w:sz="4" w:space="0" w:color="1B2A6B"/>
            </w:tcBorders>
            <w:vAlign w:val="center"/>
          </w:tcPr>
          <w:p>
            <w:pPr>
              <w:jc w:val="left"/>
            </w:pPr>
            <w:r>
              <w:rPr>
                <w:rFonts w:ascii="Calibri" w:hAnsi="Calibri"/>
                <w:b/>
                <w:i w:val="0"/>
                <w:color w:val="FFFFFF"/>
                <w:sz w:val="19"/>
              </w:rPr>
              <w:t>Shipped?</w:t>
            </w:r>
          </w:p>
        </w:tc>
        <w:tc>
          <w:tcPr>
            <w:tcW w:type="dxa" w:w="5184"/>
            <w:shd w:val="clear" w:color="auto" w:fill="1B2A6B"/>
            <w:tcBorders>
              <w:top w:val="single" w:sz="4" w:space="0" w:color="1B2A6B"/>
              <w:left w:val="single" w:sz="4" w:space="0" w:color="1B2A6B"/>
              <w:bottom w:val="single" w:sz="4" w:space="0" w:color="1B2A6B"/>
              <w:right w:val="single" w:sz="4" w:space="0" w:color="1B2A6B"/>
            </w:tcBorders>
            <w:vAlign w:val="center"/>
          </w:tcPr>
          <w:p>
            <w:pPr>
              <w:jc w:val="left"/>
            </w:pPr>
            <w:r>
              <w:rPr>
                <w:rFonts w:ascii="Calibri" w:hAnsi="Calibri"/>
                <w:b/>
                <w:i w:val="0"/>
                <w:color w:val="FFFFFF"/>
                <w:sz w:val="19"/>
              </w:rPr>
              <w:t>Notes</w:t>
            </w:r>
          </w:p>
        </w:tc>
      </w:tr>
      <w:tr>
        <w:tc>
          <w:tcPr>
            <w:tcW w:type="dxa" w:w="2880"/>
            <w:shd w:val="clear" w:color="auto" w:fill="FFFFFF"/>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80% cut in manual proposal time</w:t>
              <w:br/>
              <w:t>(16–24 hrs → 3–4 hrs)</w:t>
            </w:r>
          </w:p>
        </w:tc>
        <w:tc>
          <w:tcPr>
            <w:tcW w:type="dxa" w:w="1656"/>
            <w:shd w:val="clear" w:color="auto" w:fill="FFFFFF"/>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Capability shipped</w:t>
            </w:r>
          </w:p>
        </w:tc>
        <w:tc>
          <w:tcPr>
            <w:tcW w:type="dxa" w:w="5184"/>
            <w:shd w:val="clear" w:color="auto" w:fill="FFFFFF"/>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The pipeline exists end-to-end; turnaround time has not yet been formally instrumented across a sample of real proposals. Recommend logging start/finish timestamps per full-cycle run.</w:t>
            </w:r>
          </w:p>
        </w:tc>
      </w:tr>
      <w:tr>
        <w:tc>
          <w:tcPr>
            <w:tcW w:type="dxa" w:w="2880"/>
            <w:shd w:val="clear" w:color="auto" w:fill="F5F7FA"/>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100% of standard offerings automated</w:t>
              <w:br/>
              <w:t>(AI Leaders / Builders / Enablers)</w:t>
            </w:r>
          </w:p>
        </w:tc>
        <w:tc>
          <w:tcPr>
            <w:tcW w:type="dxa" w:w="1656"/>
            <w:shd w:val="clear" w:color="auto" w:fill="F5F7FA"/>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Shipped</w:t>
            </w:r>
          </w:p>
        </w:tc>
        <w:tc>
          <w:tcPr>
            <w:tcW w:type="dxa" w:w="5184"/>
            <w:shd w:val="clear" w:color="auto" w:fill="F5F7FA"/>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Doc-proposal, pricing and deck skills cover all three; house style encoded in skills/doc-proposal/SKILL.md.</w:t>
            </w:r>
          </w:p>
        </w:tc>
      </w:tr>
      <w:tr>
        <w:tc>
          <w:tcPr>
            <w:tcW w:type="dxa" w:w="2880"/>
            <w:shd w:val="clear" w:color="auto" w:fill="FFFFFF"/>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50% fewer India pricing</w:t>
              <w:br/>
              <w:t>negotiation cycles</w:t>
            </w:r>
          </w:p>
        </w:tc>
        <w:tc>
          <w:tcPr>
            <w:tcW w:type="dxa" w:w="1656"/>
            <w:shd w:val="clear" w:color="auto" w:fill="FFFFFF"/>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Partially shipped</w:t>
            </w:r>
          </w:p>
        </w:tc>
        <w:tc>
          <w:tcPr>
            <w:tcW w:type="dxa" w:w="5184"/>
            <w:shd w:val="clear" w:color="auto" w:fill="FFFFFF"/>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Pricing skill now pulls a live USD→INR rate and formula-drives the sheet (v0.2.0) — the mechanics for a right-first-time quote are in place; negotiation-cycle counts are not tracked yet.</w:t>
            </w:r>
          </w:p>
        </w:tc>
      </w:tr>
      <w:tr>
        <w:tc>
          <w:tcPr>
            <w:tcW w:type="dxa" w:w="2880"/>
            <w:shd w:val="clear" w:color="auto" w:fill="F5F7FA"/>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Zero quality degradation</w:t>
              <w:br/>
              <w:t>(Soham / Aashish review)</w:t>
            </w:r>
          </w:p>
        </w:tc>
        <w:tc>
          <w:tcPr>
            <w:tcW w:type="dxa" w:w="1656"/>
            <w:shd w:val="clear" w:color="auto" w:fill="F5F7FA"/>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Shipped, with a fix</w:t>
            </w:r>
          </w:p>
        </w:tc>
        <w:tc>
          <w:tcPr>
            <w:tcW w:type="dxa" w:w="5184"/>
            <w:shd w:val="clear" w:color="auto" w:fill="F5F7FA"/>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A real defect was caught and fixed post-release: percentage-width tables collapsed in Apple Pages (v0.4.1) — see §5.</w:t>
            </w:r>
          </w:p>
        </w:tc>
      </w:tr>
      <w:tr>
        <w:tc>
          <w:tcPr>
            <w:tcW w:type="dxa" w:w="2880"/>
            <w:shd w:val="clear" w:color="auto" w:fill="FFFFFF"/>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Mini-UT orchestrator</w:t>
              <w:br/>
              <w:t>(Utkarsh's judgment, encoded)</w:t>
            </w:r>
          </w:p>
        </w:tc>
        <w:tc>
          <w:tcPr>
            <w:tcW w:type="dxa" w:w="1656"/>
            <w:shd w:val="clear" w:color="auto" w:fill="FFFFFF"/>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Shipped</w:t>
            </w:r>
          </w:p>
        </w:tc>
        <w:tc>
          <w:tcPr>
            <w:tcW w:type="dxa" w:w="5184"/>
            <w:shd w:val="clear" w:color="auto" w:fill="FFFFFF"/>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mini-ut-context skill + full-cycle command carry routing/review-gate logic — see §4 for how the judgment itself was captured.</w:t>
            </w:r>
          </w:p>
        </w:tc>
      </w:tr>
      <w:tr>
        <w:tc>
          <w:tcPr>
            <w:tcW w:type="dxa" w:w="2880"/>
            <w:shd w:val="clear" w:color="auto" w:fill="F5F7FA"/>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Scalable foundation for</w:t>
              <w:br/>
              <w:t>global B2B expansion</w:t>
            </w:r>
          </w:p>
        </w:tc>
        <w:tc>
          <w:tcPr>
            <w:tcW w:type="dxa" w:w="1656"/>
            <w:shd w:val="clear" w:color="auto" w:fill="F5F7FA"/>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Shipped as infrastructure</w:t>
            </w:r>
          </w:p>
        </w:tc>
        <w:tc>
          <w:tcPr>
            <w:tcW w:type="dxa" w:w="5184"/>
            <w:shd w:val="clear" w:color="auto" w:fill="F5F7FA"/>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Git-marketplace distribution means any teammate with repo access installs the same pipeline — see §6.</w:t>
            </w:r>
          </w:p>
        </w:tc>
      </w:tr>
    </w:tbl>
    <w:p>
      <w:pPr>
        <w:spacing w:after="80"/>
      </w:pPr>
    </w:p>
    <w:p>
      <w:pPr>
        <w:keepNext/>
        <w:spacing w:before="320" w:after="80"/>
      </w:pPr>
      <w:r>
        <w:rPr>
          <w:rFonts w:ascii="Calibri" w:hAnsi="Calibri"/>
          <w:b/>
          <w:i w:val="0"/>
          <w:color w:val="1B2A6B"/>
          <w:sz w:val="30"/>
        </w:rPr>
        <w:t>2.1  The biggest change from the original plan</w:t>
      </w:r>
    </w:p>
    <w:p>
      <w:pPr>
        <w:spacing w:before="80" w:after="120"/>
      </w:pPr>
      <w:r>
        <w:rPr>
          <w:rFonts w:ascii="Calibri" w:hAnsi="Calibri"/>
          <w:b w:val="0"/>
          <w:i w:val="0"/>
          <w:color w:val="1A1A2E"/>
          <w:sz w:val="21"/>
        </w:rPr>
        <w:t>The April proposal imagined a single ‘deck’ output. In practice the team found the pre-sales pitch deck (what wins the deal) and the post-sales delivery deck (what an instructor runs a live session from) are different documents with different audiences, different content, and different review gates — so v0.3.0 split them into two commands, /proposal-deck and /session-deck, each with its own bundled engine. This wasn't in the original design; it emerged from actually using the tool.</w:t>
      </w:r>
    </w:p>
    <w:p>
      <w:r>
        <w:br w:type="page"/>
      </w:r>
    </w:p>
    <w:p>
      <w:pPr>
        <w:keepNext/>
        <w:spacing w:before="440" w:after="40"/>
      </w:pPr>
      <w:r>
        <w:rPr>
          <w:rFonts w:ascii="Calibri" w:hAnsi="Calibri"/>
          <w:b/>
          <w:i w:val="0"/>
          <w:color w:val="1B2A6B"/>
          <w:sz w:val="44"/>
        </w:rPr>
        <w:t>3.  System Architecture</w:t>
      </w:r>
    </w:p>
    <w:p>
      <w:pPr>
        <w:spacing w:before="0" w:after="200"/>
        <w:pBdr>
          <w:bottom w:val="single" w:sz="14" w:space="1" w:color="27B4E6"/>
        </w:pBdr>
      </w:pPr>
    </w:p>
    <w:p>
      <w:pPr>
        <w:spacing w:before="80" w:after="120"/>
      </w:pPr>
      <w:r>
        <w:rPr>
          <w:rFonts w:ascii="Calibri" w:hAnsi="Calibri"/>
          <w:b w:val="0"/>
          <w:i w:val="0"/>
          <w:color w:val="1A1A2E"/>
          <w:sz w:val="21"/>
        </w:rPr>
        <w:t>The system has two halves: a memory layer (the Knowledge Graph) and a reasoning/execution layer (the plugin's skills and commands). Neither works well without the other — the plugin gives Claude the instructions; the graph gives it precedent.</w:t>
      </w:r>
    </w:p>
    <w:p>
      <w:pPr>
        <w:keepNext/>
        <w:spacing w:before="320" w:after="80"/>
      </w:pPr>
      <w:r>
        <w:rPr>
          <w:rFonts w:ascii="Calibri" w:hAnsi="Calibri"/>
          <w:b/>
          <w:i w:val="0"/>
          <w:color w:val="1B2A6B"/>
          <w:sz w:val="30"/>
        </w:rPr>
        <w:t>3.1  The Knowledge Graph — the memory layer</w:t>
      </w:r>
    </w:p>
    <w:p>
      <w:pPr>
        <w:spacing w:before="80" w:after="120"/>
      </w:pPr>
      <w:r>
        <w:rPr>
          <w:rFonts w:ascii="Calibri" w:hAnsi="Calibri"/>
          <w:b w:val="0"/>
          <w:i w:val="0"/>
          <w:color w:val="1A1A2E"/>
          <w:sz w:val="21"/>
        </w:rPr>
        <w:t>Built from the historical Drive folder (“1. PowerUp / APR - Pre-Sales Product”), the graph indexes every past proposal, deck, costing sheet, curriculum doc and instructor record into five node types:</w:t>
      </w:r>
    </w:p>
    <w:p>
      <w:pPr>
        <w:pStyle w:val="ListBullet"/>
        <w:spacing w:after="60"/>
        <w:ind w:left="317"/>
      </w:pPr>
      <w:r>
        <w:rPr>
          <w:rFonts w:ascii="Calibri" w:hAnsi="Calibri"/>
          <w:b/>
          <w:i w:val="0"/>
          <w:color w:val="1B2A6B"/>
          <w:sz w:val="21"/>
        </w:rPr>
        <w:t>Accounts</w:t>
      </w:r>
      <w:r>
        <w:rPr>
          <w:rFonts w:ascii="Calibri" w:hAnsi="Calibri"/>
          <w:b w:val="0"/>
          <w:i w:val="0"/>
          <w:color w:val="1A1A2E"/>
          <w:sz w:val="21"/>
        </w:rPr>
        <w:t xml:space="preserve"> — all 61 client engagements the KG has seen.</w:t>
      </w:r>
    </w:p>
    <w:p>
      <w:pPr>
        <w:pStyle w:val="ListBullet"/>
        <w:spacing w:after="60"/>
        <w:ind w:left="317"/>
      </w:pPr>
      <w:r>
        <w:rPr>
          <w:rFonts w:ascii="Calibri" w:hAnsi="Calibri"/>
          <w:b/>
          <w:i w:val="0"/>
          <w:color w:val="1B2A6B"/>
          <w:sz w:val="21"/>
        </w:rPr>
        <w:t>Programs</w:t>
      </w:r>
      <w:r>
        <w:rPr>
          <w:rFonts w:ascii="Calibri" w:hAnsi="Calibri"/>
          <w:b w:val="0"/>
          <w:i w:val="0"/>
          <w:color w:val="1A1A2E"/>
          <w:sz w:val="21"/>
        </w:rPr>
        <w:t xml:space="preserve"> — the specific offerings sold to each account.</w:t>
      </w:r>
    </w:p>
    <w:p>
      <w:pPr>
        <w:pStyle w:val="ListBullet"/>
        <w:spacing w:after="60"/>
        <w:ind w:left="317"/>
      </w:pPr>
      <w:r>
        <w:rPr>
          <w:rFonts w:ascii="Calibri" w:hAnsi="Calibri"/>
          <w:b/>
          <w:i w:val="0"/>
          <w:color w:val="1B2A6B"/>
          <w:sz w:val="21"/>
        </w:rPr>
        <w:t>Topics</w:t>
      </w:r>
      <w:r>
        <w:rPr>
          <w:rFonts w:ascii="Calibri" w:hAnsi="Calibri"/>
          <w:b w:val="0"/>
          <w:i w:val="0"/>
          <w:color w:val="1A1A2E"/>
          <w:sz w:val="21"/>
        </w:rPr>
        <w:t xml:space="preserve"> — a 30-item taxonomy (Agentic AI, RAG/Retrieval, Workplace Productivity, Automation/No-Code, etc.).</w:t>
      </w:r>
    </w:p>
    <w:p>
      <w:pPr>
        <w:pStyle w:val="ListBullet"/>
        <w:spacing w:after="60"/>
        <w:ind w:left="317"/>
      </w:pPr>
      <w:r>
        <w:rPr>
          <w:rFonts w:ascii="Calibri" w:hAnsi="Calibri"/>
          <w:b/>
          <w:i w:val="0"/>
          <w:color w:val="1B2A6B"/>
          <w:sz w:val="21"/>
        </w:rPr>
        <w:t>Instructors</w:t>
      </w:r>
      <w:r>
        <w:rPr>
          <w:rFonts w:ascii="Calibri" w:hAnsi="Calibri"/>
          <w:b w:val="0"/>
          <w:i w:val="0"/>
          <w:color w:val="1A1A2E"/>
          <w:sz w:val="21"/>
        </w:rPr>
        <w:t xml:space="preserve"> — 773 deduplicated profiles, tagged by topic and geography.</w:t>
      </w:r>
    </w:p>
    <w:p>
      <w:pPr>
        <w:pStyle w:val="ListBullet"/>
        <w:spacing w:after="60"/>
        <w:ind w:left="317"/>
      </w:pPr>
      <w:r>
        <w:rPr>
          <w:rFonts w:ascii="Calibri" w:hAnsi="Calibri"/>
          <w:b/>
          <w:i w:val="0"/>
          <w:color w:val="1B2A6B"/>
          <w:sz w:val="21"/>
        </w:rPr>
        <w:t>Tools / Doc types</w:t>
      </w:r>
      <w:r>
        <w:rPr>
          <w:rFonts w:ascii="Calibri" w:hAnsi="Calibri"/>
          <w:b w:val="0"/>
          <w:i w:val="0"/>
          <w:color w:val="1A1A2E"/>
          <w:sz w:val="21"/>
        </w:rPr>
        <w:t xml:space="preserve"> — what was actually used and what was actually sent.</w:t>
      </w:r>
    </w:p>
    <w:p>
      <w:pPr>
        <w:spacing w:before="80" w:after="120"/>
      </w:pPr>
      <w:r>
        <w:rPr>
          <w:rFonts w:ascii="Calibri" w:hAnsi="Calibri"/>
          <w:b w:val="0"/>
          <w:i w:val="0"/>
          <w:color w:val="1A1A2E"/>
          <w:sz w:val="21"/>
        </w:rPr>
        <w:t>Pricing is surfaced as three labelled bands rather than a raw number dump — Rates (per-unit), Deal size (totals, only from real costing/proposal docs) and Margin % — so an agent quoting a new deal anchors to what the market has actually paid, not a guess.</w:t>
      </w:r>
    </w:p>
    <w:tbl>
      <w:tblPr>
        <w:tblW w:type="auto" w:w="0"/>
        <w:tblLook w:firstColumn="1" w:firstRow="1" w:lastColumn="0" w:lastRow="0" w:noHBand="0" w:noVBand="1" w:val="04A0"/>
      </w:tblPr>
      <w:tblGrid>
        <w:gridCol w:w="9792"/>
      </w:tblGrid>
      <w:tr>
        <w:tc>
          <w:tcPr>
            <w:tcW w:type="dxa" w:w="9792"/>
            <w:shd w:val="clear" w:color="auto" w:fill="E8F7FD"/>
            <w:tcBorders>
              <w:top w:val="single" w:sz="4" w:space="0" w:color="27B4E6"/>
              <w:left w:val="single" w:sz="4" w:space="0" w:color="27B4E6"/>
              <w:bottom w:val="single" w:sz="4" w:space="0" w:color="27B4E6"/>
              <w:right w:val="single" w:sz="4" w:space="0" w:color="27B4E6"/>
            </w:tcBorders>
          </w:tcPr>
          <w:p>
            <w:pPr>
              <w:spacing w:before="120" w:after="40"/>
            </w:pPr>
            <w:r>
              <w:rPr>
                <w:rFonts w:ascii="Calibri" w:hAnsi="Calibri"/>
                <w:b/>
                <w:i w:val="0"/>
                <w:color w:val="1B2A6B"/>
                <w:sz w:val="20"/>
              </w:rPr>
              <w:t xml:space="preserve">LIVE, RIGHT NOW  </w:t>
            </w:r>
          </w:p>
          <w:p>
            <w:pPr>
              <w:spacing w:after="120"/>
            </w:pPr>
            <w:r>
              <w:rPr>
                <w:rFonts w:ascii="Calibri" w:hAnsi="Calibri"/>
                <w:b w:val="0"/>
                <w:i w:val="0"/>
                <w:color w:val="1A1A2E"/>
                <w:sz w:val="20"/>
              </w:rPr>
              <w:t>Pre-Sales KG (all ~1,072 files): acceler-knowledge-graph.vercel.app  ·  Delivered Curriculum Graph (what past cohorts actually covered): acceler-knowledge-graph.vercel.app/curriculum-graph — both embedded directly in the Documentation Hub.</w:t>
            </w:r>
          </w:p>
        </w:tc>
      </w:tr>
    </w:tbl>
    <w:p>
      <w:pPr>
        <w:spacing w:after="40"/>
      </w:pPr>
    </w:p>
    <w:p>
      <w:pPr>
        <w:keepNext/>
        <w:spacing w:before="320" w:after="80"/>
      </w:pPr>
      <w:r>
        <w:rPr>
          <w:rFonts w:ascii="Calibri" w:hAnsi="Calibri"/>
          <w:b/>
          <w:i w:val="0"/>
          <w:color w:val="1B2A6B"/>
          <w:sz w:val="30"/>
        </w:rPr>
        <w:t>3.2  The plugin — the reasoning/execution layer</w:t>
      </w:r>
    </w:p>
    <w:p>
      <w:pPr>
        <w:spacing w:before="80" w:after="120"/>
      </w:pPr>
      <w:r>
        <w:rPr>
          <w:rFonts w:ascii="Calibri" w:hAnsi="Calibri"/>
          <w:b w:val="0"/>
          <w:i w:val="0"/>
          <w:color w:val="1A1A2E"/>
          <w:sz w:val="21"/>
        </w:rPr>
        <w:t>acceler-presales is a standard Claude Code plugin with three moving parts:</w:t>
      </w:r>
    </w:p>
    <w:p>
      <w:pPr>
        <w:pStyle w:val="ListBullet"/>
        <w:spacing w:after="60"/>
        <w:ind w:left="317"/>
      </w:pPr>
      <w:r>
        <w:rPr>
          <w:rFonts w:ascii="Calibri" w:hAnsi="Calibri"/>
          <w:b/>
          <w:i w:val="0"/>
          <w:color w:val="1B2A6B"/>
          <w:sz w:val="21"/>
        </w:rPr>
        <w:t>Skills (skills/)</w:t>
      </w:r>
      <w:r>
        <w:rPr>
          <w:rFonts w:ascii="Calibri" w:hAnsi="Calibri"/>
          <w:b w:val="0"/>
          <w:i w:val="0"/>
          <w:color w:val="1A1A2E"/>
          <w:sz w:val="21"/>
        </w:rPr>
        <w:t xml:space="preserve"> — one markdown file per capability (doc-proposal, pricing, requirement-mapping, proposal-deck, live-session-deck, pptx-deck, mini-ut-context, discovery-checklist), auto-loaded by Claude Code when relevant to the conversation.</w:t>
      </w:r>
    </w:p>
    <w:p>
      <w:pPr>
        <w:pStyle w:val="ListBullet"/>
        <w:spacing w:after="60"/>
        <w:ind w:left="317"/>
      </w:pPr>
      <w:r>
        <w:rPr>
          <w:rFonts w:ascii="Calibri" w:hAnsi="Calibri"/>
          <w:b/>
          <w:i w:val="0"/>
          <w:color w:val="1B2A6B"/>
          <w:sz w:val="21"/>
        </w:rPr>
        <w:t>Commands (commands/)</w:t>
      </w:r>
      <w:r>
        <w:rPr>
          <w:rFonts w:ascii="Calibri" w:hAnsi="Calibri"/>
          <w:b w:val="0"/>
          <w:i w:val="0"/>
          <w:color w:val="1A1A2E"/>
          <w:sz w:val="21"/>
        </w:rPr>
        <w:t xml:space="preserve"> — one slash command per pipeline stage, the deliberate entry points.</w:t>
      </w:r>
    </w:p>
    <w:p>
      <w:pPr>
        <w:pStyle w:val="ListBullet"/>
        <w:spacing w:after="60"/>
        <w:ind w:left="317"/>
      </w:pPr>
      <w:r>
        <w:rPr>
          <w:rFonts w:ascii="Calibri" w:hAnsi="Calibri"/>
          <w:b/>
          <w:i w:val="0"/>
          <w:color w:val="1B2A6B"/>
          <w:sz w:val="21"/>
        </w:rPr>
        <w:t>Knowledge (knowledge/)</w:t>
      </w:r>
      <w:r>
        <w:rPr>
          <w:rFonts w:ascii="Calibri" w:hAnsi="Calibri"/>
          <w:b w:val="0"/>
          <w:i w:val="0"/>
          <w:color w:val="1A1A2E"/>
          <w:sz w:val="21"/>
        </w:rPr>
        <w:t xml:space="preserve"> — the packaged KG output (graph.json, files.json, instr_candidates.json, INDEX.md, USING_THE_KG.md), shipped inside the plugin so it works with zero setup after install.</w:t>
      </w:r>
    </w:p>
    <w:p>
      <w:pPr>
        <w:keepNext/>
        <w:spacing w:before="320" w:after="80"/>
      </w:pPr>
      <w:r>
        <w:rPr>
          <w:rFonts w:ascii="Calibri" w:hAnsi="Calibri"/>
          <w:b/>
          <w:i w:val="0"/>
          <w:color w:val="1B2A6B"/>
          <w:sz w:val="30"/>
        </w:rPr>
        <w:t>3.3  Why no backend</w:t>
      </w:r>
    </w:p>
    <w:p>
      <w:pPr>
        <w:spacing w:before="80" w:after="120"/>
      </w:pPr>
      <w:r>
        <w:rPr>
          <w:rFonts w:ascii="Calibri" w:hAnsi="Calibri"/>
          <w:b w:val="0"/>
          <w:i w:val="0"/>
          <w:color w:val="1A1A2E"/>
          <w:sz w:val="21"/>
        </w:rPr>
        <w:t>Everything runs inside a Claude Code session — there is no server, no API key to juggle beyond whatever the user is already authenticated with (Claude Max / Pro / API), and no separate infrastructure to maintain. This was a deliberate simplicity choice: the plugin is a bundle of instructions and data, not a service.</w:t>
      </w:r>
    </w:p>
    <w:p>
      <w:r>
        <w:br w:type="page"/>
      </w:r>
    </w:p>
    <w:p>
      <w:pPr>
        <w:keepNext/>
        <w:spacing w:before="440" w:after="40"/>
      </w:pPr>
      <w:r>
        <w:rPr>
          <w:rFonts w:ascii="Calibri" w:hAnsi="Calibri"/>
          <w:b/>
          <w:i w:val="0"/>
          <w:color w:val="1B2A6B"/>
          <w:sz w:val="44"/>
        </w:rPr>
        <w:t>4.  Where Mini-UT's Judgment Comes From</w:t>
      </w:r>
    </w:p>
    <w:p>
      <w:pPr>
        <w:spacing w:before="0" w:after="200"/>
        <w:pBdr>
          <w:bottom w:val="single" w:sz="14" w:space="1" w:color="27B4E6"/>
        </w:pBdr>
      </w:pPr>
    </w:p>
    <w:p>
      <w:pPr>
        <w:spacing w:before="80" w:after="120"/>
      </w:pPr>
      <w:r>
        <w:rPr>
          <w:rFonts w:ascii="Calibri" w:hAnsi="Calibri"/>
          <w:b w:val="0"/>
          <w:i w:val="0"/>
          <w:color w:val="1A1A2E"/>
          <w:sz w:val="21"/>
        </w:rPr>
        <w:t>The KG (§3.1) supplies precedent — what was pitched, at what price, to whom. That alone doesn't explain how to weigh a tradeoff, when to escalate to Soham vs. push back on a client, or how much to compress a timeline before quality suffers. That layer — the mini-ut-context skill — was built differently: not written as a rulebook, but mined from Utkarsh's own conversation history — his actual chats with Claude, ChatGPT, and other AI tools across months of real B2B pre-sales work, plus the day-to-day pre-sales conversations themselves.</w:t>
      </w:r>
    </w:p>
    <w:p>
      <w:pPr>
        <w:spacing w:before="80" w:after="120"/>
      </w:pPr>
      <w:r>
        <w:rPr>
          <w:rFonts w:ascii="Calibri" w:hAnsi="Calibri"/>
          <w:b w:val="0"/>
          <w:i w:val="0"/>
          <w:color w:val="1A1A2E"/>
          <w:sz w:val="21"/>
        </w:rPr>
        <w:t>The point isn't the transcripts — it's the reasoning pattern underneath them: how he scopes an ambiguous brief, what he asks before quoting India pricing, when “standard offering” quietly becomes “needs an NPT,” how he phrases pushback to a client without sounding defensive. None of that lives in a style guide. It lives in hundreds of real decisions he already made out loud, across tools, over time — and that history is what got compressed into context.md and utkarsh_context.md.</w:t>
      </w:r>
    </w:p>
    <w:tbl>
      <w:tblPr>
        <w:tblW w:type="auto" w:w="0"/>
        <w:tblLook w:firstColumn="1" w:firstRow="1" w:lastColumn="0" w:lastRow="0" w:noHBand="0" w:noVBand="1" w:val="04A0"/>
      </w:tblPr>
      <w:tblGrid>
        <w:gridCol w:w="9792"/>
      </w:tblGrid>
      <w:tr>
        <w:tc>
          <w:tcPr>
            <w:tcW w:type="dxa" w:w="9792"/>
            <w:shd w:val="clear" w:color="auto" w:fill="EAFBF3"/>
            <w:tcBorders>
              <w:top w:val="single" w:sz="4" w:space="0" w:color="0A8754"/>
              <w:left w:val="single" w:sz="4" w:space="0" w:color="0A8754"/>
              <w:bottom w:val="single" w:sz="4" w:space="0" w:color="0A8754"/>
              <w:right w:val="single" w:sz="4" w:space="0" w:color="0A8754"/>
            </w:tcBorders>
          </w:tcPr>
          <w:p>
            <w:pPr>
              <w:spacing w:before="120" w:after="40"/>
            </w:pPr>
            <w:r>
              <w:rPr>
                <w:rFonts w:ascii="Calibri" w:hAnsi="Calibri"/>
                <w:b/>
                <w:i w:val="0"/>
                <w:color w:val="1B2A6B"/>
                <w:sz w:val="20"/>
              </w:rPr>
              <w:t xml:space="preserve">WHY THIS MATTERS  </w:t>
            </w:r>
          </w:p>
          <w:p>
            <w:pPr>
              <w:spacing w:after="120"/>
            </w:pPr>
            <w:r>
              <w:rPr>
                <w:rFonts w:ascii="Calibri" w:hAnsi="Calibri"/>
                <w:b w:val="0"/>
                <w:i w:val="0"/>
                <w:color w:val="1A1A2E"/>
                <w:sz w:val="20"/>
              </w:rPr>
              <w:t>This is the difference between a plugin that retrieves precedent and one that argues about scope the way Utkarsh actually would. It's also the part of this system that is hardest to copy from a template — see §8: for another team, the most valuable input isn't a polished document, it's the decision-maker's own messy, unfiltered chat history with whatever AI tools they already use.</w:t>
            </w:r>
          </w:p>
        </w:tc>
      </w:tr>
    </w:tbl>
    <w:p>
      <w:pPr>
        <w:spacing w:after="40"/>
      </w:pPr>
    </w:p>
    <w:p>
      <w:r>
        <w:br w:type="page"/>
      </w:r>
    </w:p>
    <w:p>
      <w:pPr>
        <w:keepNext/>
        <w:spacing w:before="440" w:after="40"/>
      </w:pPr>
      <w:r>
        <w:rPr>
          <w:rFonts w:ascii="Calibri" w:hAnsi="Calibri"/>
          <w:b/>
          <w:i w:val="0"/>
          <w:color w:val="1B2A6B"/>
          <w:sz w:val="44"/>
        </w:rPr>
        <w:t>5.  Release Timeline</w:t>
      </w:r>
    </w:p>
    <w:p>
      <w:pPr>
        <w:spacing w:before="0" w:after="200"/>
        <w:pBdr>
          <w:bottom w:val="single" w:sz="14" w:space="1" w:color="27B4E6"/>
        </w:pBdr>
      </w:pPr>
    </w:p>
    <w:p>
      <w:pPr>
        <w:spacing w:before="80" w:after="120"/>
      </w:pPr>
      <w:r>
        <w:rPr>
          <w:rFonts w:ascii="Calibri" w:hAnsi="Calibri"/>
          <w:b w:val="0"/>
          <w:i w:val="0"/>
          <w:color w:val="1A1A2E"/>
          <w:sz w:val="21"/>
        </w:rPr>
        <w:t>Four releases since the initial cut. Each version bump is what makes an update actually reach teammates — see §6 for the mechanics.</w:t>
      </w:r>
    </w:p>
    <w:tbl>
      <w:tblPr>
        <w:tblW w:type="auto" w:w="0"/>
        <w:jc w:val="center"/>
        <w:tblLayout w:type="fixed"/>
        <w:tblLook w:firstColumn="1" w:firstRow="1" w:lastColumn="0" w:lastRow="0" w:noHBand="0" w:noVBand="1" w:val="04A0"/>
      </w:tblPr>
      <w:tblGrid>
        <w:gridCol w:w="1224"/>
        <w:gridCol w:w="1584"/>
        <w:gridCol w:w="6912"/>
      </w:tblGrid>
      <w:tr>
        <w:tc>
          <w:tcPr>
            <w:tcW w:type="dxa" w:w="1224"/>
            <w:shd w:val="clear" w:color="auto" w:fill="1B2A6B"/>
            <w:tcBorders>
              <w:top w:val="single" w:sz="4" w:space="0" w:color="1B2A6B"/>
              <w:left w:val="single" w:sz="4" w:space="0" w:color="1B2A6B"/>
              <w:bottom w:val="single" w:sz="4" w:space="0" w:color="1B2A6B"/>
              <w:right w:val="single" w:sz="4" w:space="0" w:color="1B2A6B"/>
            </w:tcBorders>
            <w:vAlign w:val="center"/>
          </w:tcPr>
          <w:p>
            <w:pPr>
              <w:jc w:val="left"/>
            </w:pPr>
            <w:r>
              <w:rPr>
                <w:rFonts w:ascii="Calibri" w:hAnsi="Calibri"/>
                <w:b/>
                <w:i w:val="0"/>
                <w:color w:val="FFFFFF"/>
                <w:sz w:val="19"/>
              </w:rPr>
              <w:t>Version</w:t>
            </w:r>
          </w:p>
        </w:tc>
        <w:tc>
          <w:tcPr>
            <w:tcW w:type="dxa" w:w="1584"/>
            <w:shd w:val="clear" w:color="auto" w:fill="1B2A6B"/>
            <w:tcBorders>
              <w:top w:val="single" w:sz="4" w:space="0" w:color="1B2A6B"/>
              <w:left w:val="single" w:sz="4" w:space="0" w:color="1B2A6B"/>
              <w:bottom w:val="single" w:sz="4" w:space="0" w:color="1B2A6B"/>
              <w:right w:val="single" w:sz="4" w:space="0" w:color="1B2A6B"/>
            </w:tcBorders>
            <w:vAlign w:val="center"/>
          </w:tcPr>
          <w:p>
            <w:pPr>
              <w:jc w:val="left"/>
            </w:pPr>
            <w:r>
              <w:rPr>
                <w:rFonts w:ascii="Calibri" w:hAnsi="Calibri"/>
                <w:b/>
                <w:i w:val="0"/>
                <w:color w:val="FFFFFF"/>
                <w:sz w:val="19"/>
              </w:rPr>
              <w:t>Date</w:t>
            </w:r>
          </w:p>
        </w:tc>
        <w:tc>
          <w:tcPr>
            <w:tcW w:type="dxa" w:w="6912"/>
            <w:shd w:val="clear" w:color="auto" w:fill="1B2A6B"/>
            <w:tcBorders>
              <w:top w:val="single" w:sz="4" w:space="0" w:color="1B2A6B"/>
              <w:left w:val="single" w:sz="4" w:space="0" w:color="1B2A6B"/>
              <w:bottom w:val="single" w:sz="4" w:space="0" w:color="1B2A6B"/>
              <w:right w:val="single" w:sz="4" w:space="0" w:color="1B2A6B"/>
            </w:tcBorders>
            <w:vAlign w:val="center"/>
          </w:tcPr>
          <w:p>
            <w:pPr>
              <w:jc w:val="left"/>
            </w:pPr>
            <w:r>
              <w:rPr>
                <w:rFonts w:ascii="Calibri" w:hAnsi="Calibri"/>
                <w:b/>
                <w:i w:val="0"/>
                <w:color w:val="FFFFFF"/>
                <w:sz w:val="19"/>
              </w:rPr>
              <w:t>What changed</w:t>
            </w:r>
          </w:p>
        </w:tc>
      </w:tr>
      <w:tr>
        <w:tc>
          <w:tcPr>
            <w:tcW w:type="dxa" w:w="1224"/>
            <w:shd w:val="clear" w:color="auto" w:fill="FFFFFF"/>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0.1.0</w:t>
            </w:r>
          </w:p>
        </w:tc>
        <w:tc>
          <w:tcPr>
            <w:tcW w:type="dxa" w:w="1584"/>
            <w:shd w:val="clear" w:color="auto" w:fill="FFFFFF"/>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Initial</w:t>
            </w:r>
          </w:p>
        </w:tc>
        <w:tc>
          <w:tcPr>
            <w:tcW w:type="dxa" w:w="6912"/>
            <w:shd w:val="clear" w:color="auto" w:fill="FFFFFF"/>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Core pipeline: discovery → similar → proposal → deck → pricing → instructors, powered by the KG.</w:t>
            </w:r>
          </w:p>
        </w:tc>
      </w:tr>
      <w:tr>
        <w:tc>
          <w:tcPr>
            <w:tcW w:type="dxa" w:w="1224"/>
            <w:shd w:val="clear" w:color="auto" w:fill="F5F7FA"/>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0.2.0</w:t>
            </w:r>
          </w:p>
        </w:tc>
        <w:tc>
          <w:tcPr>
            <w:tcW w:type="dxa" w:w="1584"/>
            <w:shd w:val="clear" w:color="auto" w:fill="F5F7FA"/>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26 Jun 2026</w:t>
            </w:r>
          </w:p>
        </w:tc>
        <w:tc>
          <w:tcPr>
            <w:tcW w:type="dxa" w:w="6912"/>
            <w:shd w:val="clear" w:color="auto" w:fill="F5F7FA"/>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Pricing skill: Excel is now the default deliverable, formula-driven off yellow assumption cells; live USD→INR FX rule (no more hardcoded rate); instructors command fixed to read from graph.json with a pre-sales-only vs deliverable split.</w:t>
            </w:r>
          </w:p>
        </w:tc>
      </w:tr>
      <w:tr>
        <w:tc>
          <w:tcPr>
            <w:tcW w:type="dxa" w:w="1224"/>
            <w:shd w:val="clear" w:color="auto" w:fill="FFFFFF"/>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0.3.0</w:t>
            </w:r>
          </w:p>
        </w:tc>
        <w:tc>
          <w:tcPr>
            <w:tcW w:type="dxa" w:w="1584"/>
            <w:shd w:val="clear" w:color="auto" w:fill="FFFFFF"/>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01 Jul 2026</w:t>
            </w:r>
          </w:p>
        </w:tc>
        <w:tc>
          <w:tcPr>
            <w:tcW w:type="dxa" w:w="6912"/>
            <w:shd w:val="clear" w:color="auto" w:fill="FFFFFF"/>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Deck split: /proposal-deck (pre-sales pitch, KASE engine) separated from /session-deck (post-sales delivery, renamed from the old /deck). The single combined command had been mislabeling the delivery deck as the pitch deck.</w:t>
            </w:r>
          </w:p>
        </w:tc>
      </w:tr>
      <w:tr>
        <w:tc>
          <w:tcPr>
            <w:tcW w:type="dxa" w:w="1224"/>
            <w:shd w:val="clear" w:color="auto" w:fill="F5F7FA"/>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0.4.0</w:t>
            </w:r>
          </w:p>
        </w:tc>
        <w:tc>
          <w:tcPr>
            <w:tcW w:type="dxa" w:w="1584"/>
            <w:shd w:val="clear" w:color="auto" w:fill="F5F7FA"/>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01 Jul 2026</w:t>
            </w:r>
          </w:p>
        </w:tc>
        <w:tc>
          <w:tcPr>
            <w:tcW w:type="dxa" w:w="6912"/>
            <w:shd w:val="clear" w:color="auto" w:fill="F5F7FA"/>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HTML→PPTX converter (build_pptx.py) bundled directly with its skill — previously referenced but missing, so teammates couldn't actually run the export. Deck sources verified byte-identical to their canonical builder folders.</w:t>
            </w:r>
          </w:p>
        </w:tc>
      </w:tr>
      <w:tr>
        <w:tc>
          <w:tcPr>
            <w:tcW w:type="dxa" w:w="1224"/>
            <w:shd w:val="clear" w:color="auto" w:fill="FFFFFF"/>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0.4.1</w:t>
            </w:r>
          </w:p>
        </w:tc>
        <w:tc>
          <w:tcPr>
            <w:tcW w:type="dxa" w:w="1584"/>
            <w:shd w:val="clear" w:color="auto" w:fill="FFFFFF"/>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16 Jul 2026</w:t>
            </w:r>
          </w:p>
        </w:tc>
        <w:tc>
          <w:tcPr>
            <w:tcW w:type="dxa" w:w="6912"/>
            <w:shd w:val="clear" w:color="auto" w:fill="FFFFFF"/>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Fixed a real production bug: percentage-width Word tables collapsed to a single vertical column in Apple Pages (hit live on the DPR Construction proposal — a 2-page doc ballooned to ~19 pages). Fixed by mandating fixed table layout + explicit DXA column widths.</w:t>
            </w:r>
          </w:p>
        </w:tc>
      </w:tr>
    </w:tbl>
    <w:p>
      <w:pPr>
        <w:spacing w:after="80"/>
      </w:pPr>
    </w:p>
    <w:p>
      <w:pPr>
        <w:keepNext/>
        <w:spacing w:before="200" w:after="60"/>
      </w:pPr>
      <w:r>
        <w:rPr>
          <w:rFonts w:ascii="Calibri" w:hAnsi="Calibri"/>
          <w:b/>
          <w:i w:val="0"/>
          <w:color w:val="1690C2"/>
          <w:sz w:val="25"/>
        </w:rPr>
        <w:t>Reading the 0.4.1 fix</w:t>
      </w:r>
    </w:p>
    <w:p>
      <w:pPr>
        <w:spacing w:before="80" w:after="120"/>
      </w:pPr>
      <w:r>
        <w:rPr>
          <w:rFonts w:ascii="Calibri" w:hAnsi="Calibri"/>
          <w:b w:val="0"/>
          <w:i w:val="0"/>
          <w:color w:val="1A1A2E"/>
          <w:sz w:val="21"/>
        </w:rPr>
        <w:t>This is worth calling out on its own: it's the clearest evidence the system is being used for real client work, not just demoed. The Word-table bug only surfaces when someone opens a generated proposal in Apple Pages instead of MS Word — that's a real teammate, on a real deal, hitting a real edge case, which then became a permanent rule in the skill's build-script pattern and its quality checklist.</w:t>
      </w:r>
    </w:p>
    <w:p>
      <w:pPr>
        <w:keepNext/>
        <w:spacing w:before="320" w:after="80"/>
      </w:pPr>
      <w:r>
        <w:rPr>
          <w:rFonts w:ascii="Calibri" w:hAnsi="Calibri"/>
          <w:b/>
          <w:i w:val="0"/>
          <w:color w:val="1B2A6B"/>
          <w:sz w:val="30"/>
        </w:rPr>
        <w:t>5.1  Distribution: why Git over local files</w:t>
      </w:r>
    </w:p>
    <w:p>
      <w:pPr>
        <w:spacing w:before="80" w:after="120"/>
      </w:pPr>
      <w:r>
        <w:rPr>
          <w:rFonts w:ascii="Calibri" w:hAnsi="Calibri"/>
          <w:b w:val="0"/>
          <w:i w:val="0"/>
          <w:color w:val="1A1A2E"/>
          <w:sz w:val="21"/>
        </w:rPr>
        <w:t>The plugin ships through a private GitHub marketplace — the repo voldemortuk/acceler-presales-plugin both is the marketplace (via .claude-plugin/marketplace.json) and holds the plugin source. This replaced an earlier local-file method (setup.sh symlinking into a locally-synced Drive folder), now deprecated in favour of Git as the single source of truth.</w:t>
      </w:r>
    </w:p>
    <w:tbl>
      <w:tblPr>
        <w:tblW w:type="auto" w:w="0"/>
        <w:jc w:val="center"/>
        <w:tblLayout w:type="fixed"/>
        <w:tblLook w:firstColumn="1" w:firstRow="1" w:lastColumn="0" w:lastRow="0" w:noHBand="0" w:noVBand="1" w:val="04A0"/>
      </w:tblPr>
      <w:tblGrid>
        <w:gridCol w:w="1440"/>
        <w:gridCol w:w="4104"/>
        <w:gridCol w:w="4176"/>
      </w:tblGrid>
      <w:tr>
        <w:tc>
          <w:tcPr>
            <w:tcW w:type="dxa" w:w="1440"/>
            <w:shd w:val="clear" w:color="auto" w:fill="1B2A6B"/>
            <w:tcBorders>
              <w:top w:val="single" w:sz="4" w:space="0" w:color="1B2A6B"/>
              <w:left w:val="single" w:sz="4" w:space="0" w:color="1B2A6B"/>
              <w:bottom w:val="single" w:sz="4" w:space="0" w:color="1B2A6B"/>
              <w:right w:val="single" w:sz="4" w:space="0" w:color="1B2A6B"/>
            </w:tcBorders>
            <w:vAlign w:val="center"/>
          </w:tcPr>
          <w:p>
            <w:pPr>
              <w:jc w:val="left"/>
            </w:pPr>
            <w:r>
              <w:rPr>
                <w:rFonts w:ascii="Calibri" w:hAnsi="Calibri"/>
                <w:b/>
                <w:i w:val="0"/>
                <w:color w:val="FFFFFF"/>
                <w:sz w:val="19"/>
              </w:rPr>
            </w:r>
          </w:p>
        </w:tc>
        <w:tc>
          <w:tcPr>
            <w:tcW w:type="dxa" w:w="4104"/>
            <w:shd w:val="clear" w:color="auto" w:fill="1B2A6B"/>
            <w:tcBorders>
              <w:top w:val="single" w:sz="4" w:space="0" w:color="1B2A6B"/>
              <w:left w:val="single" w:sz="4" w:space="0" w:color="1B2A6B"/>
              <w:bottom w:val="single" w:sz="4" w:space="0" w:color="1B2A6B"/>
              <w:right w:val="single" w:sz="4" w:space="0" w:color="1B2A6B"/>
            </w:tcBorders>
            <w:vAlign w:val="center"/>
          </w:tcPr>
          <w:p>
            <w:pPr>
              <w:jc w:val="left"/>
            </w:pPr>
            <w:r>
              <w:rPr>
                <w:rFonts w:ascii="Calibri" w:hAnsi="Calibri"/>
                <w:b/>
                <w:i w:val="0"/>
                <w:color w:val="FFFFFF"/>
                <w:sz w:val="19"/>
              </w:rPr>
              <w:t>Old: local-file method</w:t>
            </w:r>
          </w:p>
        </w:tc>
        <w:tc>
          <w:tcPr>
            <w:tcW w:type="dxa" w:w="4176"/>
            <w:shd w:val="clear" w:color="auto" w:fill="1B2A6B"/>
            <w:tcBorders>
              <w:top w:val="single" w:sz="4" w:space="0" w:color="1B2A6B"/>
              <w:left w:val="single" w:sz="4" w:space="0" w:color="1B2A6B"/>
              <w:bottom w:val="single" w:sz="4" w:space="0" w:color="1B2A6B"/>
              <w:right w:val="single" w:sz="4" w:space="0" w:color="1B2A6B"/>
            </w:tcBorders>
            <w:vAlign w:val="center"/>
          </w:tcPr>
          <w:p>
            <w:pPr>
              <w:jc w:val="left"/>
            </w:pPr>
            <w:r>
              <w:rPr>
                <w:rFonts w:ascii="Calibri" w:hAnsi="Calibri"/>
                <w:b/>
                <w:i w:val="0"/>
                <w:color w:val="FFFFFF"/>
                <w:sz w:val="19"/>
              </w:rPr>
              <w:t>Current: Git marketplace</w:t>
            </w:r>
          </w:p>
        </w:tc>
      </w:tr>
      <w:tr>
        <w:tc>
          <w:tcPr>
            <w:tcW w:type="dxa" w:w="1440"/>
            <w:shd w:val="clear" w:color="auto" w:fill="FFFFFF"/>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Setup</w:t>
            </w:r>
          </w:p>
        </w:tc>
        <w:tc>
          <w:tcPr>
            <w:tcW w:type="dxa" w:w="4104"/>
            <w:shd w:val="clear" w:color="auto" w:fill="FFFFFF"/>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Clone/rsync the Drive folder, run setup.sh, hope symlinks resolve</w:t>
            </w:r>
          </w:p>
        </w:tc>
        <w:tc>
          <w:tcPr>
            <w:tcW w:type="dxa" w:w="4176"/>
            <w:shd w:val="clear" w:color="auto" w:fill="FFFFFF"/>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Two slash commands, no local folder required to use it</w:t>
            </w:r>
          </w:p>
        </w:tc>
      </w:tr>
      <w:tr>
        <w:tc>
          <w:tcPr>
            <w:tcW w:type="dxa" w:w="1440"/>
            <w:shd w:val="clear" w:color="auto" w:fill="F5F7FA"/>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Updates</w:t>
            </w:r>
          </w:p>
        </w:tc>
        <w:tc>
          <w:tcPr>
            <w:tcW w:type="dxa" w:w="4104"/>
            <w:shd w:val="clear" w:color="auto" w:fill="F5F7FA"/>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Manual — re-sync and re-run setup.sh</w:t>
            </w:r>
          </w:p>
        </w:tc>
        <w:tc>
          <w:tcPr>
            <w:tcW w:type="dxa" w:w="4176"/>
            <w:shd w:val="clear" w:color="auto" w:fill="F5F7FA"/>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/plugin marketplace update acceler-local</w:t>
            </w:r>
          </w:p>
        </w:tc>
      </w:tr>
      <w:tr>
        <w:tc>
          <w:tcPr>
            <w:tcW w:type="dxa" w:w="1440"/>
            <w:shd w:val="clear" w:color="auto" w:fill="FFFFFF"/>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Source of truth</w:t>
            </w:r>
          </w:p>
        </w:tc>
        <w:tc>
          <w:tcPr>
            <w:tcW w:type="dxa" w:w="4104"/>
            <w:shd w:val="clear" w:color="auto" w:fill="FFFFFF"/>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Ambiguous — could drift between local copy and Drive</w:t>
            </w:r>
          </w:p>
        </w:tc>
        <w:tc>
          <w:tcPr>
            <w:tcW w:type="dxa" w:w="4176"/>
            <w:shd w:val="clear" w:color="auto" w:fill="FFFFFF"/>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Single repo; CONTRIBUTING.md says explicitly: edit here, not the local copy</w:t>
            </w:r>
          </w:p>
        </w:tc>
      </w:tr>
      <w:tr>
        <w:tc>
          <w:tcPr>
            <w:tcW w:type="dxa" w:w="1440"/>
            <w:shd w:val="clear" w:color="auto" w:fill="F5F7FA"/>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Access control</w:t>
            </w:r>
          </w:p>
        </w:tc>
        <w:tc>
          <w:tcPr>
            <w:tcW w:type="dxa" w:w="4104"/>
            <w:shd w:val="clear" w:color="auto" w:fill="F5F7FA"/>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Whoever has Drive access</w:t>
            </w:r>
          </w:p>
        </w:tc>
        <w:tc>
          <w:tcPr>
            <w:tcW w:type="dxa" w:w="4176"/>
            <w:shd w:val="clear" w:color="auto" w:fill="F5F7FA"/>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GitHub collaborator list, explicitly managed</w:t>
            </w:r>
          </w:p>
        </w:tc>
      </w:tr>
    </w:tbl>
    <w:p>
      <w:pPr>
        <w:spacing w:after="80"/>
      </w:pPr>
    </w:p>
    <w:p>
      <w:r>
        <w:br w:type="page"/>
      </w:r>
    </w:p>
    <w:p>
      <w:pPr>
        <w:keepNext/>
        <w:spacing w:before="440" w:after="40"/>
      </w:pPr>
      <w:r>
        <w:rPr>
          <w:rFonts w:ascii="Calibri" w:hAnsi="Calibri"/>
          <w:b/>
          <w:i w:val="0"/>
          <w:color w:val="1B2A6B"/>
          <w:sz w:val="44"/>
        </w:rPr>
        <w:t>6.  Contribute via GitHub</w:t>
      </w:r>
    </w:p>
    <w:p>
      <w:pPr>
        <w:spacing w:before="0" w:after="200"/>
        <w:pBdr>
          <w:bottom w:val="single" w:sz="14" w:space="1" w:color="27B4E6"/>
        </w:pBdr>
      </w:pPr>
    </w:p>
    <w:p>
      <w:pPr>
        <w:spacing w:before="80" w:after="120"/>
      </w:pPr>
      <w:r>
        <w:rPr>
          <w:rFonts w:ascii="Calibri" w:hAnsi="Calibri"/>
          <w:b w:val="0"/>
          <w:i w:val="0"/>
          <w:color w:val="1A1A2E"/>
          <w:sz w:val="21"/>
        </w:rPr>
        <w:t>The repo is the marketplace and the plugin source — edit here, not in any local …/APR - Pre-Sales Product/acceler-presales-plugin copy, which is a stale mirror, not the source of truth.</w:t>
      </w:r>
    </w:p>
    <w:p>
      <w:pPr>
        <w:pStyle w:val="ListNumber"/>
        <w:spacing w:after="60"/>
      </w:pPr>
      <w:r>
        <w:rPr>
          <w:rFonts w:ascii="Calibri" w:hAnsi="Calibri"/>
          <w:b/>
          <w:i w:val="0"/>
          <w:color w:val="1B2A6B"/>
          <w:sz w:val="21"/>
        </w:rPr>
        <w:t xml:space="preserve">Get added as a collaborator. </w:t>
      </w:r>
      <w:r>
        <w:rPr>
          <w:rFonts w:ascii="Calibri" w:hAnsi="Calibri"/>
          <w:b w:val="0"/>
          <w:i w:val="0"/>
          <w:color w:val="1A1A2E"/>
          <w:sz w:val="21"/>
        </w:rPr>
        <w:t>Ask Utkarsh for access to voldemortuk/acceler-presales-plugin, then branch off main.</w:t>
      </w:r>
    </w:p>
    <w:p>
      <w:pPr>
        <w:pStyle w:val="ListNumber"/>
        <w:spacing w:after="60"/>
      </w:pPr>
      <w:r>
        <w:rPr>
          <w:rFonts w:ascii="Calibri" w:hAnsi="Calibri"/>
          <w:b/>
          <w:i w:val="0"/>
          <w:color w:val="1B2A6B"/>
          <w:sz w:val="21"/>
        </w:rPr>
        <w:t xml:space="preserve">Make the change. </w:t>
      </w:r>
      <w:r>
        <w:rPr>
          <w:rFonts w:ascii="Calibri" w:hAnsi="Calibri"/>
          <w:b w:val="0"/>
          <w:i w:val="0"/>
          <w:color w:val="1A1A2E"/>
          <w:sz w:val="21"/>
        </w:rPr>
        <w:t>Edit the relevant commands/*.md, skills/*/SKILL.md, or knowledge/* files directly.</w:t>
      </w:r>
    </w:p>
    <w:p>
      <w:pPr>
        <w:pStyle w:val="ListNumber"/>
        <w:spacing w:after="60"/>
      </w:pPr>
      <w:r>
        <w:rPr>
          <w:rFonts w:ascii="Calibri" w:hAnsi="Calibri"/>
          <w:b/>
          <w:i w:val="0"/>
          <w:color w:val="1B2A6B"/>
          <w:sz w:val="21"/>
        </w:rPr>
        <w:t xml:space="preserve">Bump the version </w:t>
      </w:r>
      <w:r>
        <w:rPr>
          <w:rFonts w:ascii="Calibri" w:hAnsi="Calibri"/>
          <w:b w:val="0"/>
          <w:i w:val="0"/>
          <w:color w:val="1A1A2E"/>
          <w:sz w:val="21"/>
        </w:rPr>
        <w:t>in .claude-plugin/plugin.json (e.g. 0.4.1 → 0.4.2) and add a CHANGELOG.md entry. This is the step people forget — skip it and teammates keep the cached copy; the fix never ships.</w:t>
      </w:r>
    </w:p>
    <w:p>
      <w:pPr>
        <w:pStyle w:val="ListNumber"/>
        <w:spacing w:after="60"/>
      </w:pPr>
      <w:r>
        <w:rPr>
          <w:rFonts w:ascii="Calibri" w:hAnsi="Calibri"/>
          <w:b/>
          <w:i w:val="0"/>
          <w:color w:val="1B2A6B"/>
          <w:sz w:val="21"/>
        </w:rPr>
        <w:t xml:space="preserve">Validate before pushing: </w:t>
      </w:r>
      <w:r>
        <w:rPr>
          <w:rFonts w:ascii="Calibri" w:hAnsi="Calibri"/>
          <w:b w:val="0"/>
          <w:i w:val="0"/>
          <w:color w:val="1A1A2E"/>
          <w:sz w:val="21"/>
        </w:rPr>
        <w:t>claude plugin validate .</w:t>
      </w:r>
    </w:p>
    <w:p>
      <w:pPr>
        <w:pStyle w:val="ListNumber"/>
        <w:spacing w:after="60"/>
      </w:pPr>
      <w:r>
        <w:rPr>
          <w:rFonts w:ascii="Calibri" w:hAnsi="Calibri"/>
          <w:b/>
          <w:i w:val="0"/>
          <w:color w:val="1B2A6B"/>
          <w:sz w:val="21"/>
        </w:rPr>
        <w:t xml:space="preserve">Open a PR. </w:t>
      </w:r>
      <w:r>
        <w:rPr>
          <w:rFonts w:ascii="Calibri" w:hAnsi="Calibri"/>
          <w:b w:val="0"/>
          <w:i w:val="0"/>
          <w:color w:val="1A1A2E"/>
          <w:sz w:val="21"/>
        </w:rPr>
        <w:t>On merge, teammates pick it up with /plugin marketplace update acceler-local — no further action needed.</w:t>
      </w:r>
    </w:p>
    <w:tbl>
      <w:tblPr>
        <w:tblW w:type="auto" w:w="0"/>
        <w:jc w:val="center"/>
        <w:tblLook w:firstColumn="1" w:firstRow="1" w:lastColumn="0" w:lastRow="0" w:noHBand="0" w:noVBand="1" w:val="04A0"/>
      </w:tblPr>
      <w:tblGrid>
        <w:gridCol w:w="9792"/>
      </w:tblGrid>
      <w:tr>
        <w:tc>
          <w:tcPr>
            <w:tcW w:type="dxa" w:w="9792"/>
            <w:shd w:val="clear" w:color="auto" w:fill="0E1640"/>
            <w:tcBorders>
              <w:top w:val="single" w:sz="4" w:space="0" w:color="0E1640"/>
              <w:left w:val="single" w:sz="4" w:space="0" w:color="0E1640"/>
              <w:bottom w:val="single" w:sz="4" w:space="0" w:color="0E1640"/>
              <w:right w:val="single" w:sz="4" w:space="0" w:color="0E1640"/>
            </w:tcBorders>
          </w:tcPr>
          <w:p>
            <w:pPr>
              <w:spacing w:before="20" w:after="20"/>
            </w:pPr>
            <w:r>
              <w:rPr>
                <w:rFonts w:ascii="Consolas" w:hAnsi="Consolas"/>
                <w:b w:val="0"/>
                <w:i w:val="0"/>
                <w:color w:val="D7E3F4"/>
                <w:sz w:val="19"/>
              </w:rPr>
              <w:t>git checkout -b fix/pricing-fx-rule</w:t>
            </w:r>
          </w:p>
          <w:p>
            <w:pPr>
              <w:spacing w:before="20" w:after="20"/>
            </w:pPr>
            <w:r>
              <w:rPr>
                <w:rFonts w:ascii="Consolas" w:hAnsi="Consolas"/>
                <w:b w:val="0"/>
                <w:i w:val="0"/>
                <w:color w:val="D7E3F4"/>
                <w:sz w:val="19"/>
              </w:rPr>
              <w:t># ...edit skills/pricing/SKILL.md...</w:t>
            </w:r>
          </w:p>
          <w:p>
            <w:pPr>
              <w:spacing w:before="20" w:after="20"/>
            </w:pPr>
            <w:r>
              <w:rPr>
                <w:rFonts w:ascii="Consolas" w:hAnsi="Consolas"/>
                <w:b w:val="0"/>
                <w:i w:val="0"/>
                <w:color w:val="D7E3F4"/>
                <w:sz w:val="19"/>
              </w:rPr>
              <w:t># bump version in .claude-plugin/plugin.json, add CHANGELOG.md entry</w:t>
            </w:r>
          </w:p>
          <w:p>
            <w:pPr>
              <w:spacing w:before="20" w:after="20"/>
            </w:pPr>
            <w:r>
              <w:rPr>
                <w:rFonts w:ascii="Consolas" w:hAnsi="Consolas"/>
                <w:b w:val="0"/>
                <w:i w:val="0"/>
                <w:color w:val="D7E3F4"/>
                <w:sz w:val="19"/>
              </w:rPr>
              <w:t>claude plugin validate .</w:t>
            </w:r>
          </w:p>
          <w:p>
            <w:pPr>
              <w:spacing w:before="20" w:after="20"/>
            </w:pPr>
            <w:r>
              <w:rPr>
                <w:rFonts w:ascii="Consolas" w:hAnsi="Consolas"/>
                <w:b w:val="0"/>
                <w:i w:val="0"/>
                <w:color w:val="D7E3F4"/>
                <w:sz w:val="19"/>
              </w:rPr>
              <w:t>git add -A &amp;&amp; git commit -m "fix(pricing): pull live FX rate instead of hardcoded ₹84"</w:t>
            </w:r>
          </w:p>
          <w:p>
            <w:pPr>
              <w:spacing w:before="20" w:after="20"/>
            </w:pPr>
            <w:r>
              <w:rPr>
                <w:rFonts w:ascii="Consolas" w:hAnsi="Consolas"/>
                <w:b w:val="0"/>
                <w:i w:val="0"/>
                <w:color w:val="D7E3F4"/>
                <w:sz w:val="19"/>
              </w:rPr>
              <w:t>git push -u origin fix/pricing-fx-rule</w:t>
            </w:r>
          </w:p>
          <w:p>
            <w:pPr>
              <w:spacing w:before="20" w:after="20"/>
            </w:pPr>
            <w:r>
              <w:rPr>
                <w:rFonts w:ascii="Consolas" w:hAnsi="Consolas"/>
                <w:b w:val="0"/>
                <w:i w:val="0"/>
                <w:color w:val="D7E3F4"/>
                <w:sz w:val="19"/>
              </w:rPr>
              <w:t>gh pr create --title "fix(pricing): live FX rate" --body "..."</w:t>
            </w:r>
          </w:p>
        </w:tc>
      </w:tr>
    </w:tbl>
    <w:p>
      <w:pPr>
        <w:spacing w:after="40"/>
      </w:pPr>
    </w:p>
    <w:p>
      <w:pPr>
        <w:keepNext/>
        <w:spacing w:before="320" w:after="80"/>
      </w:pPr>
      <w:r>
        <w:rPr>
          <w:rFonts w:ascii="Calibri" w:hAnsi="Calibri"/>
          <w:b/>
          <w:i w:val="0"/>
          <w:color w:val="1B2A6B"/>
          <w:sz w:val="30"/>
        </w:rPr>
        <w:t>6.1  Conventions that keep this from breaking</w:t>
      </w:r>
    </w:p>
    <w:p>
      <w:pPr>
        <w:pStyle w:val="ListBullet"/>
        <w:spacing w:after="60"/>
        <w:ind w:left="317"/>
      </w:pPr>
      <w:r>
        <w:rPr>
          <w:rFonts w:ascii="Calibri" w:hAnsi="Calibri"/>
          <w:b/>
          <w:i w:val="0"/>
          <w:color w:val="1B2A6B"/>
          <w:sz w:val="21"/>
        </w:rPr>
        <w:t xml:space="preserve">Keep the marketplace name acceler-local stable — </w:t>
      </w:r>
      <w:r>
        <w:rPr>
          <w:rFonts w:ascii="Calibri" w:hAnsi="Calibri"/>
          <w:b w:val="0"/>
          <w:i w:val="0"/>
          <w:color w:val="1A1A2E"/>
          <w:sz w:val="21"/>
        </w:rPr>
        <w:t>it's the @suffix in every teammate's install id (acceler-presales@acceler-local). Renaming it breaks existing installs.</w:t>
      </w:r>
    </w:p>
    <w:p>
      <w:pPr>
        <w:pStyle w:val="ListBullet"/>
        <w:spacing w:after="60"/>
        <w:ind w:left="317"/>
      </w:pPr>
      <w:r>
        <w:rPr>
          <w:rFonts w:ascii="Calibri" w:hAnsi="Calibri"/>
          <w:b/>
          <w:i w:val="0"/>
          <w:color w:val="1B2A6B"/>
          <w:sz w:val="21"/>
        </w:rPr>
        <w:t xml:space="preserve">knowledge/ holds confidential data — </w:t>
      </w:r>
      <w:r>
        <w:rPr>
          <w:rFonts w:ascii="Calibri" w:hAnsi="Calibri"/>
          <w:b w:val="0"/>
          <w:i w:val="0"/>
          <w:color w:val="1A1A2E"/>
          <w:sz w:val="21"/>
        </w:rPr>
        <w:t>client names, instructor LinkedIn/PII, pricing. Keep this repo private. Never make it public.</w:t>
      </w:r>
    </w:p>
    <w:p>
      <w:pPr>
        <w:pStyle w:val="ListBullet"/>
        <w:spacing w:after="60"/>
        <w:ind w:left="317"/>
      </w:pPr>
      <w:r>
        <w:rPr>
          <w:rFonts w:ascii="Calibri" w:hAnsi="Calibri"/>
          <w:b/>
          <w:i w:val="0"/>
          <w:color w:val="1B2A6B"/>
          <w:sz w:val="21"/>
        </w:rPr>
        <w:t xml:space="preserve">instructor_delivery_flags.json </w:t>
      </w:r>
      <w:r>
        <w:rPr>
          <w:rFonts w:ascii="Calibri" w:hAnsi="Calibri"/>
          <w:b w:val="0"/>
          <w:i w:val="0"/>
          <w:color w:val="1A1A2E"/>
          <w:sz w:val="21"/>
        </w:rPr>
        <w:t>records who is pre-sales-only vs. actually deliverable — keep it current as engagements land or fall through.</w:t>
      </w:r>
    </w:p>
    <w:p>
      <w:pPr>
        <w:pStyle w:val="ListBullet"/>
        <w:spacing w:after="60"/>
        <w:ind w:left="317"/>
      </w:pPr>
      <w:r>
        <w:rPr>
          <w:rFonts w:ascii="Calibri" w:hAnsi="Calibri"/>
          <w:b/>
          <w:i w:val="0"/>
          <w:color w:val="1B2A6B"/>
          <w:sz w:val="21"/>
        </w:rPr>
        <w:t xml:space="preserve">Always bump the version — </w:t>
      </w:r>
      <w:r>
        <w:rPr>
          <w:rFonts w:ascii="Calibri" w:hAnsi="Calibri"/>
          <w:b w:val="0"/>
          <w:i w:val="0"/>
          <w:color w:val="1A1A2E"/>
          <w:sz w:val="21"/>
        </w:rPr>
        <w:t>the v0.4.1 Apple Pages fix (§5) only reached teammates because the version was correctly bumped when it was fixed.</w:t>
      </w:r>
    </w:p>
    <w:p>
      <w:r>
        <w:br w:type="page"/>
      </w:r>
    </w:p>
    <w:p>
      <w:pPr>
        <w:keepNext/>
        <w:spacing w:before="440" w:after="40"/>
      </w:pPr>
      <w:r>
        <w:rPr>
          <w:rFonts w:ascii="Calibri" w:hAnsi="Calibri"/>
          <w:b/>
          <w:i w:val="0"/>
          <w:color w:val="1B2A6B"/>
          <w:sz w:val="44"/>
        </w:rPr>
        <w:t>7.  Build a Knowledge Graph, End to End</w:t>
      </w:r>
    </w:p>
    <w:p>
      <w:pPr>
        <w:spacing w:before="0" w:after="200"/>
        <w:pBdr>
          <w:bottom w:val="single" w:sz="14" w:space="1" w:color="27B4E6"/>
        </w:pBdr>
      </w:pPr>
    </w:p>
    <w:p>
      <w:pPr>
        <w:spacing w:before="80" w:after="120"/>
      </w:pPr>
      <w:r>
        <w:rPr>
          <w:rFonts w:ascii="Calibri" w:hAnsi="Calibri"/>
          <w:b w:val="0"/>
          <w:i w:val="0"/>
          <w:color w:val="1A1A2E"/>
          <w:sz w:val="21"/>
        </w:rPr>
        <w:t>The KG lives at Knowledge Graph/_kg/ in the workspace folder. It's a 5-script pipeline that walks a folder of past proposals, decks, costing sheets and instructor records, and classifies them into the graph described in §3.1.</w:t>
      </w:r>
    </w:p>
    <w:tbl>
      <w:tblPr>
        <w:tblW w:type="auto" w:w="0"/>
        <w:jc w:val="center"/>
        <w:tblLayout w:type="fixed"/>
        <w:tblLook w:firstColumn="1" w:firstRow="1" w:lastColumn="0" w:lastRow="0" w:noHBand="0" w:noVBand="1" w:val="04A0"/>
      </w:tblPr>
      <w:tblGrid>
        <w:gridCol w:w="3024"/>
        <w:gridCol w:w="6768"/>
      </w:tblGrid>
      <w:tr>
        <w:tc>
          <w:tcPr>
            <w:tcW w:type="dxa" w:w="3024"/>
            <w:shd w:val="clear" w:color="auto" w:fill="1B2A6B"/>
            <w:tcBorders>
              <w:top w:val="single" w:sz="4" w:space="0" w:color="1B2A6B"/>
              <w:left w:val="single" w:sz="4" w:space="0" w:color="1B2A6B"/>
              <w:bottom w:val="single" w:sz="4" w:space="0" w:color="1B2A6B"/>
              <w:right w:val="single" w:sz="4" w:space="0" w:color="1B2A6B"/>
            </w:tcBorders>
            <w:vAlign w:val="center"/>
          </w:tcPr>
          <w:p>
            <w:pPr>
              <w:jc w:val="left"/>
            </w:pPr>
            <w:r>
              <w:rPr>
                <w:rFonts w:ascii="Calibri" w:hAnsi="Calibri"/>
                <w:b/>
                <w:i w:val="0"/>
                <w:color w:val="FFFFFF"/>
                <w:sz w:val="19"/>
              </w:rPr>
              <w:t>Script</w:t>
            </w:r>
          </w:p>
        </w:tc>
        <w:tc>
          <w:tcPr>
            <w:tcW w:type="dxa" w:w="6768"/>
            <w:shd w:val="clear" w:color="auto" w:fill="1B2A6B"/>
            <w:tcBorders>
              <w:top w:val="single" w:sz="4" w:space="0" w:color="1B2A6B"/>
              <w:left w:val="single" w:sz="4" w:space="0" w:color="1B2A6B"/>
              <w:bottom w:val="single" w:sz="4" w:space="0" w:color="1B2A6B"/>
              <w:right w:val="single" w:sz="4" w:space="0" w:color="1B2A6B"/>
            </w:tcBorders>
            <w:vAlign w:val="center"/>
          </w:tcPr>
          <w:p>
            <w:pPr>
              <w:jc w:val="left"/>
            </w:pPr>
            <w:r>
              <w:rPr>
                <w:rFonts w:ascii="Calibri" w:hAnsi="Calibri"/>
                <w:b/>
                <w:i w:val="0"/>
                <w:color w:val="FFFFFF"/>
                <w:sz w:val="19"/>
              </w:rPr>
              <w:t>What it does</w:t>
            </w:r>
          </w:p>
        </w:tc>
      </w:tr>
      <w:tr>
        <w:tc>
          <w:tcPr>
            <w:tcW w:type="dxa" w:w="3024"/>
            <w:shd w:val="clear" w:color="auto" w:fill="FFFFFF"/>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build_corpus.py</w:t>
            </w:r>
          </w:p>
        </w:tc>
        <w:tc>
          <w:tcPr>
            <w:tcW w:type="dxa" w:w="6768"/>
            <w:shd w:val="clear" w:color="auto" w:fill="FFFFFF"/>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Pass 1 — walks the drive, only re-run when new files are added</w:t>
            </w:r>
          </w:p>
        </w:tc>
      </w:tr>
      <w:tr>
        <w:tc>
          <w:tcPr>
            <w:tcW w:type="dxa" w:w="3024"/>
            <w:shd w:val="clear" w:color="auto" w:fill="F5F7FA"/>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build_graph.py</w:t>
            </w:r>
          </w:p>
        </w:tc>
        <w:tc>
          <w:tcPr>
            <w:tcW w:type="dxa" w:w="6768"/>
            <w:shd w:val="clear" w:color="auto" w:fill="F5F7FA"/>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Pass 2 — classifies documents, extracts tools / topics / pricing</w:t>
            </w:r>
          </w:p>
        </w:tc>
      </w:tr>
      <w:tr>
        <w:tc>
          <w:tcPr>
            <w:tcW w:type="dxa" w:w="3024"/>
            <w:shd w:val="clear" w:color="auto" w:fill="FFFFFF"/>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parse_pool.py</w:t>
            </w:r>
          </w:p>
        </w:tc>
        <w:tc>
          <w:tcPr>
            <w:tcW w:type="dxa" w:w="6768"/>
            <w:shd w:val="clear" w:color="auto" w:fill="FFFFFF"/>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Extracts instructor sources into a candidate pool</w:t>
            </w:r>
          </w:p>
        </w:tc>
      </w:tr>
      <w:tr>
        <w:tc>
          <w:tcPr>
            <w:tcW w:type="dxa" w:w="3024"/>
            <w:shd w:val="clear" w:color="auto" w:fill="F5F7FA"/>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merge_instructors.py</w:t>
            </w:r>
          </w:p>
        </w:tc>
        <w:tc>
          <w:tcPr>
            <w:tcW w:type="dxa" w:w="6768"/>
            <w:shd w:val="clear" w:color="auto" w:fill="F5F7FA"/>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Dedupes + classifies instructors by topic, augments the graph</w:t>
            </w:r>
          </w:p>
        </w:tc>
      </w:tr>
      <w:tr>
        <w:tc>
          <w:tcPr>
            <w:tcW w:type="dxa" w:w="3024"/>
            <w:shd w:val="clear" w:color="auto" w:fill="FFFFFF"/>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build_html.py</w:t>
            </w:r>
          </w:p>
        </w:tc>
        <w:tc>
          <w:tcPr>
            <w:tcW w:type="dxa" w:w="6768"/>
            <w:shd w:val="clear" w:color="auto" w:fill="FFFFFF"/>
            <w:tcBorders>
              <w:top w:val="single" w:sz="4" w:space="0" w:color="D6DAE3"/>
              <w:left w:val="single" w:sz="4" w:space="0" w:color="D6DAE3"/>
              <w:bottom w:val="single" w:sz="4" w:space="0" w:color="D6DAE3"/>
              <w:right w:val="single" w:sz="4" w:space="0" w:color="D6DAE3"/>
            </w:tcBorders>
            <w:vAlign w:val="center"/>
          </w:tcPr>
          <w:p>
            <w:r>
              <w:rPr>
                <w:rFonts w:ascii="Calibri" w:hAnsi="Calibri"/>
                <w:b w:val="0"/>
                <w:i w:val="0"/>
                <w:color w:val="1A1A2E"/>
                <w:sz w:val="19"/>
              </w:rPr>
              <w:t>Renders the self-contained, dark-theme graph.html</w:t>
            </w:r>
          </w:p>
        </w:tc>
      </w:tr>
    </w:tbl>
    <w:p>
      <w:pPr>
        <w:spacing w:after="80"/>
      </w:pPr>
    </w:p>
    <w:tbl>
      <w:tblPr>
        <w:tblW w:type="auto" w:w="0"/>
        <w:jc w:val="center"/>
        <w:tblLook w:firstColumn="1" w:firstRow="1" w:lastColumn="0" w:lastRow="0" w:noHBand="0" w:noVBand="1" w:val="04A0"/>
      </w:tblPr>
      <w:tblGrid>
        <w:gridCol w:w="9792"/>
      </w:tblGrid>
      <w:tr>
        <w:tc>
          <w:tcPr>
            <w:tcW w:type="dxa" w:w="9792"/>
            <w:shd w:val="clear" w:color="auto" w:fill="0E1640"/>
            <w:tcBorders>
              <w:top w:val="single" w:sz="4" w:space="0" w:color="0E1640"/>
              <w:left w:val="single" w:sz="4" w:space="0" w:color="0E1640"/>
              <w:bottom w:val="single" w:sz="4" w:space="0" w:color="0E1640"/>
              <w:right w:val="single" w:sz="4" w:space="0" w:color="0E1640"/>
            </w:tcBorders>
          </w:tcPr>
          <w:p>
            <w:pPr>
              <w:spacing w:before="20" w:after="20"/>
            </w:pPr>
            <w:r>
              <w:rPr>
                <w:rFonts w:ascii="Consolas" w:hAnsi="Consolas"/>
                <w:b w:val="0"/>
                <w:i w:val="0"/>
                <w:color w:val="D7E3F4"/>
                <w:sz w:val="19"/>
              </w:rPr>
              <w:t># from Knowledge Graph/_kg/</w:t>
            </w:r>
          </w:p>
          <w:p>
            <w:pPr>
              <w:spacing w:before="20" w:after="20"/>
            </w:pPr>
            <w:r>
              <w:rPr>
                <w:rFonts w:ascii="Consolas" w:hAnsi="Consolas"/>
                <w:b w:val="0"/>
                <w:i w:val="0"/>
                <w:color w:val="D7E3F4"/>
                <w:sz w:val="19"/>
              </w:rPr>
              <w:t>python3 build_corpus.py       # only when new files added</w:t>
            </w:r>
          </w:p>
          <w:p>
            <w:pPr>
              <w:spacing w:before="20" w:after="20"/>
            </w:pPr>
            <w:r>
              <w:rPr>
                <w:rFonts w:ascii="Consolas" w:hAnsi="Consolas"/>
                <w:b w:val="0"/>
                <w:i w:val="0"/>
                <w:color w:val="D7E3F4"/>
                <w:sz w:val="19"/>
              </w:rPr>
              <w:t>python3 build_graph.py        # classify + extract tools/topics/pricing</w:t>
            </w:r>
          </w:p>
          <w:p>
            <w:pPr>
              <w:spacing w:before="20" w:after="20"/>
            </w:pPr>
            <w:r>
              <w:rPr>
                <w:rFonts w:ascii="Consolas" w:hAnsi="Consolas"/>
                <w:b w:val="0"/>
                <w:i w:val="0"/>
                <w:color w:val="D7E3F4"/>
                <w:sz w:val="19"/>
              </w:rPr>
              <w:t>python3 parse_pool.py         # instructor sources -&gt; pool</w:t>
            </w:r>
          </w:p>
          <w:p>
            <w:pPr>
              <w:spacing w:before="20" w:after="20"/>
            </w:pPr>
            <w:r>
              <w:rPr>
                <w:rFonts w:ascii="Consolas" w:hAnsi="Consolas"/>
                <w:b w:val="0"/>
                <w:i w:val="0"/>
                <w:color w:val="D7E3F4"/>
                <w:sz w:val="19"/>
              </w:rPr>
              <w:t>python3 merge_instructors.py  # merge + topic classification + augment graph</w:t>
            </w:r>
          </w:p>
          <w:p>
            <w:pPr>
              <w:spacing w:before="20" w:after="20"/>
            </w:pPr>
            <w:r>
              <w:rPr>
                <w:rFonts w:ascii="Consolas" w:hAnsi="Consolas"/>
                <w:b w:val="0"/>
                <w:i w:val="0"/>
                <w:color w:val="D7E3F4"/>
                <w:sz w:val="19"/>
              </w:rPr>
              <w:t>python3 build_html.py         # render graph.html</w:t>
            </w:r>
          </w:p>
        </w:tc>
      </w:tr>
    </w:tbl>
    <w:p>
      <w:pPr>
        <w:spacing w:after="40"/>
      </w:pPr>
    </w:p>
    <w:tbl>
      <w:tblPr>
        <w:tblW w:type="auto" w:w="0"/>
        <w:tblLook w:firstColumn="1" w:firstRow="1" w:lastColumn="0" w:lastRow="0" w:noHBand="0" w:noVBand="1" w:val="04A0"/>
      </w:tblPr>
      <w:tblGrid>
        <w:gridCol w:w="9792"/>
      </w:tblGrid>
      <w:tr>
        <w:tc>
          <w:tcPr>
            <w:tcW w:type="dxa" w:w="9792"/>
            <w:shd w:val="clear" w:color="auto" w:fill="FFF8ED"/>
            <w:tcBorders>
              <w:top w:val="single" w:sz="4" w:space="0" w:color="B45309"/>
              <w:left w:val="single" w:sz="4" w:space="0" w:color="B45309"/>
              <w:bottom w:val="single" w:sz="4" w:space="0" w:color="B45309"/>
              <w:right w:val="single" w:sz="4" w:space="0" w:color="B45309"/>
            </w:tcBorders>
          </w:tcPr>
          <w:p>
            <w:pPr>
              <w:spacing w:before="120" w:after="40"/>
            </w:pPr>
            <w:r>
              <w:rPr>
                <w:rFonts w:ascii="Calibri" w:hAnsi="Calibri"/>
                <w:b/>
                <w:i w:val="0"/>
                <w:color w:val="1B2A6B"/>
                <w:sz w:val="20"/>
              </w:rPr>
              <w:t xml:space="preserve">KEEP THE TAXONOMY IN SYNC  </w:t>
            </w:r>
          </w:p>
          <w:p>
            <w:pPr>
              <w:spacing w:after="120"/>
            </w:pPr>
            <w:r>
              <w:rPr>
                <w:rFonts w:ascii="Calibri" w:hAnsi="Calibri"/>
                <w:b w:val="0"/>
                <w:i w:val="0"/>
                <w:color w:val="1A1A2E"/>
                <w:sz w:val="20"/>
              </w:rPr>
              <w:t>The topic list (TOPICS in build_graph.py) must match CANON in merge_instructors.py — currently 30 topics. Drift between the two silently mis-tags instructors.</w:t>
            </w:r>
          </w:p>
        </w:tc>
      </w:tr>
    </w:tbl>
    <w:p>
      <w:pPr>
        <w:spacing w:after="40"/>
      </w:pPr>
    </w:p>
    <w:p>
      <w:pPr>
        <w:spacing w:before="80" w:after="120"/>
      </w:pPr>
      <w:r>
        <w:rPr>
          <w:rFonts w:ascii="Calibri" w:hAnsi="Calibri"/>
          <w:b w:val="0"/>
          <w:i w:val="0"/>
          <w:color w:val="1A1A2E"/>
          <w:sz w:val="21"/>
        </w:rPr>
        <w:t>Once rebuilt, publish the graph into the plugin so it ships to everyone:</w:t>
      </w:r>
    </w:p>
    <w:tbl>
      <w:tblPr>
        <w:tblW w:type="auto" w:w="0"/>
        <w:jc w:val="center"/>
        <w:tblLook w:firstColumn="1" w:firstRow="1" w:lastColumn="0" w:lastRow="0" w:noHBand="0" w:noVBand="1" w:val="04A0"/>
      </w:tblPr>
      <w:tblGrid>
        <w:gridCol w:w="9792"/>
      </w:tblGrid>
      <w:tr>
        <w:tc>
          <w:tcPr>
            <w:tcW w:type="dxa" w:w="9792"/>
            <w:shd w:val="clear" w:color="auto" w:fill="0E1640"/>
            <w:tcBorders>
              <w:top w:val="single" w:sz="4" w:space="0" w:color="0E1640"/>
              <w:left w:val="single" w:sz="4" w:space="0" w:color="0E1640"/>
              <w:bottom w:val="single" w:sz="4" w:space="0" w:color="0E1640"/>
              <w:right w:val="single" w:sz="4" w:space="0" w:color="0E1640"/>
            </w:tcBorders>
          </w:tcPr>
          <w:p>
            <w:pPr>
              <w:spacing w:before="20" w:after="20"/>
            </w:pPr>
            <w:r>
              <w:rPr>
                <w:rFonts w:ascii="Consolas" w:hAnsi="Consolas"/>
                <w:b w:val="0"/>
                <w:i w:val="0"/>
                <w:color w:val="D7E3F4"/>
                <w:sz w:val="19"/>
              </w:rPr>
              <w:t>cp graph.json files.json instr_candidates.json INDEX.md USING_THE_KG.md \</w:t>
            </w:r>
          </w:p>
          <w:p>
            <w:pPr>
              <w:spacing w:before="20" w:after="20"/>
            </w:pPr>
            <w:r>
              <w:rPr>
                <w:rFonts w:ascii="Consolas" w:hAnsi="Consolas"/>
                <w:b w:val="0"/>
                <w:i w:val="0"/>
                <w:color w:val="D7E3F4"/>
                <w:sz w:val="19"/>
              </w:rPr>
              <w:t xml:space="preserve">    "$HOME/acceler-presales-plugin/knowledge/"</w:t>
            </w:r>
          </w:p>
          <w:p>
            <w:pPr>
              <w:spacing w:before="20" w:after="20"/>
            </w:pPr>
            <w:r>
              <w:rPr>
                <w:rFonts w:ascii="Consolas" w:hAnsi="Consolas"/>
                <w:b w:val="0"/>
                <w:i w:val="0"/>
                <w:color w:val="D7E3F4"/>
                <w:sz w:val="19"/>
              </w:rPr>
              <w:t># bump version, add a CHANGELOG.md entry</w:t>
            </w:r>
          </w:p>
          <w:p>
            <w:pPr>
              <w:spacing w:before="20" w:after="20"/>
            </w:pPr>
            <w:r>
              <w:rPr>
                <w:rFonts w:ascii="Consolas" w:hAnsi="Consolas"/>
                <w:b w:val="0"/>
                <w:i w:val="0"/>
                <w:color w:val="D7E3F4"/>
                <w:sz w:val="19"/>
              </w:rPr>
              <w:t>cd "$HOME/acceler-presales-plugin" &amp;&amp; git add -A &amp;&amp; git commit -m "KG refresh" &amp;&amp; git push</w:t>
            </w:r>
          </w:p>
        </w:tc>
      </w:tr>
    </w:tbl>
    <w:p>
      <w:pPr>
        <w:spacing w:after="40"/>
      </w:pPr>
    </w:p>
    <w:p>
      <w:pPr>
        <w:spacing w:before="80" w:after="120"/>
      </w:pPr>
      <w:r>
        <w:rPr>
          <w:rFonts w:ascii="Calibri" w:hAnsi="Calibri"/>
          <w:b w:val="0"/>
          <w:i w:val="0"/>
          <w:color w:val="1A1A2E"/>
          <w:sz w:val="21"/>
        </w:rPr>
        <w:t>Full usage guide (how an agent should query the graph during a live proposal) lives in _kg/USING_THE_KG.md. Both live graphs are linked in §3.1.</w:t>
      </w:r>
    </w:p>
    <w:p>
      <w:r>
        <w:br w:type="page"/>
      </w:r>
    </w:p>
    <w:p>
      <w:pPr>
        <w:keepNext/>
        <w:spacing w:before="440" w:after="40"/>
      </w:pPr>
      <w:r>
        <w:rPr>
          <w:rFonts w:ascii="Calibri" w:hAnsi="Calibri"/>
          <w:b/>
          <w:i w:val="0"/>
          <w:color w:val="1B2A6B"/>
          <w:sz w:val="44"/>
        </w:rPr>
        <w:t>8.  Build This Pattern for Another Team</w:t>
      </w:r>
    </w:p>
    <w:p>
      <w:pPr>
        <w:spacing w:before="0" w:after="200"/>
        <w:pBdr>
          <w:bottom w:val="single" w:sz="14" w:space="1" w:color="27B4E6"/>
        </w:pBdr>
      </w:pPr>
    </w:p>
    <w:p>
      <w:pPr>
        <w:spacing w:before="80" w:after="120"/>
      </w:pPr>
      <w:r>
        <w:rPr>
          <w:rFonts w:ascii="Calibri" w:hAnsi="Calibri"/>
          <w:b w:val="0"/>
          <w:i w:val="0"/>
          <w:color w:val="1A1A2E"/>
          <w:sz w:val="21"/>
        </w:rPr>
        <w:t>Nothing about the architecture is specific to proposals. Any team sitting on a pile of historical decisions — Finance approvals, Delivery Ops runbooks, Recruiting pipelines — can run the same playbook: turn precedent into a graph, encode judgment as skills, wire commands to it, ship as a private plugin.</w:t>
      </w:r>
    </w:p>
    <w:p>
      <w:pPr>
        <w:pStyle w:val="ListNumber"/>
        <w:spacing w:after="60"/>
      </w:pPr>
      <w:r>
        <w:rPr>
          <w:rFonts w:ascii="Calibri" w:hAnsi="Calibri"/>
          <w:b/>
          <w:i w:val="0"/>
          <w:color w:val="1B2A6B"/>
          <w:sz w:val="21"/>
        </w:rPr>
        <w:t xml:space="preserve">Find your precedent corpus. </w:t>
      </w:r>
      <w:r>
        <w:rPr>
          <w:rFonts w:ascii="Calibri" w:hAnsi="Calibri"/>
          <w:b w:val="0"/>
          <w:i w:val="0"/>
          <w:color w:val="1A1A2E"/>
          <w:sz w:val="21"/>
        </w:rPr>
        <w:t>What repeatable decision does your team make over and over, and what documents already encode the judgment behind it?</w:t>
      </w:r>
    </w:p>
    <w:p>
      <w:pPr>
        <w:pStyle w:val="ListNumber"/>
        <w:spacing w:after="60"/>
      </w:pPr>
      <w:r>
        <w:rPr>
          <w:rFonts w:ascii="Calibri" w:hAnsi="Calibri"/>
          <w:b/>
          <w:i w:val="0"/>
          <w:color w:val="1B2A6B"/>
          <w:sz w:val="21"/>
        </w:rPr>
        <w:t xml:space="preserve">Fork the graph-builder pipeline. </w:t>
      </w:r>
      <w:r>
        <w:rPr>
          <w:rFonts w:ascii="Calibri" w:hAnsi="Calibri"/>
          <w:b w:val="0"/>
          <w:i w:val="0"/>
          <w:color w:val="1A1A2E"/>
          <w:sz w:val="21"/>
        </w:rPr>
        <w:t>Same 5-script shape as §7 — walk the corpus, classify, extract entities, build a self-contained HTML graph. Swap the TOPICS taxonomy for your domain.</w:t>
      </w:r>
    </w:p>
    <w:p>
      <w:pPr>
        <w:pStyle w:val="ListNumber"/>
        <w:spacing w:after="60"/>
      </w:pPr>
      <w:r>
        <w:rPr>
          <w:rFonts w:ascii="Calibri" w:hAnsi="Calibri"/>
          <w:b/>
          <w:i w:val="0"/>
          <w:color w:val="1B2A6B"/>
          <w:sz w:val="21"/>
        </w:rPr>
        <w:t xml:space="preserve">Encode the judgment as skills, not just templates. </w:t>
      </w:r>
      <w:r>
        <w:rPr>
          <w:rFonts w:ascii="Calibri" w:hAnsi="Calibri"/>
          <w:b w:val="0"/>
          <w:i w:val="0"/>
          <w:color w:val="1A1A2E"/>
          <w:sz w:val="21"/>
        </w:rPr>
        <w:t>A SKILL.md per capability — house style, decision rules, guardrails — the way doc-proposal and pricing encode Acceler's.</w:t>
      </w:r>
    </w:p>
    <w:p>
      <w:pPr>
        <w:pStyle w:val="ListNumber"/>
        <w:spacing w:after="60"/>
      </w:pPr>
      <w:r>
        <w:rPr>
          <w:rFonts w:ascii="Calibri" w:hAnsi="Calibri"/>
          <w:b/>
          <w:i w:val="0"/>
          <w:color w:val="1B2A6B"/>
          <w:sz w:val="21"/>
        </w:rPr>
        <w:t xml:space="preserve">Wire one slash command per repeatable step. </w:t>
      </w:r>
      <w:r>
        <w:rPr>
          <w:rFonts w:ascii="Calibri" w:hAnsi="Calibri"/>
          <w:b w:val="0"/>
          <w:i w:val="0"/>
          <w:color w:val="1A1A2E"/>
          <w:sz w:val="21"/>
        </w:rPr>
        <w:t>Discovery-equivalent → precedent-match → draft → review-gate. Chain them with a full-cycle-style orchestrator.</w:t>
      </w:r>
    </w:p>
    <w:p>
      <w:pPr>
        <w:pStyle w:val="ListNumber"/>
        <w:spacing w:after="60"/>
      </w:pPr>
      <w:r>
        <w:rPr>
          <w:rFonts w:ascii="Calibri" w:hAnsi="Calibri"/>
          <w:b/>
          <w:i w:val="0"/>
          <w:color w:val="1B2A6B"/>
          <w:sz w:val="21"/>
        </w:rPr>
        <w:t xml:space="preserve">Package as a private Git marketplace repo. </w:t>
      </w:r>
      <w:r>
        <w:rPr>
          <w:rFonts w:ascii="Calibri" w:hAnsi="Calibri"/>
          <w:b w:val="0"/>
          <w:i w:val="0"/>
          <w:color w:val="1A1A2E"/>
          <w:sz w:val="21"/>
        </w:rPr>
        <w:t>Same shape as this repo — your own collaborator list, your own CONTRIBUTING.md.</w:t>
      </w:r>
    </w:p>
    <w:p>
      <w:pPr>
        <w:pStyle w:val="ListNumber"/>
        <w:spacing w:after="60"/>
      </w:pPr>
      <w:r>
        <w:rPr>
          <w:rFonts w:ascii="Calibri" w:hAnsi="Calibri"/>
          <w:b/>
          <w:i w:val="0"/>
          <w:color w:val="1B2A6B"/>
          <w:sz w:val="21"/>
        </w:rPr>
        <w:t xml:space="preserve">Keep the version-bump discipline from day one. </w:t>
      </w:r>
      <w:r>
        <w:rPr>
          <w:rFonts w:ascii="Calibri" w:hAnsi="Calibri"/>
          <w:b w:val="0"/>
          <w:i w:val="0"/>
          <w:color w:val="1A1A2E"/>
          <w:sz w:val="21"/>
        </w:rPr>
        <w:t>The single rule that determines whether fixes actually reach your team — see §6.</w:t>
      </w:r>
    </w:p>
    <w:tbl>
      <w:tblPr>
        <w:tblW w:type="auto" w:w="0"/>
        <w:tblLook w:firstColumn="1" w:firstRow="1" w:lastColumn="0" w:lastRow="0" w:noHBand="0" w:noVBand="1" w:val="04A0"/>
      </w:tblPr>
      <w:tblGrid>
        <w:gridCol w:w="9792"/>
      </w:tblGrid>
      <w:tr>
        <w:tc>
          <w:tcPr>
            <w:tcW w:type="dxa" w:w="9792"/>
            <w:shd w:val="clear" w:color="auto" w:fill="EAFBF3"/>
            <w:tcBorders>
              <w:top w:val="single" w:sz="4" w:space="0" w:color="0A8754"/>
              <w:left w:val="single" w:sz="4" w:space="0" w:color="0A8754"/>
              <w:bottom w:val="single" w:sz="4" w:space="0" w:color="0A8754"/>
              <w:right w:val="single" w:sz="4" w:space="0" w:color="0A8754"/>
            </w:tcBorders>
          </w:tcPr>
          <w:p>
            <w:pPr>
              <w:spacing w:before="120" w:after="40"/>
            </w:pPr>
            <w:r>
              <w:rPr>
                <w:rFonts w:ascii="Calibri" w:hAnsi="Calibri"/>
                <w:b/>
                <w:i w:val="0"/>
                <w:color w:val="1B2A6B"/>
                <w:sz w:val="20"/>
              </w:rPr>
              <w:t xml:space="preserve">WHAT TRANSFERS VS. WHAT YOU REBUILD  </w:t>
            </w:r>
          </w:p>
          <w:p>
            <w:pPr>
              <w:spacing w:after="120"/>
            </w:pPr>
            <w:r>
              <w:rPr>
                <w:rFonts w:ascii="Calibri" w:hAnsi="Calibri"/>
                <w:b w:val="0"/>
                <w:i w:val="0"/>
                <w:color w:val="1A1A2E"/>
                <w:sz w:val="20"/>
              </w:rPr>
              <w:t>Transfers directly: the plugin architecture, the Git-marketplace distribution model, the version-bump discipline, the 5-stage graph-builder shape. Rebuilt per team: the topic taxonomy, the skill content (your house style / decision rules), and the command set (your process's actual steps) — and per §4, the decision-maker's own real conversation history, mined the same way.</w:t>
            </w:r>
          </w:p>
        </w:tc>
      </w:tr>
    </w:tbl>
    <w:p>
      <w:pPr>
        <w:spacing w:after="40"/>
      </w:pPr>
    </w:p>
    <w:p>
      <w:pPr>
        <w:spacing w:before="80" w:after="120"/>
      </w:pPr>
      <w:r>
        <w:rPr>
          <w:rFonts w:ascii="Calibri" w:hAnsi="Calibri"/>
          <w:b w:val="0"/>
          <w:i w:val="0"/>
          <w:color w:val="1A1A2E"/>
          <w:sz w:val="21"/>
        </w:rPr>
        <w:t>Minimum viable version: you don't need all 10 commands on day one. A working first cut is one script that turns your team's historical docs into a simple JSON index, one SKILL.md that states your team's decision rules in plain language, and one slash command that reads both and drafts an output. Ship that, use it for two weeks, then decide what to split into its own command.</w:t>
      </w:r>
    </w:p>
    <w:p>
      <w:r>
        <w:br w:type="page"/>
      </w:r>
    </w:p>
    <w:p>
      <w:pPr>
        <w:keepNext/>
        <w:spacing w:before="440" w:after="40"/>
      </w:pPr>
      <w:r>
        <w:rPr>
          <w:rFonts w:ascii="Calibri" w:hAnsi="Calibri"/>
          <w:b/>
          <w:i w:val="0"/>
          <w:color w:val="1B2A6B"/>
          <w:sz w:val="44"/>
        </w:rPr>
        <w:t>9.  What's Next</w:t>
      </w:r>
    </w:p>
    <w:p>
      <w:pPr>
        <w:spacing w:before="0" w:after="200"/>
        <w:pBdr>
          <w:bottom w:val="single" w:sz="14" w:space="1" w:color="27B4E6"/>
        </w:pBdr>
      </w:pPr>
    </w:p>
    <w:p>
      <w:pPr>
        <w:pStyle w:val="ListNumber"/>
        <w:spacing w:after="60"/>
      </w:pPr>
      <w:r>
        <w:rPr>
          <w:rFonts w:ascii="Calibri" w:hAnsi="Calibri"/>
          <w:b/>
          <w:i w:val="0"/>
          <w:color w:val="1B2A6B"/>
          <w:sz w:val="21"/>
        </w:rPr>
        <w:t xml:space="preserve">Instrument the pipeline. </w:t>
      </w:r>
      <w:r>
        <w:rPr>
          <w:rFonts w:ascii="Calibri" w:hAnsi="Calibri"/>
          <w:b w:val="0"/>
          <w:i w:val="0"/>
          <w:color w:val="1A1A2E"/>
          <w:sz w:val="21"/>
        </w:rPr>
        <w:t>Log start/finish timestamps and stage counts per full-cycle run so the “80% time reduction” and “fewer negotiation cycles” claims can be measured instead of assumed.</w:t>
      </w:r>
    </w:p>
    <w:p>
      <w:pPr>
        <w:pStyle w:val="ListNumber"/>
        <w:spacing w:after="60"/>
      </w:pPr>
      <w:r>
        <w:rPr>
          <w:rFonts w:ascii="Calibri" w:hAnsi="Calibri"/>
          <w:b/>
          <w:i w:val="0"/>
          <w:color w:val="1B2A6B"/>
          <w:sz w:val="21"/>
        </w:rPr>
        <w:t xml:space="preserve">Keep the KG fresh on a cadence, not ad hoc. </w:t>
      </w:r>
      <w:r>
        <w:rPr>
          <w:rFonts w:ascii="Calibri" w:hAnsi="Calibri"/>
          <w:b w:val="0"/>
          <w:i w:val="0"/>
          <w:color w:val="1A1A2E"/>
          <w:sz w:val="21"/>
        </w:rPr>
        <w:t>Every new proposal that lands should flow back into the graph within the same week — see §7 for the exact 5-script pipeline.</w:t>
      </w:r>
    </w:p>
    <w:p>
      <w:pPr>
        <w:pStyle w:val="ListNumber"/>
        <w:spacing w:after="60"/>
      </w:pPr>
      <w:r>
        <w:rPr>
          <w:rFonts w:ascii="Calibri" w:hAnsi="Calibri"/>
          <w:b/>
          <w:i w:val="0"/>
          <w:color w:val="1B2A6B"/>
          <w:sz w:val="21"/>
        </w:rPr>
        <w:t xml:space="preserve">Grow the contributor base. </w:t>
      </w:r>
      <w:r>
        <w:rPr>
          <w:rFonts w:ascii="Calibri" w:hAnsi="Calibri"/>
          <w:b w:val="0"/>
          <w:i w:val="0"/>
          <w:color w:val="1A1A2E"/>
          <w:sz w:val="21"/>
        </w:rPr>
        <w:t>Right now changes route through one maintainer. As more NPTs and PMs touch the skills, the branch → PR → version-bump discipline in §6 needs to hold under more hands, not just one.</w:t>
      </w:r>
    </w:p>
    <w:p>
      <w:pPr>
        <w:pStyle w:val="ListNumber"/>
        <w:spacing w:after="60"/>
      </w:pPr>
      <w:r>
        <w:rPr>
          <w:rFonts w:ascii="Calibri" w:hAnsi="Calibri"/>
          <w:b/>
          <w:i w:val="0"/>
          <w:color w:val="1B2A6B"/>
          <w:sz w:val="21"/>
        </w:rPr>
        <w:t xml:space="preserve">Take the pattern beyond B2B pre-sales. </w:t>
      </w:r>
      <w:r>
        <w:rPr>
          <w:rFonts w:ascii="Calibri" w:hAnsi="Calibri"/>
          <w:b w:val="0"/>
          <w:i w:val="0"/>
          <w:color w:val="1A1A2E"/>
          <w:sz w:val="21"/>
        </w:rPr>
        <w:t>The KG-plus-plugin architecture isn't specific to proposals — see §8 for the generalized playbook.</w:t>
      </w:r>
    </w:p>
    <w:tbl>
      <w:tblPr>
        <w:tblW w:type="auto" w:w="0"/>
        <w:tblLook w:firstColumn="1" w:firstRow="1" w:lastColumn="0" w:lastRow="0" w:noHBand="0" w:noVBand="1" w:val="04A0"/>
      </w:tblPr>
      <w:tblGrid>
        <w:gridCol w:w="9792"/>
      </w:tblGrid>
      <w:tr>
        <w:tc>
          <w:tcPr>
            <w:tcW w:type="dxa" w:w="9792"/>
            <w:shd w:val="clear" w:color="auto" w:fill="EAFBF3"/>
            <w:tcBorders>
              <w:top w:val="single" w:sz="4" w:space="0" w:color="0A8754"/>
              <w:left w:val="single" w:sz="4" w:space="0" w:color="0A8754"/>
              <w:bottom w:val="single" w:sz="4" w:space="0" w:color="0A8754"/>
              <w:right w:val="single" w:sz="4" w:space="0" w:color="0A8754"/>
            </w:tcBorders>
          </w:tcPr>
          <w:p>
            <w:pPr>
              <w:spacing w:before="120" w:after="40"/>
            </w:pPr>
            <w:r>
              <w:rPr>
                <w:rFonts w:ascii="Calibri" w:hAnsi="Calibri"/>
                <w:b/>
                <w:i w:val="0"/>
                <w:color w:val="1B2A6B"/>
                <w:sz w:val="20"/>
              </w:rPr>
              <w:t xml:space="preserve">COMPANION DOCUMENTS  </w:t>
            </w:r>
          </w:p>
          <w:p>
            <w:pPr>
              <w:spacing w:after="120"/>
            </w:pPr>
            <w:r>
              <w:rPr>
                <w:rFonts w:ascii="Calibri" w:hAnsi="Calibri"/>
                <w:b w:val="0"/>
                <w:i w:val="0"/>
                <w:color w:val="1A1A2E"/>
                <w:sz w:val="20"/>
              </w:rPr>
              <w:t>Acceler Plugin Setup &amp; Update Guide (.docx) · Acceler Atlas Documentation Hub (index.html, same folder) — the visual walkthrough with real screenshots and both live Knowledge Graphs embedded.</w:t>
            </w:r>
          </w:p>
        </w:tc>
      </w:tr>
    </w:tbl>
    <w:p>
      <w:pPr>
        <w:spacing w:after="40"/>
      </w:pPr>
    </w:p>
    <w:p>
      <w:pPr>
        <w:spacing w:before="80" w:after="120"/>
      </w:pPr>
      <w:r>
        <w:rPr>
          <w:rFonts w:ascii="Calibri" w:hAnsi="Calibri"/>
          <w:b w:val="0"/>
          <w:i/>
          <w:color w:val="555566"/>
          <w:sz w:val="19"/>
        </w:rPr>
        <w:t>— Utkarsh Raj, Acceler B2B  ·  July 2026</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color w:val="555566"/>
        <w:sz w:val="16"/>
      </w:rPr>
      <w:t>Acceler B2B  ·  Internal — Not for external distribution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