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240"/>
              <w:left w:type="dxa" w:w="280"/>
              <w:bottom w:type="dxa" w:w="240"/>
              <w:right w:type="dxa" w:w="280"/>
            </w:tcMar>
          </w:tcPr>
          <w:p>
            <w:pPr>
              <w:spacing w:after="100" w:before="0"/>
            </w:pPr>
            <w:r>
              <w:rPr>
                <w:rFonts w:ascii="Calibri" w:cs="Calibri" w:eastAsia="Calibri" w:hAnsi="Calibri"/>
                <w:b/>
                <w:bCs/>
                <w:color w:val="2563EB"/>
                <w:spacing w:val="60"/>
                <w:sz w:val="18"/>
                <w:szCs w:val="18"/>
              </w:rPr>
              <w:t xml:space="preserve">PARTICIPANT SCENARIO</w:t>
            </w:r>
          </w:p>
          <w:p>
            <w:pPr>
              <w:spacing w:after="120" w:before="0"/>
            </w:pPr>
            <w:r>
              <w:rPr>
                <w:rFonts w:ascii="Calibri" w:cs="Calibri" w:eastAsia="Calibri" w:hAnsi="Calibri"/>
                <w:b/>
                <w:bCs/>
                <w:color w:val="1B3A6B"/>
                <w:sz w:val="48"/>
                <w:szCs w:val="48"/>
              </w:rPr>
              <w:t xml:space="preserve">CCO Account Intelligence Agent</w:t>
            </w:r>
          </w:p>
          <w:p>
            <w:pPr>
              <w:spacing w:after="0" w:before="0"/>
            </w:pPr>
            <w:r>
              <w:rPr>
                <w:rFonts w:ascii="Calibri" w:cs="Calibri" w:eastAsia="Calibri" w:hAnsi="Calibri"/>
                <w:color w:val="6B7280"/>
                <w:sz w:val="21"/>
                <w:szCs w:val="21"/>
              </w:rPr>
              <w:t xml:space="preserve">Your AI agent for commercial account intelligence — built in one session.</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Calibri" w:cs="Calibri" w:eastAsia="Calibri" w:hAnsi="Calibri"/>
                <w:b/>
                <w:bCs/>
                <w:color w:val="2563EB"/>
                <w:spacing w:val="40"/>
                <w:sz w:val="18"/>
                <w:szCs w:val="18"/>
              </w:rPr>
              <w:t xml:space="preserve">01  ·  YOUR PERSONA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thick" w:color="2563EB" w:sz="16"/>
              <w:bottom w:val="single" w:color="DBEAFE" w:sz="1"/>
              <w:right w:val="none" w:color="FFFFFF" w:sz="0"/>
            </w:tcBorders>
            <w:shd w:fill="EFF6FF" w:val="clear"/>
            <w:tcMar>
              <w:top w:type="dxa" w:w="140"/>
              <w:left w:type="dxa" w:w="240"/>
              <w:bottom w:type="dxa" w:w="140"/>
              <w:right w:type="dxa" w:w="200"/>
            </w:tcMar>
          </w:tcPr>
          <w:p>
            <w:pPr>
              <w:spacing w:after="120" w:before="0"/>
            </w:pPr>
            <w:r>
              <w:rPr>
                <w:rFonts w:ascii="Calibri" w:cs="Calibri" w:eastAsia="Calibri" w:hAnsi="Calibri"/>
                <w:b/>
                <w:bCs/>
                <w:color w:val="1B3A6B"/>
                <w:sz w:val="21"/>
                <w:szCs w:val="21"/>
              </w:rPr>
              <w:t xml:space="preserve">You are the Chief Commercial Officer (CCO) of a leading telecom operator in Central and Eastern Europe (CEE).</w:t>
            </w:r>
          </w:p>
          <w:p>
            <w:pPr>
              <w:spacing w:after="100" w:before="0"/>
            </w:pPr>
            <w:r>
              <w:rPr>
                <w:rFonts w:ascii="Calibri" w:cs="Calibri" w:eastAsia="Calibri" w:hAnsi="Calibri"/>
                <w:color w:val="3C3C3C"/>
                <w:sz w:val="20"/>
                <w:szCs w:val="20"/>
              </w:rPr>
              <w:t xml:space="preserve">Your company is one of the top three mobile operators in the region, operating across multiple CEE markets. You are responsible for all enterprise B2B commercial relationships — from contract renewals to new business development to competitive positioning.</w:t>
            </w:r>
          </w:p>
          <w:p>
            <w:pPr>
              <w:spacing w:after="0" w:before="0"/>
            </w:pPr>
            <w:r>
              <w:rPr>
                <w:rFonts w:ascii="Calibri" w:cs="Calibri" w:eastAsia="Calibri" w:hAnsi="Calibri"/>
                <w:b/>
                <w:bCs/>
                <w:color w:val="1B3A6B"/>
                <w:sz w:val="20"/>
                <w:szCs w:val="20"/>
              </w:rPr>
              <w:t xml:space="preserve">Your challenge:</w:t>
            </w:r>
            <w:r>
              <w:rPr>
                <w:rFonts w:ascii="Calibri" w:cs="Calibri" w:eastAsia="Calibri" w:hAnsi="Calibri"/>
                <w:color w:val="3C3C3C"/>
                <w:sz w:val="20"/>
                <w:szCs w:val="20"/>
              </w:rPr>
              <w:t xml:space="preserve"> You manage five large enterprise accounts simultaneously. Each has its own relationship history, contract status, and competitive pressure. You also have a board expecting Q2 revenue targets to be met. You need commercial intelligence fast — before every meeting, every call, every decision.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2563EB"/>
                <w:sz w:val="19"/>
                <w:szCs w:val="19"/>
              </w:rPr>
              <w:t xml:space="preserve">Role</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3C3C3C"/>
                <w:sz w:val="19"/>
                <w:szCs w:val="19"/>
              </w:rPr>
              <w:t xml:space="preserve">Chief Commercial Officer (CCO)</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2563EB"/>
                <w:sz w:val="19"/>
                <w:szCs w:val="19"/>
              </w:rPr>
              <w:t xml:space="preserve">Company</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3C3C3C"/>
                <w:sz w:val="19"/>
                <w:szCs w:val="19"/>
              </w:rPr>
              <w:t xml:space="preserve">Leading CEE telecom operator — top 3 mobile operator in Central and Eastern Europe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2563EB"/>
                <w:sz w:val="19"/>
                <w:szCs w:val="19"/>
              </w:rPr>
              <w:t xml:space="preserve">Your focus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3C3C3C"/>
                <w:sz w:val="19"/>
                <w:szCs w:val="19"/>
              </w:rPr>
              <w:t xml:space="preserve">Enterprise B2B accounts — renewals, new business, competitive defence, revenue performance</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2563EB"/>
                <w:sz w:val="19"/>
                <w:szCs w:val="19"/>
              </w:rPr>
              <w:t xml:space="preserve">Competitors</w:t>
            </w:r>
          </w:p>
        </w:tc>
        <w:tc>
          <w:tcPr>
            <w:tcW w:type="dxa" w:w="73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3C3C3C"/>
                <w:sz w:val="19"/>
                <w:szCs w:val="19"/>
              </w:rPr>
              <w:t xml:space="preserve">Magyar Telekom · Vodafone Hungary · 4iG · DIGI  |  A1 · Vivacom</w:t>
            </w:r>
          </w:p>
        </w:tc>
      </w:tr>
    </w:tbl>
    <w:p>
      <w:pPr>
        <w:spacing w:after="0" w:before="280"/>
      </w:pPr>
      <w:r>
        <w:t xml:space="preserve"/>
      </w:r>
    </w:p>
    <w:p>
      <w:pPr>
        <w:pBdr>
          <w:bottom w:val="single" w:color="E5E7EB"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Calibri" w:cs="Calibri" w:eastAsia="Calibri" w:hAnsi="Calibri"/>
                <w:b/>
                <w:bCs/>
                <w:color w:val="2563EB"/>
                <w:spacing w:val="40"/>
                <w:sz w:val="18"/>
                <w:szCs w:val="18"/>
              </w:rPr>
              <w:t xml:space="preserve">02  ·  YOUR FIVE ENTERPRISE ACCOUNTS</w:t>
            </w:r>
          </w:p>
        </w:tc>
      </w:tr>
    </w:tbl>
    <w:p>
      <w:pPr>
        <w:spacing w:after="0" w:before="120"/>
      </w:pPr>
      <w:r>
        <w:t xml:space="preserve"/>
      </w:r>
    </w:p>
    <w:p>
      <w:pPr>
        <w:spacing w:after="60" w:before="60"/>
      </w:pPr>
      <w:r>
        <w:rPr>
          <w:rFonts w:ascii="Calibri" w:cs="Calibri" w:eastAsia="Calibri" w:hAnsi="Calibri"/>
          <w:i w:val="false"/>
          <w:iCs w:val="false"/>
          <w:color w:val="3C3C3C"/>
          <w:sz w:val="20"/>
          <w:szCs w:val="20"/>
        </w:rPr>
        <w:t xml:space="preserve">These are the accounts your agent knows about. Each has its own context, status, and challenge. You will use these as the basis for your agent conversations throughout the session.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560"/>
              <w:gridCol w:w="3400"/>
            </w:tblGrid>
            <w:tr>
              <w:tc>
                <w:tcPr>
                  <w:tcW w:type="dxa" w:w="55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pPr>
                  <w:r>
                    <w:rPr>
                      <w:rFonts w:ascii="Calibri" w:cs="Calibri" w:eastAsia="Calibri" w:hAnsi="Calibri"/>
                      <w:b/>
                      <w:bCs/>
                      <w:color w:val="1B3A6B"/>
                      <w:sz w:val="24"/>
                      <w:szCs w:val="24"/>
                    </w:rPr>
                    <w:t xml:space="preserve">Fortis Bank</w:t>
                  </w:r>
                </w:p>
                <w:p>
                  <w:pPr>
                    <w:spacing w:after="0" w:before="0"/>
                  </w:pPr>
                  <w:r>
                    <w:rPr>
                      <w:rFonts w:ascii="Calibri" w:cs="Calibri" w:eastAsia="Calibri" w:hAnsi="Calibri"/>
                      <w:color w:val="6B7280"/>
                      <w:sz w:val="18"/>
                      <w:szCs w:val="18"/>
                    </w:rPr>
                    <w:t xml:space="preserve">Banking &amp; Financial Services</w:t>
                  </w:r>
                </w:p>
              </w:tc>
              <w:tc>
                <w:tcPr>
                  <w:tcW w:type="dxa" w:w="3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rPr>
                      <w:rFonts w:ascii="Calibri" w:cs="Calibri" w:eastAsia="Calibri" w:hAnsi="Calibri"/>
                      <w:b/>
                      <w:bCs/>
                      <w:color w:val="991B1B"/>
                      <w:sz w:val="18"/>
                      <w:szCs w:val="18"/>
                    </w:rPr>
                    <w:t xml:space="preserve">⚠️ Renewal at risk</w:t>
                  </w:r>
                </w:p>
              </w:tc>
            </w:tr>
          </w:tbl>
          <w:p>
            <w:pPr>
              <w:spacing w:after="0" w:before="100"/>
            </w:pPr>
            <w:r>
              <w:t xml:space="preserve"/>
            </w:r>
          </w:p>
          <w:p>
            <w:pPr>
              <w:spacing w:after="0" w:before="0"/>
            </w:pPr>
            <w:r>
              <w:rPr>
                <w:rFonts w:ascii="Calibri" w:cs="Calibri" w:eastAsia="Calibri" w:hAnsi="Calibri"/>
                <w:color w:val="3C3C3C"/>
                <w:sz w:val="19"/>
                <w:szCs w:val="19"/>
              </w:rPr>
              <w:t xml:space="preserve">One of your largest enterprise clients. €2.1M annual contract. They handle enterprise connectivity and secure leased lines for their banking infrastructure. Their contract is up for renewal in Q3 2026 and Magyar Telekom is actively pitching a competitive offer. The relationship is strong but price pressure is real.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560"/>
              <w:gridCol w:w="3400"/>
            </w:tblGrid>
            <w:tr>
              <w:tc>
                <w:tcPr>
                  <w:tcW w:type="dxa" w:w="55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pPr>
                  <w:r>
                    <w:rPr>
                      <w:rFonts w:ascii="Calibri" w:cs="Calibri" w:eastAsia="Calibri" w:hAnsi="Calibri"/>
                      <w:b/>
                      <w:bCs/>
                      <w:color w:val="1B3A6B"/>
                      <w:sz w:val="24"/>
                      <w:szCs w:val="24"/>
                    </w:rPr>
                    <w:t xml:space="preserve">Balkan Logistics</w:t>
                  </w:r>
                </w:p>
                <w:p>
                  <w:pPr>
                    <w:spacing w:after="0" w:before="0"/>
                  </w:pPr>
                  <w:r>
                    <w:rPr>
                      <w:rFonts w:ascii="Calibri" w:cs="Calibri" w:eastAsia="Calibri" w:hAnsi="Calibri"/>
                      <w:color w:val="6B7280"/>
                      <w:sz w:val="18"/>
                      <w:szCs w:val="18"/>
                    </w:rPr>
                    <w:t xml:space="preserve">Logistics &amp; Supply Chain</w:t>
                  </w:r>
                </w:p>
              </w:tc>
              <w:tc>
                <w:tcPr>
                  <w:tcW w:type="dxa" w:w="3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rPr>
                      <w:rFonts w:ascii="Calibri" w:cs="Calibri" w:eastAsia="Calibri" w:hAnsi="Calibri"/>
                      <w:b/>
                      <w:bCs/>
                      <w:color w:val="166534"/>
                      <w:sz w:val="18"/>
                      <w:szCs w:val="18"/>
                    </w:rPr>
                    <w:t xml:space="preserve">✅ Active — upsell opportunity</w:t>
                  </w:r>
                </w:p>
              </w:tc>
            </w:tr>
          </w:tbl>
          <w:p>
            <w:pPr>
              <w:spacing w:after="0" w:before="100"/>
            </w:pPr>
            <w:r>
              <w:t xml:space="preserve"/>
            </w:r>
          </w:p>
          <w:p>
            <w:pPr>
              <w:spacing w:after="0" w:before="0"/>
            </w:pPr>
            <w:r>
              <w:rPr>
                <w:rFonts w:ascii="Calibri" w:cs="Calibri" w:eastAsia="Calibri" w:hAnsi="Calibri"/>
                <w:color w:val="3C3C3C"/>
                <w:sz w:val="19"/>
                <w:szCs w:val="19"/>
              </w:rPr>
              <w:t xml:space="preserve">A growing logistics company with 400+ SIM cards across their fleet. You recently submitted a proposal to upgrade them to a 5G IoT fleet management solution worth ~€1.8M over three years. They are interested but have concerns about implementation timeline and pricing on one module.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560"/>
              <w:gridCol w:w="3400"/>
            </w:tblGrid>
            <w:tr>
              <w:tc>
                <w:tcPr>
                  <w:tcW w:type="dxa" w:w="55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pPr>
                  <w:r>
                    <w:rPr>
                      <w:rFonts w:ascii="Calibri" w:cs="Calibri" w:eastAsia="Calibri" w:hAnsi="Calibri"/>
                      <w:b/>
                      <w:bCs/>
                      <w:color w:val="1B3A6B"/>
                      <w:sz w:val="24"/>
                      <w:szCs w:val="24"/>
                    </w:rPr>
                    <w:t xml:space="preserve">CentroMed</w:t>
                  </w:r>
                </w:p>
                <w:p>
                  <w:pPr>
                    <w:spacing w:after="0" w:before="0"/>
                  </w:pPr>
                  <w:r>
                    <w:rPr>
                      <w:rFonts w:ascii="Calibri" w:cs="Calibri" w:eastAsia="Calibri" w:hAnsi="Calibri"/>
                      <w:color w:val="6B7280"/>
                      <w:sz w:val="18"/>
                      <w:szCs w:val="18"/>
                    </w:rPr>
                    <w:t xml:space="preserve">Healthcare</w:t>
                  </w:r>
                </w:p>
              </w:tc>
              <w:tc>
                <w:tcPr>
                  <w:tcW w:type="dxa" w:w="3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rPr>
                      <w:rFonts w:ascii="Calibri" w:cs="Calibri" w:eastAsia="Calibri" w:hAnsi="Calibri"/>
                      <w:b/>
                      <w:bCs/>
                      <w:color w:val="991B1B"/>
                      <w:sz w:val="18"/>
                      <w:szCs w:val="18"/>
                    </w:rPr>
                    <w:t xml:space="preserve">🔴 Escalation — contract at risk</w:t>
                  </w:r>
                </w:p>
              </w:tc>
            </w:tr>
          </w:tbl>
          <w:p>
            <w:pPr>
              <w:spacing w:after="0" w:before="100"/>
            </w:pPr>
            <w:r>
              <w:t xml:space="preserve"/>
            </w:r>
          </w:p>
          <w:p>
            <w:pPr>
              <w:spacing w:after="0" w:before="0"/>
            </w:pPr>
            <w:r>
              <w:rPr>
                <w:rFonts w:ascii="Calibri" w:cs="Calibri" w:eastAsia="Calibri" w:hAnsi="Calibri"/>
                <w:color w:val="3C3C3C"/>
                <w:sz w:val="19"/>
                <w:szCs w:val="19"/>
              </w:rPr>
              <w:t xml:space="preserve">A hospital group relying on your network for critical connectivity including ICU and radiology. They have experienced three network outages in the last six weeks and their COO has formally escalated. Vodafone has already made contact. This account needs urgent personal attention.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560"/>
              <w:gridCol w:w="3400"/>
            </w:tblGrid>
            <w:tr>
              <w:tc>
                <w:tcPr>
                  <w:tcW w:type="dxa" w:w="55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pPr>
                  <w:r>
                    <w:rPr>
                      <w:rFonts w:ascii="Calibri" w:cs="Calibri" w:eastAsia="Calibri" w:hAnsi="Calibri"/>
                      <w:b/>
                      <w:bCs/>
                      <w:color w:val="1B3A6B"/>
                      <w:sz w:val="24"/>
                      <w:szCs w:val="24"/>
                    </w:rPr>
                    <w:t xml:space="preserve">Adriatek Manufacturing</w:t>
                  </w:r>
                </w:p>
                <w:p>
                  <w:pPr>
                    <w:spacing w:after="0" w:before="0"/>
                  </w:pPr>
                  <w:r>
                    <w:rPr>
                      <w:rFonts w:ascii="Calibri" w:cs="Calibri" w:eastAsia="Calibri" w:hAnsi="Calibri"/>
                      <w:color w:val="6B7280"/>
                      <w:sz w:val="18"/>
                      <w:szCs w:val="18"/>
                    </w:rPr>
                    <w:t xml:space="preserve">Manufacturing &amp; Industry</w:t>
                  </w:r>
                </w:p>
              </w:tc>
              <w:tc>
                <w:tcPr>
                  <w:tcW w:type="dxa" w:w="3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rPr>
                      <w:rFonts w:ascii="Calibri" w:cs="Calibri" w:eastAsia="Calibri" w:hAnsi="Calibri"/>
                      <w:b/>
                      <w:bCs/>
                      <w:color w:val="92400E"/>
                      <w:sz w:val="18"/>
                      <w:szCs w:val="18"/>
                    </w:rPr>
                    <w:t xml:space="preserve">🆕 New prospect</w:t>
                  </w:r>
                </w:p>
              </w:tc>
            </w:tr>
          </w:tbl>
          <w:p>
            <w:pPr>
              <w:spacing w:after="0" w:before="100"/>
            </w:pPr>
            <w:r>
              <w:t xml:space="preserve"/>
            </w:r>
          </w:p>
          <w:p>
            <w:pPr>
              <w:spacing w:after="0" w:before="0"/>
            </w:pPr>
            <w:r>
              <w:rPr>
                <w:rFonts w:ascii="Calibri" w:cs="Calibri" w:eastAsia="Calibri" w:hAnsi="Calibri"/>
                <w:color w:val="3C3C3C"/>
                <w:sz w:val="19"/>
                <w:szCs w:val="19"/>
              </w:rPr>
              <w:t xml:space="preserve">A manufacturing company currently with Vodafone who reached out to explore alternatives. They are interested in private 5G and IoT connectivity across three plants. This is your first formal meeting — a significant new business opportunity if handled well.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60"/>
              <w:left w:type="dxa" w:w="200"/>
              <w:bottom w:type="dxa" w:w="160"/>
              <w:right w:type="dxa" w:w="20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560"/>
              <w:gridCol w:w="3400"/>
            </w:tblGrid>
            <w:tr>
              <w:tc>
                <w:tcPr>
                  <w:tcW w:type="dxa" w:w="55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0"/>
                  </w:pPr>
                  <w:r>
                    <w:rPr>
                      <w:rFonts w:ascii="Calibri" w:cs="Calibri" w:eastAsia="Calibri" w:hAnsi="Calibri"/>
                      <w:b/>
                      <w:bCs/>
                      <w:color w:val="1B3A6B"/>
                      <w:sz w:val="24"/>
                      <w:szCs w:val="24"/>
                    </w:rPr>
                    <w:t xml:space="preserve">EuroRetail Group</w:t>
                  </w:r>
                </w:p>
                <w:p>
                  <w:pPr>
                    <w:spacing w:after="0" w:before="0"/>
                  </w:pPr>
                  <w:r>
                    <w:rPr>
                      <w:rFonts w:ascii="Calibri" w:cs="Calibri" w:eastAsia="Calibri" w:hAnsi="Calibri"/>
                      <w:color w:val="6B7280"/>
                      <w:sz w:val="18"/>
                      <w:szCs w:val="18"/>
                    </w:rPr>
                    <w:t xml:space="preserve">Retail &amp; Consumer</w:t>
                  </w:r>
                </w:p>
              </w:tc>
              <w:tc>
                <w:tcPr>
                  <w:tcW w:type="dxa" w:w="3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rPr>
                      <w:rFonts w:ascii="Calibri" w:cs="Calibri" w:eastAsia="Calibri" w:hAnsi="Calibri"/>
                      <w:b/>
                      <w:bCs/>
                      <w:color w:val="92400E"/>
                      <w:sz w:val="18"/>
                      <w:szCs w:val="18"/>
                    </w:rPr>
                    <w:t xml:space="preserve">🟡 Stable — competitive alert</w:t>
                  </w:r>
                </w:p>
              </w:tc>
            </w:tr>
          </w:tbl>
          <w:p>
            <w:pPr>
              <w:spacing w:after="0" w:before="100"/>
            </w:pPr>
            <w:r>
              <w:t xml:space="preserve"/>
            </w:r>
          </w:p>
          <w:p>
            <w:pPr>
              <w:spacing w:after="0" w:before="0"/>
            </w:pPr>
            <w:r>
              <w:rPr>
                <w:rFonts w:ascii="Calibri" w:cs="Calibri" w:eastAsia="Calibri" w:hAnsi="Calibri"/>
                <w:color w:val="3C3C3C"/>
                <w:sz w:val="19"/>
                <w:szCs w:val="19"/>
              </w:rPr>
              <w:t xml:space="preserve">A retail chain with 120 store locations relying on your connectivity for payment systems and store operations. They are currently satisfied but DIGI recently submitted an unsolicited competitive proposal. They are open to discussion but expect a response from your side.</w:t>
            </w:r>
          </w:p>
        </w:tc>
      </w:tr>
    </w:tbl>
    <w:p>
      <w:pPr>
        <w:spacing w:after="0" w:before="100"/>
      </w:pPr>
      <w:r>
        <w:t xml:space="preserve"/>
      </w:r>
    </w:p>
    <w:p>
      <w:pPr>
        <w:spacing w:after="0" w:before="180"/>
      </w:pPr>
      <w:r>
        <w:t xml:space="preserve"/>
      </w:r>
    </w:p>
    <w:p>
      <w:pPr>
        <w:pBdr>
          <w:bottom w:val="single" w:color="E5E7EB"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80"/>
              <w:left w:type="dxa" w:w="160"/>
              <w:bottom w:type="dxa" w:w="80"/>
              <w:right w:type="dxa" w:w="160"/>
            </w:tcMar>
          </w:tcPr>
          <w:p>
            <w:r>
              <w:rPr>
                <w:rFonts w:ascii="Calibri" w:cs="Calibri" w:eastAsia="Calibri" w:hAnsi="Calibri"/>
                <w:b/>
                <w:bCs/>
                <w:color w:val="2563EB"/>
                <w:spacing w:val="40"/>
                <w:sz w:val="18"/>
                <w:szCs w:val="18"/>
              </w:rPr>
              <w:t xml:space="preserve">03  ·  YOUR BUILD — THREE STAGES</w:t>
            </w:r>
          </w:p>
        </w:tc>
      </w:tr>
    </w:tbl>
    <w:p>
      <w:pPr>
        <w:spacing w:after="0" w:before="120"/>
      </w:pPr>
      <w:r>
        <w:t xml:space="preserve"/>
      </w:r>
    </w:p>
    <w:p>
      <w:pPr>
        <w:spacing w:after="60" w:before="60"/>
      </w:pPr>
      <w:r>
        <w:rPr>
          <w:rFonts w:ascii="Calibri" w:cs="Calibri" w:eastAsia="Calibri" w:hAnsi="Calibri"/>
          <w:i w:val="false"/>
          <w:iCs w:val="false"/>
          <w:color w:val="3C3C3C"/>
          <w:sz w:val="20"/>
          <w:szCs w:val="20"/>
        </w:rPr>
        <w:t xml:space="preserve">You will build your agent in three stages. Each stage adds capability. You choose how far you go — but the further you build, the more powerful the output.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563EB" w:sz="12"/>
              <w:left w:val="none" w:color="FFFFFF" w:sz="0"/>
              <w:bottom w:val="none" w:color="FFFFFF" w:sz="0"/>
              <w:right w:val="none" w:color="FFFFFF" w:sz="0"/>
            </w:tcBorders>
            <w:shd w:fill="EFF6FF" w:val="clear"/>
            <w:tcMar>
              <w:top w:type="dxa" w:w="160"/>
              <w:left w:type="dxa" w:w="240"/>
              <w:bottom w:type="dxa" w:w="160"/>
              <w:right w:type="dxa" w:w="240"/>
            </w:tcMar>
          </w:tcPr>
          <w:p>
            <w:pPr>
              <w:spacing w:after="80" w:before="0"/>
            </w:pPr>
            <w:r>
              <w:rPr>
                <w:rFonts w:ascii="Calibri" w:cs="Calibri" w:eastAsia="Calibri" w:hAnsi="Calibri"/>
                <w:b/>
                <w:bCs/>
                <w:color w:val="2563EB"/>
                <w:spacing w:val="60"/>
                <w:sz w:val="17"/>
                <w:szCs w:val="17"/>
              </w:rPr>
              <w:t xml:space="preserve">STAGE 1</w:t>
            </w:r>
          </w:p>
          <w:p>
            <w:pPr>
              <w:spacing w:after="80" w:before="0"/>
            </w:pPr>
            <w:r>
              <w:rPr>
                <w:rFonts w:ascii="Calibri" w:cs="Calibri" w:eastAsia="Calibri" w:hAnsi="Calibri"/>
                <w:b/>
                <w:bCs/>
                <w:color w:val="1B3A6B"/>
                <w:sz w:val="30"/>
                <w:szCs w:val="30"/>
              </w:rPr>
              <w:t xml:space="preserve">Basic — Q&amp;A with the Agent</w:t>
            </w:r>
          </w:p>
          <w:p>
            <w:pPr>
              <w:spacing w:after="0" w:before="0"/>
            </w:pPr>
            <w:r>
              <w:rPr>
                <w:rFonts w:ascii="Calibri" w:cs="Calibri" w:eastAsia="Calibri" w:hAnsi="Calibri"/>
                <w:color w:val="6B7280"/>
                <w:sz w:val="19"/>
                <w:szCs w:val="19"/>
              </w:rPr>
              <w:t xml:space="preserve">The agent answers questions using its knowledge sources. No connectors yet. You ask, it answers.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Calibri" w:cs="Calibri" w:eastAsia="Calibri" w:hAnsi="Calibri"/>
                <w:b/>
                <w:bCs/>
                <w:color w:val="FFFFFF"/>
                <w:sz w:val="18"/>
                <w:szCs w:val="18"/>
              </w:rPr>
              <w:t xml:space="preserve">INPUT — what the leader provides</w:t>
            </w:r>
          </w:p>
        </w:tc>
        <w:tc>
          <w:tcPr>
            <w:tcW w:type="dxa" w:w="48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Calibri" w:cs="Calibri" w:eastAsia="Calibri" w:hAnsi="Calibri"/>
                <w:b/>
                <w:bCs/>
                <w:color w:val="FFFFFF"/>
                <w:sz w:val="18"/>
                <w:szCs w:val="18"/>
              </w:rPr>
              <w:t xml:space="preserve">OUTPUT — what the agent returns</w:t>
            </w:r>
          </w:p>
        </w:tc>
      </w:tr>
      <w:tr>
        <w:tc>
          <w:tcPr>
            <w:tcW w:type="dxa" w:w="4560"/>
            <w:tcBorders>
              <w:top w:val="single" w:color="D1D5DB" w:sz="1"/>
              <w:left w:val="single" w:color="D1D5DB" w:sz="1"/>
              <w:bottom w:val="single" w:color="D1D5DB" w:sz="1"/>
              <w:right w:val="single" w:color="D1D5DB" w:sz="1"/>
            </w:tcBorders>
            <w:shd w:fill="EFF6FF" w:val="clear"/>
            <w:tcMar>
              <w:top w:type="dxa" w:w="140"/>
              <w:left w:type="dxa" w:w="140"/>
              <w:bottom w:type="dxa" w:w="140"/>
              <w:right w:type="dxa" w:w="140"/>
            </w:tcMar>
          </w:tcPr>
          <w:p>
            <w:pPr>
              <w:spacing w:after="0" w:before="0"/>
            </w:pPr>
            <w:r>
              <w:rPr>
                <w:rFonts w:ascii="Calibri" w:cs="Calibri" w:eastAsia="Calibri" w:hAnsi="Calibri"/>
                <w:color w:val="3C3C3C"/>
                <w:sz w:val="19"/>
                <w:szCs w:val="19"/>
              </w:rPr>
              <w:t xml:space="preserve">A question about one of your accounts, a competitor, or a commercial situation. The leader types a question in natural language — no structured format needed.</w:t>
            </w:r>
          </w:p>
        </w:tc>
        <w:tc>
          <w:tcPr>
            <w:tcW w:type="dxa" w:w="4800"/>
            <w:tcBorders>
              <w:top w:val="single" w:color="D1D5DB" w:sz="1"/>
              <w:left w:val="single" w:color="D1D5DB" w:sz="1"/>
              <w:bottom w:val="single" w:color="D1D5DB" w:sz="1"/>
              <w:right w:val="single" w:color="D1D5DB" w:sz="1"/>
            </w:tcBorders>
            <w:shd w:fill="F3F4F6" w:val="clear"/>
            <w:tcMar>
              <w:top w:type="dxa" w:w="140"/>
              <w:left w:type="dxa" w:w="140"/>
              <w:bottom w:type="dxa" w:w="140"/>
              <w:right w:type="dxa" w:w="140"/>
            </w:tcMar>
          </w:tcPr>
          <w:p>
            <w:pPr>
              <w:pStyle w:val="ListParagraph"/>
              <w:numPr>
                <w:ilvl w:val="0"/>
                <w:numId w:val="2"/>
              </w:numPr>
              <w:spacing w:after="40" w:before="0"/>
            </w:pPr>
            <w:r>
              <w:rPr>
                <w:rFonts w:ascii="Calibri" w:cs="Calibri" w:eastAsia="Calibri" w:hAnsi="Calibri"/>
                <w:color w:val="3C3C3C"/>
                <w:sz w:val="19"/>
                <w:szCs w:val="19"/>
              </w:rPr>
              <w:t xml:space="preserve">A structured answer drawing from the knowledge sources</w:t>
            </w:r>
          </w:p>
          <w:p>
            <w:pPr>
              <w:pStyle w:val="ListParagraph"/>
              <w:numPr>
                <w:ilvl w:val="0"/>
                <w:numId w:val="2"/>
              </w:numPr>
              <w:spacing w:after="40" w:before="40"/>
            </w:pPr>
            <w:r>
              <w:rPr>
                <w:rFonts w:ascii="Calibri" w:cs="Calibri" w:eastAsia="Calibri" w:hAnsi="Calibri"/>
                <w:color w:val="3C3C3C"/>
                <w:sz w:val="19"/>
                <w:szCs w:val="19"/>
              </w:rPr>
              <w:t xml:space="preserve">Account context — who they are, what the relationship looks like, what's at stake</w:t>
            </w:r>
          </w:p>
          <w:p>
            <w:pPr>
              <w:pStyle w:val="ListParagraph"/>
              <w:numPr>
                <w:ilvl w:val="0"/>
                <w:numId w:val="2"/>
              </w:numPr>
              <w:spacing w:after="40" w:before="40"/>
            </w:pPr>
            <w:r>
              <w:rPr>
                <w:rFonts w:ascii="Calibri" w:cs="Calibri" w:eastAsia="Calibri" w:hAnsi="Calibri"/>
                <w:color w:val="3C3C3C"/>
                <w:sz w:val="19"/>
                <w:szCs w:val="19"/>
              </w:rPr>
              <w:t xml:space="preserve">Competitive context — what competitors are doing in this space</w:t>
            </w:r>
          </w:p>
          <w:p>
            <w:pPr>
              <w:pStyle w:val="ListParagraph"/>
              <w:numPr>
                <w:ilvl w:val="0"/>
                <w:numId w:val="2"/>
              </w:numPr>
              <w:spacing w:after="40" w:before="40"/>
            </w:pPr>
            <w:r>
              <w:rPr>
                <w:rFonts w:ascii="Calibri" w:cs="Calibri" w:eastAsia="Calibri" w:hAnsi="Calibri"/>
                <w:color w:val="3C3C3C"/>
                <w:sz w:val="19"/>
                <w:szCs w:val="19"/>
              </w:rPr>
              <w:t xml:space="preserve">A clear, readable response the leader can act on immediately</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92400E" w:sz="12"/>
              <w:left w:val="none" w:color="FFFFFF" w:sz="0"/>
              <w:bottom w:val="none" w:color="FFFFFF" w:sz="0"/>
              <w:right w:val="none" w:color="FFFFFF" w:sz="0"/>
            </w:tcBorders>
            <w:shd w:fill="FFFBEB" w:val="clear"/>
            <w:tcMar>
              <w:top w:type="dxa" w:w="160"/>
              <w:left w:type="dxa" w:w="240"/>
              <w:bottom w:type="dxa" w:w="160"/>
              <w:right w:type="dxa" w:w="240"/>
            </w:tcMar>
          </w:tcPr>
          <w:p>
            <w:pPr>
              <w:spacing w:after="80" w:before="0"/>
            </w:pPr>
            <w:r>
              <w:rPr>
                <w:rFonts w:ascii="Calibri" w:cs="Calibri" w:eastAsia="Calibri" w:hAnsi="Calibri"/>
                <w:b/>
                <w:bCs/>
                <w:color w:val="92400E"/>
                <w:spacing w:val="60"/>
                <w:sz w:val="17"/>
                <w:szCs w:val="17"/>
              </w:rPr>
              <w:t xml:space="preserve">STAGE 2</w:t>
            </w:r>
          </w:p>
          <w:p>
            <w:pPr>
              <w:spacing w:after="80" w:before="0"/>
            </w:pPr>
            <w:r>
              <w:rPr>
                <w:rFonts w:ascii="Calibri" w:cs="Calibri" w:eastAsia="Calibri" w:hAnsi="Calibri"/>
                <w:b/>
                <w:bCs/>
                <w:color w:val="1B3A6B"/>
                <w:sz w:val="30"/>
                <w:szCs w:val="30"/>
              </w:rPr>
              <w:t xml:space="preserve">Intermediate — Brief Delivered to Your Inbox</w:t>
            </w:r>
          </w:p>
          <w:p>
            <w:pPr>
              <w:spacing w:after="0" w:before="0"/>
            </w:pPr>
            <w:r>
              <w:rPr>
                <w:rFonts w:ascii="Calibri" w:cs="Calibri" w:eastAsia="Calibri" w:hAnsi="Calibri"/>
                <w:color w:val="6B7280"/>
                <w:sz w:val="19"/>
                <w:szCs w:val="19"/>
              </w:rPr>
              <w:t xml:space="preserve">The agent automatically emails every response as a formatted brief to the leader's Microsoft 365 inbox. No need to ask — it always sends. The answer doesn't stay in chat — it arrives as a ready-to-use document.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Calibri" w:cs="Calibri" w:eastAsia="Calibri" w:hAnsi="Calibri"/>
                <w:b/>
                <w:bCs/>
                <w:color w:val="FFFFFF"/>
                <w:sz w:val="18"/>
                <w:szCs w:val="18"/>
              </w:rPr>
              <w:t xml:space="preserve">INPUT — what the leader provides</w:t>
            </w:r>
          </w:p>
        </w:tc>
        <w:tc>
          <w:tcPr>
            <w:tcW w:type="dxa" w:w="48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Calibri" w:cs="Calibri" w:eastAsia="Calibri" w:hAnsi="Calibri"/>
                <w:b/>
                <w:bCs/>
                <w:color w:val="FFFFFF"/>
                <w:sz w:val="18"/>
                <w:szCs w:val="18"/>
              </w:rPr>
              <w:t xml:space="preserve">OUTPUT — what the agent returns</w:t>
            </w:r>
          </w:p>
        </w:tc>
      </w:tr>
      <w:tr>
        <w:tc>
          <w:tcPr>
            <w:tcW w:type="dxa" w:w="4560"/>
            <w:tcBorders>
              <w:top w:val="single" w:color="D1D5DB" w:sz="1"/>
              <w:left w:val="single" w:color="D1D5DB" w:sz="1"/>
              <w:bottom w:val="single" w:color="D1D5DB" w:sz="1"/>
              <w:right w:val="single" w:color="D1D5DB" w:sz="1"/>
            </w:tcBorders>
            <w:shd w:fill="FFFBEB" w:val="clear"/>
            <w:tcMar>
              <w:top w:type="dxa" w:w="140"/>
              <w:left w:type="dxa" w:w="140"/>
              <w:bottom w:type="dxa" w:w="140"/>
              <w:right w:type="dxa" w:w="140"/>
            </w:tcMar>
          </w:tcPr>
          <w:p>
            <w:pPr>
              <w:spacing w:after="0" w:before="0"/>
            </w:pPr>
            <w:r>
              <w:rPr>
                <w:rFonts w:ascii="Calibri" w:cs="Calibri" w:eastAsia="Calibri" w:hAnsi="Calibri"/>
                <w:color w:val="3C3C3C"/>
                <w:sz w:val="19"/>
                <w:szCs w:val="19"/>
              </w:rPr>
              <w:t xml:space="preserve">The same question as Stage 1 — no extra instruction needed. Work IQ is connected and the agent automatically sends every brief to the leader's Microsoft 365 inbox.</w:t>
            </w:r>
          </w:p>
        </w:tc>
        <w:tc>
          <w:tcPr>
            <w:tcW w:type="dxa" w:w="4800"/>
            <w:tcBorders>
              <w:top w:val="single" w:color="D1D5DB" w:sz="1"/>
              <w:left w:val="single" w:color="D1D5DB" w:sz="1"/>
              <w:bottom w:val="single" w:color="D1D5DB" w:sz="1"/>
              <w:right w:val="single" w:color="D1D5DB" w:sz="1"/>
            </w:tcBorders>
            <w:shd w:fill="F3F4F6" w:val="clear"/>
            <w:tcMar>
              <w:top w:type="dxa" w:w="140"/>
              <w:left w:type="dxa" w:w="140"/>
              <w:bottom w:type="dxa" w:w="140"/>
              <w:right w:type="dxa" w:w="140"/>
            </w:tcMar>
          </w:tcPr>
          <w:p>
            <w:pPr>
              <w:pStyle w:val="ListParagraph"/>
              <w:numPr>
                <w:ilvl w:val="0"/>
                <w:numId w:val="2"/>
              </w:numPr>
              <w:spacing w:after="40" w:before="0"/>
            </w:pPr>
            <w:r>
              <w:rPr>
                <w:rFonts w:ascii="Calibri" w:cs="Calibri" w:eastAsia="Calibri" w:hAnsi="Calibri"/>
                <w:color w:val="3C3C3C"/>
                <w:sz w:val="19"/>
                <w:szCs w:val="19"/>
              </w:rPr>
              <w:t xml:space="preserve">A formatted email in the leader's inbox — not just a chat response</w:t>
            </w:r>
          </w:p>
          <w:p>
            <w:pPr>
              <w:pStyle w:val="ListParagraph"/>
              <w:numPr>
                <w:ilvl w:val="0"/>
                <w:numId w:val="2"/>
              </w:numPr>
              <w:spacing w:after="40" w:before="40"/>
            </w:pPr>
            <w:r>
              <w:rPr>
                <w:rFonts w:ascii="Calibri" w:cs="Calibri" w:eastAsia="Calibri" w:hAnsi="Calibri"/>
                <w:color w:val="3C3C3C"/>
                <w:sz w:val="19"/>
                <w:szCs w:val="19"/>
              </w:rPr>
              <w:t xml:space="preserve">Subject line that reflects the account or topic</w:t>
            </w:r>
          </w:p>
          <w:p>
            <w:pPr>
              <w:pStyle w:val="ListParagraph"/>
              <w:numPr>
                <w:ilvl w:val="0"/>
                <w:numId w:val="2"/>
              </w:numPr>
              <w:spacing w:after="40" w:before="40"/>
            </w:pPr>
            <w:r>
              <w:rPr>
                <w:rFonts w:ascii="Calibri" w:cs="Calibri" w:eastAsia="Calibri" w:hAnsi="Calibri"/>
                <w:color w:val="3C3C3C"/>
                <w:sz w:val="19"/>
                <w:szCs w:val="19"/>
              </w:rPr>
              <w:t xml:space="preserve">Structured brief: situation summary, key context, what to know, what to do</w:t>
            </w:r>
          </w:p>
          <w:p>
            <w:pPr>
              <w:pStyle w:val="ListParagraph"/>
              <w:numPr>
                <w:ilvl w:val="0"/>
                <w:numId w:val="2"/>
              </w:numPr>
              <w:spacing w:after="40" w:before="40"/>
            </w:pPr>
            <w:r>
              <w:rPr>
                <w:rFonts w:ascii="Calibri" w:cs="Calibri" w:eastAsia="Calibri" w:hAnsi="Calibri"/>
                <w:color w:val="3C3C3C"/>
                <w:sz w:val="19"/>
                <w:szCs w:val="19"/>
              </w:rPr>
              <w:t xml:space="preserve">Ready to forward to a team member or reference before a meeting</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5B21B6" w:sz="12"/>
              <w:left w:val="none" w:color="FFFFFF" w:sz="0"/>
              <w:bottom w:val="none" w:color="FFFFFF" w:sz="0"/>
              <w:right w:val="none" w:color="FFFFFF" w:sz="0"/>
            </w:tcBorders>
            <w:shd w:fill="F5F3FF" w:val="clear"/>
            <w:tcMar>
              <w:top w:type="dxa" w:w="160"/>
              <w:left w:type="dxa" w:w="240"/>
              <w:bottom w:type="dxa" w:w="160"/>
              <w:right w:type="dxa" w:w="240"/>
            </w:tcMar>
          </w:tcPr>
          <w:p>
            <w:pPr>
              <w:spacing w:after="80" w:before="0"/>
            </w:pPr>
            <w:r>
              <w:rPr>
                <w:rFonts w:ascii="Calibri" w:cs="Calibri" w:eastAsia="Calibri" w:hAnsi="Calibri"/>
                <w:b/>
                <w:bCs/>
                <w:color w:val="5B21B6"/>
                <w:spacing w:val="60"/>
                <w:sz w:val="17"/>
                <w:szCs w:val="17"/>
              </w:rPr>
              <w:t xml:space="preserve">STAGE 3</w:t>
            </w:r>
          </w:p>
          <w:p>
            <w:pPr>
              <w:spacing w:after="80" w:before="0"/>
            </w:pPr>
            <w:r>
              <w:rPr>
                <w:rFonts w:ascii="Calibri" w:cs="Calibri" w:eastAsia="Calibri" w:hAnsi="Calibri"/>
                <w:b/>
                <w:bCs/>
                <w:color w:val="1B3A6B"/>
                <w:sz w:val="30"/>
                <w:szCs w:val="30"/>
              </w:rPr>
              <w:t xml:space="preserve">Advanced — Live Context from Email &amp; Calendar</w:t>
            </w:r>
          </w:p>
          <w:p>
            <w:pPr>
              <w:spacing w:after="0" w:before="0"/>
            </w:pPr>
            <w:r>
              <w:rPr>
                <w:rFonts w:ascii="Calibri" w:cs="Calibri" w:eastAsia="Calibri" w:hAnsi="Calibri"/>
                <w:color w:val="6B7280"/>
                <w:sz w:val="19"/>
                <w:szCs w:val="19"/>
              </w:rPr>
              <w:t xml:space="preserve">The agent connects to the leader's real Microsoft 365 data via Work IQ. It reads actual emails and calendar events to produce intelligence grounded in what is really happening — not just what the knowledge sources say.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Calibri" w:cs="Calibri" w:eastAsia="Calibri" w:hAnsi="Calibri"/>
                <w:b/>
                <w:bCs/>
                <w:color w:val="FFFFFF"/>
                <w:sz w:val="18"/>
                <w:szCs w:val="18"/>
              </w:rPr>
              <w:t xml:space="preserve">INPUT — what the leader provides</w:t>
            </w:r>
          </w:p>
        </w:tc>
        <w:tc>
          <w:tcPr>
            <w:tcW w:type="dxa" w:w="4800"/>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r>
              <w:rPr>
                <w:rFonts w:ascii="Calibri" w:cs="Calibri" w:eastAsia="Calibri" w:hAnsi="Calibri"/>
                <w:b/>
                <w:bCs/>
                <w:color w:val="FFFFFF"/>
                <w:sz w:val="18"/>
                <w:szCs w:val="18"/>
              </w:rPr>
              <w:t xml:space="preserve">OUTPUT — what the agent returns</w:t>
            </w:r>
          </w:p>
        </w:tc>
      </w:tr>
      <w:tr>
        <w:tc>
          <w:tcPr>
            <w:tcW w:type="dxa" w:w="4560"/>
            <w:tcBorders>
              <w:top w:val="single" w:color="D1D5DB" w:sz="1"/>
              <w:left w:val="single" w:color="D1D5DB" w:sz="1"/>
              <w:bottom w:val="single" w:color="D1D5DB" w:sz="1"/>
              <w:right w:val="single" w:color="D1D5DB" w:sz="1"/>
            </w:tcBorders>
            <w:shd w:fill="F5F3FF" w:val="clear"/>
            <w:tcMar>
              <w:top w:type="dxa" w:w="140"/>
              <w:left w:type="dxa" w:w="140"/>
              <w:bottom w:type="dxa" w:w="140"/>
              <w:right w:type="dxa" w:w="140"/>
            </w:tcMar>
          </w:tcPr>
          <w:p>
            <w:pPr>
              <w:spacing w:after="0" w:before="0"/>
            </w:pPr>
            <w:r>
              <w:rPr>
                <w:rFonts w:ascii="Calibri" w:cs="Calibri" w:eastAsia="Calibri" w:hAnsi="Calibri"/>
                <w:color w:val="3C3C3C"/>
                <w:sz w:val="19"/>
                <w:szCs w:val="19"/>
              </w:rPr>
              <w:t xml:space="preserve">A question about an account or upcoming meeting. Work IQ is connected — the agent reads the leader's actual email threads and calendar entries related to that account before responding.</w:t>
            </w:r>
          </w:p>
        </w:tc>
        <w:tc>
          <w:tcPr>
            <w:tcW w:type="dxa" w:w="4800"/>
            <w:tcBorders>
              <w:top w:val="single" w:color="D1D5DB" w:sz="1"/>
              <w:left w:val="single" w:color="D1D5DB" w:sz="1"/>
              <w:bottom w:val="single" w:color="D1D5DB" w:sz="1"/>
              <w:right w:val="single" w:color="D1D5DB" w:sz="1"/>
            </w:tcBorders>
            <w:shd w:fill="F3F4F6" w:val="clear"/>
            <w:tcMar>
              <w:top w:type="dxa" w:w="140"/>
              <w:left w:type="dxa" w:w="140"/>
              <w:bottom w:type="dxa" w:w="140"/>
              <w:right w:type="dxa" w:w="140"/>
            </w:tcMar>
          </w:tcPr>
          <w:p>
            <w:pPr>
              <w:pStyle w:val="ListParagraph"/>
              <w:numPr>
                <w:ilvl w:val="0"/>
                <w:numId w:val="2"/>
              </w:numPr>
              <w:spacing w:after="40" w:before="0"/>
            </w:pPr>
            <w:r>
              <w:rPr>
                <w:rFonts w:ascii="Calibri" w:cs="Calibri" w:eastAsia="Calibri" w:hAnsi="Calibri"/>
                <w:color w:val="3C3C3C"/>
                <w:sz w:val="19"/>
                <w:szCs w:val="19"/>
              </w:rPr>
              <w:t xml:space="preserve">A brief grounded in live data — not just knowledge sources</w:t>
            </w:r>
          </w:p>
          <w:p>
            <w:pPr>
              <w:pStyle w:val="ListParagraph"/>
              <w:numPr>
                <w:ilvl w:val="0"/>
                <w:numId w:val="2"/>
              </w:numPr>
              <w:spacing w:after="40" w:before="40"/>
            </w:pPr>
            <w:r>
              <w:rPr>
                <w:rFonts w:ascii="Calibri" w:cs="Calibri" w:eastAsia="Calibri" w:hAnsi="Calibri"/>
                <w:color w:val="3C3C3C"/>
                <w:sz w:val="19"/>
                <w:szCs w:val="19"/>
              </w:rPr>
              <w:t xml:space="preserve">What has actually happened with this account recently — emails, commitments, issues</w:t>
            </w:r>
          </w:p>
          <w:p>
            <w:pPr>
              <w:pStyle w:val="ListParagraph"/>
              <w:numPr>
                <w:ilvl w:val="0"/>
                <w:numId w:val="2"/>
              </w:numPr>
              <w:spacing w:after="40" w:before="40"/>
            </w:pPr>
            <w:r>
              <w:rPr>
                <w:rFonts w:ascii="Calibri" w:cs="Calibri" w:eastAsia="Calibri" w:hAnsi="Calibri"/>
                <w:color w:val="3C3C3C"/>
                <w:sz w:val="19"/>
                <w:szCs w:val="19"/>
              </w:rPr>
              <w:t xml:space="preserve">What is coming up in the calendar — meetings, calls, deadlines</w:t>
            </w:r>
          </w:p>
          <w:p>
            <w:pPr>
              <w:pStyle w:val="ListParagraph"/>
              <w:numPr>
                <w:ilvl w:val="0"/>
                <w:numId w:val="2"/>
              </w:numPr>
              <w:spacing w:after="40" w:before="40"/>
            </w:pPr>
            <w:r>
              <w:rPr>
                <w:rFonts w:ascii="Calibri" w:cs="Calibri" w:eastAsia="Calibri" w:hAnsi="Calibri"/>
                <w:color w:val="3C3C3C"/>
                <w:sz w:val="19"/>
                <w:szCs w:val="19"/>
              </w:rPr>
              <w:t xml:space="preserve">A richer, more specific output that reflects the real current situation</w:t>
            </w:r>
          </w:p>
        </w:tc>
      </w:tr>
    </w:tbl>
    <w:p>
      <w:pPr>
        <w:spacing w:after="0" w:before="280"/>
      </w:pPr>
      <w:r>
        <w:t xml:space="preserve"/>
      </w:r>
    </w:p>
    <w:p>
      <w:pPr>
        <w:pBdr>
          <w:bottom w:val="single" w:color="E5E7EB"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thick" w:color="2563EB" w:sz="16"/>
              <w:bottom w:val="single" w:color="DBEAFE" w:sz="1"/>
              <w:right w:val="none" w:color="FFFFFF" w:sz="0"/>
            </w:tcBorders>
            <w:shd w:fill="EFF6FF" w:val="clear"/>
            <w:tcMar>
              <w:top w:type="dxa" w:w="140"/>
              <w:left w:type="dxa" w:w="240"/>
              <w:bottom w:type="dxa" w:w="140"/>
              <w:right w:type="dxa" w:w="200"/>
            </w:tcMar>
          </w:tcPr>
          <w:p>
            <w:pPr>
              <w:spacing w:after="80" w:before="0"/>
            </w:pPr>
            <w:r>
              <w:rPr>
                <w:rFonts w:ascii="Calibri" w:cs="Calibri" w:eastAsia="Calibri" w:hAnsi="Calibri"/>
                <w:b/>
                <w:bCs/>
                <w:color w:val="1B3A6B"/>
                <w:sz w:val="20"/>
                <w:szCs w:val="20"/>
              </w:rPr>
              <w:t xml:space="preserve">Remember</w:t>
            </w:r>
          </w:p>
          <w:p>
            <w:pPr>
              <w:spacing w:after="100" w:before="0"/>
            </w:pPr>
            <w:r>
              <w:rPr>
                <w:rFonts w:ascii="Calibri" w:cs="Calibri" w:eastAsia="Calibri" w:hAnsi="Calibri"/>
                <w:color w:val="3C3C3C"/>
                <w:sz w:val="19"/>
                <w:szCs w:val="19"/>
              </w:rPr>
              <w:t xml:space="preserve">You are not following steps. You are building something you would actually use. Every decision you make — what to ask, how to configure it, how far to push it — is yours. The agent is only as good as what you put into it.</w:t>
            </w:r>
          </w:p>
          <w:p>
            <w:pPr>
              <w:spacing w:after="100" w:before="0"/>
            </w:pPr>
            <w:r>
              <w:rPr>
                <w:rFonts w:ascii="Calibri" w:cs="Calibri" w:eastAsia="Calibri" w:hAnsi="Calibri"/>
                <w:color w:val="3C3C3C"/>
                <w:sz w:val="19"/>
                <w:szCs w:val="19"/>
              </w:rPr>
              <w:t xml:space="preserve">Every response is automatically emailed to your inbox — you do not need to ask for it. Check your email as you build.</w:t>
            </w:r>
          </w:p>
          <w:p>
            <w:r>
              <w:rPr>
                <w:rFonts w:ascii="Calibri" w:cs="Calibri" w:eastAsia="Calibri" w:hAnsi="Calibri"/>
                <w:color w:val="3C3C3C"/>
                <w:sz w:val="19"/>
                <w:szCs w:val="19"/>
              </w:rPr>
              <w:t xml:space="preserve">Your agent also knows about additional accounts and prospects beyond the five listed — including EastPharma Group, a new regional inbound opportunity. Explore freely.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spacing w:after="0" w:before="80"/>
    </w:pPr>
    <w:r>
      <w:rPr>
        <w:rFonts w:ascii="Calibri" w:cs="Calibri" w:eastAsia="Calibri" w:hAnsi="Calibri"/>
        <w:color w:val="9CA3AF"/>
        <w:sz w:val="16"/>
        <w:szCs w:val="16"/>
      </w:rPr>
      <w:t xml:space="preserve">Acceler · Yettel Build Lab · June 2026</w:t>
    </w:r>
    <w:r>
      <w:rPr>
        <w:rFonts w:ascii="Calibri" w:cs="Calibri" w:eastAsia="Calibri" w:hAnsi="Calibri"/>
      </w:rPr>
      <w:t xml:space="preserve">	</w:t>
    </w:r>
    <w:r>
      <w:rPr>
        <w:rFonts w:ascii="Calibri" w:cs="Calibri" w:eastAsia="Calibri" w:hAnsi="Calibri"/>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80" w:before="0"/>
    </w:pPr>
    <w:r>
      <w:rPr>
        <w:rFonts w:ascii="Calibri" w:cs="Calibri" w:eastAsia="Calibri" w:hAnsi="Calibri"/>
        <w:b/>
        <w:bCs/>
        <w:color w:val="1B3A6B"/>
        <w:sz w:val="16"/>
        <w:szCs w:val="16"/>
      </w:rPr>
      <w:t xml:space="preserve">YETTEL BUILD LAB 2026  ·  CCO ACCOUNT INTELLIGENCE AGENT</w:t>
    </w:r>
    <w:r>
      <w:rPr>
        <w:rFonts w:ascii="Calibri" w:cs="Calibri" w:eastAsia="Calibri" w:hAnsi="Calibri"/>
      </w:rPr>
      <w:t xml:space="preserve">	</w:t>
    </w:r>
    <w:r>
      <w:rPr>
        <w:rFonts w:ascii="Calibri" w:cs="Calibri" w:eastAsia="Calibri" w:hAnsi="Calibri"/>
        <w:color w:val="9CA3AF"/>
        <w:sz w:val="16"/>
        <w:szCs w:val="16"/>
      </w:rPr>
      <w:t xml:space="preserve">ACCELER  ·  PARTICIPANT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2026-05-29T17:15:12.675Z</dcterms:created>
  <dcterms:modified xsi:type="dcterms:W3CDTF">2026-05-29T17:15:12.690Z</dcterms:modified>
</cp:coreProperties>
</file>

<file path=docProps/custom.xml><?xml version="1.0" encoding="utf-8"?>
<Properties xmlns="http://schemas.openxmlformats.org/officeDocument/2006/custom-properties" xmlns:vt="http://schemas.openxmlformats.org/officeDocument/2006/docPropsVTypes"/>
</file>