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300"/>
        <w:jc w:val="left"/>
      </w:pPr>
      <w:r>
        <w:rPr>
          <w:rFonts w:ascii="Calibri" w:cs="Calibri" w:eastAsia="Calibri" w:hAnsi="Calibri"/>
          <w:b/>
          <w:bCs/>
          <w:i w:val="false"/>
          <w:iCs w:val="false"/>
          <w:caps w:val="false"/>
          <w:color w:val="2563EB"/>
          <w:spacing w:val="30"/>
          <w:sz w:val="18"/>
          <w:szCs w:val="18"/>
        </w:rPr>
        <w:t xml:space="preserve">PARTICIPANT SCENARIO</w:t>
      </w:r>
    </w:p>
    <w:p>
      <w:pPr>
        <w:spacing w:after="120" w:before="0" w:line="320"/>
        <w:jc w:val="left"/>
      </w:pPr>
      <w:r>
        <w:rPr>
          <w:rFonts w:ascii="Calibri" w:cs="Calibri" w:eastAsia="Calibri" w:hAnsi="Calibri"/>
          <w:b/>
          <w:bCs/>
          <w:i w:val="false"/>
          <w:iCs w:val="false"/>
          <w:caps w:val="false"/>
          <w:color w:val="1B3A6B"/>
          <w:sz w:val="48"/>
          <w:szCs w:val="48"/>
        </w:rPr>
        <w:t xml:space="preserve">Finance &amp; Legal Intelligence Agent</w:t>
      </w:r>
    </w:p>
    <w:p>
      <w:pPr>
        <w:spacing w:after="0" w:before="0" w:line="300"/>
        <w:jc w:val="left"/>
      </w:pPr>
      <w:r>
        <w:rPr>
          <w:rFonts w:ascii="Calibri" w:cs="Calibri" w:eastAsia="Calibri" w:hAnsi="Calibri"/>
          <w:b w:val="false"/>
          <w:bCs w:val="false"/>
          <w:i/>
          <w:iCs/>
          <w:caps w:val="false"/>
          <w:color w:val="6B7280"/>
          <w:sz w:val="21"/>
          <w:szCs w:val="21"/>
        </w:rPr>
        <w:t xml:space="preserve">Your AI agent for cross market financial and legal intelligence — built in one session.</w:t>
      </w:r>
    </w:p>
    <w:p>
      <w:pPr>
        <w:spacing w:after="280" w:before="0"/>
      </w:pPr>
      <w:r>
        <w:rPr>
          <w:rFonts w:ascii="Calibri" w:cs="Calibri" w:eastAsia="Calibri" w:hAnsi="Calibri"/>
          <w:b w:val="false"/>
          <w:bCs w:val="false"/>
          <w:i w:val="false"/>
          <w:iCs w:val="false"/>
          <w:caps w:val="false"/>
          <w:color w:val="3C3C3C"/>
          <w:sz w:val="19"/>
          <w:szCs w:val="19"/>
        </w:rPr>
        <w:t xml:space="preserve"/>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rPr>
          <w:cantSplit/>
        </w:trPr>
        <w:tc>
          <w:tcPr>
            <w:tcW w:type="dxa" w:w="9746"/>
            <w:tcBorders>
              <w:top w:val="none" w:color="FFFFFF" w:sz="0"/>
              <w:left w:val="none" w:color="FFFFFF" w:sz="0"/>
              <w:bottom w:val="none" w:color="FFFFFF" w:sz="0"/>
              <w:right w:val="none" w:color="FFFFFF" w:sz="0"/>
            </w:tcBorders>
            <w:shd w:fill="EFF6FF" w:color="auto" w:val="clear"/>
            <w:tcMar>
              <w:top w:type="dxa" w:w="180"/>
              <w:left w:type="dxa" w:w="320"/>
              <w:bottom w:type="dxa" w:w="180"/>
              <w:right w:type="dxa" w:w="320"/>
            </w:tcMar>
          </w:tcPr>
          <w:p>
            <w:pPr>
              <w:spacing w:after="0" w:before="0" w:line="300"/>
              <w:jc w:val="left"/>
            </w:pPr>
            <w:r>
              <w:rPr>
                <w:rFonts w:ascii="Calibri" w:cs="Calibri" w:eastAsia="Calibri" w:hAnsi="Calibri"/>
                <w:b/>
                <w:bCs/>
                <w:i w:val="false"/>
                <w:iCs w:val="false"/>
                <w:caps w:val="false"/>
                <w:color w:val="2563EB"/>
                <w:spacing w:val="30"/>
                <w:sz w:val="18"/>
                <w:szCs w:val="18"/>
              </w:rPr>
              <w:t xml:space="preserve">01  ·  YOUR PERSONA</w:t>
            </w:r>
          </w:p>
        </w:tc>
      </w:tr>
    </w:tbl>
    <w:p>
      <w:pPr>
        <w:spacing w:after="200" w:before="0"/>
      </w:pPr>
      <w:r>
        <w:rPr>
          <w:rFonts w:ascii="Calibri" w:cs="Calibri" w:eastAsia="Calibri" w:hAnsi="Calibri"/>
          <w:b w:val="false"/>
          <w:bCs w:val="false"/>
          <w:i w:val="false"/>
          <w:iCs w:val="false"/>
          <w:caps w:val="false"/>
          <w:color w:val="3C3C3C"/>
          <w:sz w:val="19"/>
          <w:szCs w:val="19"/>
        </w:rPr>
        <w:t xml:space="preserve"/>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rPr>
          <w:cantSplit/>
        </w:trPr>
        <w:tc>
          <w:tcPr>
            <w:tcW w:type="dxa" w:w="9746"/>
            <w:tcBorders>
              <w:top w:val="none" w:color="FFFFFF" w:sz="0"/>
              <w:left w:val="single" w:color="2563EB" w:sz="36"/>
              <w:bottom w:val="none" w:color="FFFFFF" w:sz="0"/>
              <w:right w:val="none" w:color="FFFFFF" w:sz="0"/>
            </w:tcBorders>
            <w:shd w:fill="EFF6FF" w:color="auto" w:val="clear"/>
            <w:tcMar>
              <w:top w:type="dxa" w:w="240"/>
              <w:left w:type="dxa" w:w="360"/>
              <w:bottom w:type="dxa" w:w="240"/>
              <w:right w:type="dxa" w:w="320"/>
            </w:tcMar>
          </w:tcPr>
          <w:p>
            <w:pPr>
              <w:spacing w:after="160" w:before="0" w:line="300"/>
              <w:jc w:val="left"/>
            </w:pPr>
            <w:r>
              <w:rPr>
                <w:rFonts w:ascii="Calibri" w:cs="Calibri" w:eastAsia="Calibri" w:hAnsi="Calibri"/>
                <w:b/>
                <w:bCs/>
                <w:i w:val="false"/>
                <w:iCs w:val="false"/>
                <w:caps w:val="false"/>
                <w:color w:val="1B3A6B"/>
                <w:sz w:val="21"/>
                <w:szCs w:val="21"/>
              </w:rPr>
              <w:t xml:space="preserve">You are the Chief Financial &amp; Legal Officer (CFLO) of a leading telecom operator in Central and Eastern Europe (CEE).</w:t>
            </w:r>
          </w:p>
          <w:p>
            <w:pPr>
              <w:spacing w:after="160" w:before="0" w:line="300"/>
              <w:jc w:val="left"/>
            </w:pPr>
            <w:r>
              <w:rPr>
                <w:rFonts w:ascii="Calibri" w:cs="Calibri" w:eastAsia="Calibri" w:hAnsi="Calibri"/>
                <w:b w:val="false"/>
                <w:bCs w:val="false"/>
                <w:i w:val="false"/>
                <w:iCs w:val="false"/>
                <w:caps w:val="false"/>
                <w:color w:val="3C3C3C"/>
                <w:sz w:val="19"/>
                <w:szCs w:val="19"/>
              </w:rPr>
              <w:t xml:space="preserve">Your company is one of the top three mobile operators in the region, operating across three CEE markets. You are responsible for group wide financial performance and legal strategy: capital allocation, cross border tax, regulatory compliance, M&amp;A, and licensing.</w:t>
            </w:r>
          </w:p>
          <w:p>
            <w:pPr>
              <w:spacing w:after="0" w:before="0" w:line="300"/>
              <w:jc w:val="left"/>
            </w:pPr>
            <w:r>
              <w:rPr>
                <w:rFonts w:ascii="Calibri" w:cs="Calibri" w:eastAsia="Calibri" w:hAnsi="Calibri"/>
                <w:b/>
                <w:bCs/>
                <w:i w:val="false"/>
                <w:iCs w:val="false"/>
                <w:caps w:val="false"/>
                <w:color w:val="1B3A6B"/>
                <w:sz w:val="19"/>
                <w:szCs w:val="19"/>
              </w:rPr>
              <w:t xml:space="preserve">Your challenge: </w:t>
            </w:r>
            <w:r>
              <w:rPr>
                <w:rFonts w:ascii="Calibri" w:cs="Calibri" w:eastAsia="Calibri" w:hAnsi="Calibri"/>
                <w:b w:val="false"/>
                <w:bCs w:val="false"/>
                <w:i w:val="false"/>
                <w:iCs w:val="false"/>
                <w:caps w:val="false"/>
                <w:color w:val="3C3C3C"/>
                <w:sz w:val="19"/>
                <w:szCs w:val="19"/>
              </w:rPr>
              <w:t xml:space="preserve">The Group CEO has asked you to evaluate a major strategic initiative — launching a branded </w:t>
            </w:r>
            <w:r>
              <w:rPr>
                <w:rFonts w:ascii="Calibri" w:cs="Calibri" w:eastAsia="Calibri" w:hAnsi="Calibri"/>
                <w:b/>
                <w:bCs/>
                <w:i w:val="false"/>
                <w:iCs w:val="false"/>
                <w:caps w:val="false"/>
                <w:color w:val="1B3A6B"/>
                <w:sz w:val="19"/>
                <w:szCs w:val="19"/>
              </w:rPr>
              <w:t xml:space="preserve">embedded finance and mobile wallet</w:t>
            </w:r>
            <w:r>
              <w:rPr>
                <w:rFonts w:ascii="Calibri" w:cs="Calibri" w:eastAsia="Calibri" w:hAnsi="Calibri"/>
                <w:b w:val="false"/>
                <w:bCs w:val="false"/>
                <w:i w:val="false"/>
                <w:iCs w:val="false"/>
                <w:caps w:val="false"/>
                <w:color w:val="3C3C3C"/>
                <w:sz w:val="19"/>
                <w:szCs w:val="19"/>
              </w:rPr>
              <w:t xml:space="preserve"> product across the three markets. </w:t>
            </w:r>
            <w:r>
              <w:rPr>
                <w:rFonts w:ascii="Calibri" w:cs="Calibri" w:eastAsia="Calibri" w:hAnsi="Calibri"/>
                <w:b w:val="false"/>
                <w:bCs w:val="false"/>
                <w:i/>
                <w:iCs/>
                <w:caps w:val="false"/>
                <w:color w:val="3C3C3C"/>
                <w:sz w:val="19"/>
                <w:szCs w:val="19"/>
              </w:rPr>
              <w:t xml:space="preserve">In plain terms: a smartphone app, billed through your telecom relationship, that lets subscribers store money, pay merchants, send transfers, and access short-term credit such as bill-split or BNPL — turning your existing subscriber base into payment and lending customers.</w:t>
            </w:r>
            <w:r>
              <w:rPr>
                <w:rFonts w:ascii="Calibri" w:cs="Calibri" w:eastAsia="Calibri" w:hAnsi="Calibri"/>
                <w:b w:val="false"/>
                <w:bCs w:val="false"/>
                <w:i w:val="false"/>
                <w:iCs w:val="false"/>
                <w:caps w:val="false"/>
                <w:color w:val="3C3C3C"/>
                <w:sz w:val="19"/>
                <w:szCs w:val="19"/>
              </w:rPr>
              <w:t xml:space="preserve"> A board recommendation is due in six weeks. For each market you need to assess revenue and profit potential, regulatory and licensing requirements, and the right go to market plan. The board expects a clear, defensible answer.</w:t>
            </w:r>
          </w:p>
        </w:tc>
      </w:tr>
    </w:tbl>
    <w:p>
      <w:pPr>
        <w:spacing w:after="200" w:before="0"/>
      </w:pPr>
      <w:r>
        <w:rPr>
          <w:rFonts w:ascii="Calibri" w:cs="Calibri" w:eastAsia="Calibri" w:hAnsi="Calibri"/>
          <w:b w:val="false"/>
          <w:bCs w:val="false"/>
          <w:i w:val="false"/>
          <w:iCs w:val="false"/>
          <w:caps w:val="false"/>
          <w:color w:val="3C3C3C"/>
          <w:sz w:val="19"/>
          <w:szCs w:val="19"/>
        </w:rPr>
        <w:t xml:space="preserve"/>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2339"/>
        <w:gridCol w:w="7407"/>
      </w:tblGrid>
      <w:tr>
        <w:trPr>
          <w:cantSplit/>
        </w:trPr>
        <w:tc>
          <w:tcPr>
            <w:tcW w:type="dxa" w:w="2339"/>
            <w:tcBorders>
              <w:top w:val="none" w:color="FFFFFF" w:sz="0"/>
              <w:left w:val="none" w:color="FFFFFF" w:sz="0"/>
              <w:bottom w:val="none" w:color="FFFFFF" w:sz="0"/>
              <w:right w:val="none" w:color="FFFFFF" w:sz="0"/>
            </w:tcBorders>
            <w:tcMar>
              <w:top w:type="dxa" w:w="80"/>
              <w:left w:type="dxa" w:w="0"/>
              <w:bottom w:type="dxa" w:w="80"/>
              <w:right w:type="dxa" w:w="200"/>
            </w:tcMar>
          </w:tcPr>
          <w:p>
            <w:pPr>
              <w:spacing w:after="0" w:before="0" w:line="300"/>
              <w:jc w:val="left"/>
            </w:pPr>
            <w:r>
              <w:rPr>
                <w:rFonts w:ascii="Calibri" w:cs="Calibri" w:eastAsia="Calibri" w:hAnsi="Calibri"/>
                <w:b/>
                <w:bCs/>
                <w:i w:val="false"/>
                <w:iCs w:val="false"/>
                <w:caps w:val="false"/>
                <w:color w:val="2563EB"/>
                <w:sz w:val="19"/>
                <w:szCs w:val="19"/>
              </w:rPr>
              <w:t xml:space="preserve">Role</w:t>
            </w:r>
          </w:p>
        </w:tc>
        <w:tc>
          <w:tcPr>
            <w:tcW w:type="dxa" w:w="7407"/>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0" w:before="0" w:line="300"/>
              <w:jc w:val="left"/>
            </w:pPr>
            <w:r>
              <w:rPr>
                <w:rFonts w:ascii="Calibri" w:cs="Calibri" w:eastAsia="Calibri" w:hAnsi="Calibri"/>
                <w:b w:val="false"/>
                <w:bCs w:val="false"/>
                <w:i w:val="false"/>
                <w:iCs w:val="false"/>
                <w:caps w:val="false"/>
                <w:color w:val="3C3C3C"/>
                <w:sz w:val="19"/>
                <w:szCs w:val="19"/>
              </w:rPr>
              <w:t xml:space="preserve">Chief Financial &amp; Legal Officer (CFLO)</w:t>
            </w:r>
          </w:p>
        </w:tc>
      </w:tr>
      <w:tr>
        <w:trPr>
          <w:cantSplit/>
        </w:trPr>
        <w:tc>
          <w:tcPr>
            <w:tcW w:type="dxa" w:w="2339"/>
            <w:tcBorders>
              <w:top w:val="none" w:color="FFFFFF" w:sz="0"/>
              <w:left w:val="none" w:color="FFFFFF" w:sz="0"/>
              <w:bottom w:val="none" w:color="FFFFFF" w:sz="0"/>
              <w:right w:val="none" w:color="FFFFFF" w:sz="0"/>
            </w:tcBorders>
            <w:tcMar>
              <w:top w:type="dxa" w:w="80"/>
              <w:left w:type="dxa" w:w="0"/>
              <w:bottom w:type="dxa" w:w="80"/>
              <w:right w:type="dxa" w:w="200"/>
            </w:tcMar>
          </w:tcPr>
          <w:p>
            <w:pPr>
              <w:spacing w:after="0" w:before="0" w:line="300"/>
              <w:jc w:val="left"/>
            </w:pPr>
            <w:r>
              <w:rPr>
                <w:rFonts w:ascii="Calibri" w:cs="Calibri" w:eastAsia="Calibri" w:hAnsi="Calibri"/>
                <w:b/>
                <w:bCs/>
                <w:i w:val="false"/>
                <w:iCs w:val="false"/>
                <w:caps w:val="false"/>
                <w:color w:val="2563EB"/>
                <w:sz w:val="19"/>
                <w:szCs w:val="19"/>
              </w:rPr>
              <w:t xml:space="preserve">Company</w:t>
            </w:r>
          </w:p>
        </w:tc>
        <w:tc>
          <w:tcPr>
            <w:tcW w:type="dxa" w:w="7407"/>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0" w:before="0" w:line="300"/>
              <w:jc w:val="left"/>
            </w:pPr>
            <w:r>
              <w:rPr>
                <w:rFonts w:ascii="Calibri" w:cs="Calibri" w:eastAsia="Calibri" w:hAnsi="Calibri"/>
                <w:b w:val="false"/>
                <w:bCs w:val="false"/>
                <w:i w:val="false"/>
                <w:iCs w:val="false"/>
                <w:caps w:val="false"/>
                <w:color w:val="3C3C3C"/>
                <w:sz w:val="19"/>
                <w:szCs w:val="19"/>
              </w:rPr>
              <w:t xml:space="preserve">Leading CEE telecom operator — top 3 mobile operator in Central and Eastern Europe</w:t>
            </w:r>
          </w:p>
        </w:tc>
      </w:tr>
      <w:tr>
        <w:trPr>
          <w:cantSplit/>
        </w:trPr>
        <w:tc>
          <w:tcPr>
            <w:tcW w:type="dxa" w:w="2339"/>
            <w:tcBorders>
              <w:top w:val="none" w:color="FFFFFF" w:sz="0"/>
              <w:left w:val="none" w:color="FFFFFF" w:sz="0"/>
              <w:bottom w:val="none" w:color="FFFFFF" w:sz="0"/>
              <w:right w:val="none" w:color="FFFFFF" w:sz="0"/>
            </w:tcBorders>
            <w:tcMar>
              <w:top w:type="dxa" w:w="80"/>
              <w:left w:type="dxa" w:w="0"/>
              <w:bottom w:type="dxa" w:w="80"/>
              <w:right w:type="dxa" w:w="200"/>
            </w:tcMar>
          </w:tcPr>
          <w:p>
            <w:pPr>
              <w:spacing w:after="0" w:before="0" w:line="300"/>
              <w:jc w:val="left"/>
            </w:pPr>
            <w:r>
              <w:rPr>
                <w:rFonts w:ascii="Calibri" w:cs="Calibri" w:eastAsia="Calibri" w:hAnsi="Calibri"/>
                <w:b/>
                <w:bCs/>
                <w:i w:val="false"/>
                <w:iCs w:val="false"/>
                <w:caps w:val="false"/>
                <w:color w:val="2563EB"/>
                <w:sz w:val="19"/>
                <w:szCs w:val="19"/>
              </w:rPr>
              <w:t xml:space="preserve">Your focus</w:t>
            </w:r>
          </w:p>
        </w:tc>
        <w:tc>
          <w:tcPr>
            <w:tcW w:type="dxa" w:w="7407"/>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0" w:before="0" w:line="300"/>
              <w:jc w:val="left"/>
            </w:pPr>
            <w:r>
              <w:rPr>
                <w:rFonts w:ascii="Calibri" w:cs="Calibri" w:eastAsia="Calibri" w:hAnsi="Calibri"/>
                <w:b w:val="false"/>
                <w:bCs w:val="false"/>
                <w:i w:val="false"/>
                <w:iCs w:val="false"/>
                <w:caps w:val="false"/>
                <w:color w:val="3C3C3C"/>
                <w:sz w:val="19"/>
                <w:szCs w:val="19"/>
              </w:rPr>
              <w:t xml:space="preserve">Cross market financial analysis · regulatory and licensing strategy · capital allocation · M&amp;A</w:t>
            </w:r>
          </w:p>
        </w:tc>
      </w:tr>
      <w:tr>
        <w:trPr>
          <w:cantSplit/>
        </w:trPr>
        <w:tc>
          <w:tcPr>
            <w:tcW w:type="dxa" w:w="2339"/>
            <w:tcBorders>
              <w:top w:val="none" w:color="FFFFFF" w:sz="0"/>
              <w:left w:val="none" w:color="FFFFFF" w:sz="0"/>
              <w:bottom w:val="none" w:color="FFFFFF" w:sz="0"/>
              <w:right w:val="none" w:color="FFFFFF" w:sz="0"/>
            </w:tcBorders>
            <w:tcMar>
              <w:top w:type="dxa" w:w="80"/>
              <w:left w:type="dxa" w:w="0"/>
              <w:bottom w:type="dxa" w:w="80"/>
              <w:right w:type="dxa" w:w="200"/>
            </w:tcMar>
          </w:tcPr>
          <w:p>
            <w:pPr>
              <w:spacing w:after="0" w:before="0" w:line="300"/>
              <w:jc w:val="left"/>
            </w:pPr>
            <w:r>
              <w:rPr>
                <w:rFonts w:ascii="Calibri" w:cs="Calibri" w:eastAsia="Calibri" w:hAnsi="Calibri"/>
                <w:b/>
                <w:bCs/>
                <w:i w:val="false"/>
                <w:iCs w:val="false"/>
                <w:caps w:val="false"/>
                <w:color w:val="2563EB"/>
                <w:sz w:val="19"/>
                <w:szCs w:val="19"/>
              </w:rPr>
              <w:t xml:space="preserve">E money supervisors</w:t>
            </w:r>
          </w:p>
        </w:tc>
        <w:tc>
          <w:tcPr>
            <w:tcW w:type="dxa" w:w="7407"/>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0" w:before="0" w:line="300"/>
              <w:jc w:val="left"/>
            </w:pPr>
            <w:r>
              <w:rPr>
                <w:rFonts w:ascii="Calibri" w:cs="Calibri" w:eastAsia="Calibri" w:hAnsi="Calibri"/>
                <w:b w:val="false"/>
                <w:bCs w:val="false"/>
                <w:i w:val="false"/>
                <w:iCs w:val="false"/>
                <w:caps w:val="false"/>
                <w:color w:val="3C3C3C"/>
                <w:sz w:val="19"/>
                <w:szCs w:val="19"/>
              </w:rPr>
              <w:t xml:space="preserve">MNB (Hungary), BNB (Bulgaria), NBS (Serbia). These central banks issue e money and payment institution licences and supervise AML, PSD2 / SCA, and consumer protection rules for the wallet.</w:t>
            </w:r>
          </w:p>
        </w:tc>
      </w:tr>
      <w:tr>
        <w:trPr>
          <w:cantSplit/>
        </w:trPr>
        <w:tc>
          <w:tcPr>
            <w:tcW w:type="dxa" w:w="2339"/>
            <w:tcBorders>
              <w:top w:val="none" w:color="FFFFFF" w:sz="0"/>
              <w:left w:val="none" w:color="FFFFFF" w:sz="0"/>
              <w:bottom w:val="none" w:color="FFFFFF" w:sz="0"/>
              <w:right w:val="none" w:color="FFFFFF" w:sz="0"/>
            </w:tcBorders>
            <w:tcMar>
              <w:top w:type="dxa" w:w="80"/>
              <w:left w:type="dxa" w:w="0"/>
              <w:bottom w:type="dxa" w:w="80"/>
              <w:right w:type="dxa" w:w="200"/>
            </w:tcMar>
          </w:tcPr>
          <w:p>
            <w:pPr>
              <w:spacing w:after="0" w:before="0" w:line="300"/>
              <w:jc w:val="left"/>
            </w:pPr>
            <w:r>
              <w:rPr>
                <w:rFonts w:ascii="Calibri" w:cs="Calibri" w:eastAsia="Calibri" w:hAnsi="Calibri"/>
                <w:b/>
                <w:bCs/>
                <w:i w:val="false"/>
                <w:iCs w:val="false"/>
                <w:caps w:val="false"/>
                <w:color w:val="2563EB"/>
                <w:sz w:val="19"/>
                <w:szCs w:val="19"/>
              </w:rPr>
              <w:t xml:space="preserve">Telecom &amp; competition</w:t>
            </w:r>
          </w:p>
        </w:tc>
        <w:tc>
          <w:tcPr>
            <w:tcW w:type="dxa" w:w="7407"/>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0" w:before="0" w:line="300"/>
              <w:jc w:val="left"/>
            </w:pPr>
            <w:r>
              <w:rPr>
                <w:rFonts w:ascii="Calibri" w:cs="Calibri" w:eastAsia="Calibri" w:hAnsi="Calibri"/>
                <w:b w:val="false"/>
                <w:bCs w:val="false"/>
                <w:i w:val="false"/>
                <w:iCs w:val="false"/>
                <w:caps w:val="false"/>
                <w:color w:val="3C3C3C"/>
                <w:sz w:val="19"/>
                <w:szCs w:val="19"/>
              </w:rPr>
              <w:t xml:space="preserve">NMHH (Hungary), CRC (Bulgaria), RATEL (Serbia) on the telecom side. GVH (Hungary), CPC (Bulgaria), KZK (Serbia) on competition. Plus the European Commission and EBA at EU level.</w:t>
            </w:r>
          </w:p>
        </w:tc>
      </w:tr>
    </w:tbl>
    <w:p>
      <w:pPr>
        <w:spacing w:after="320" w:before="0"/>
      </w:pPr>
      <w:r>
        <w:rPr>
          <w:rFonts w:ascii="Calibri" w:cs="Calibri" w:eastAsia="Calibri" w:hAnsi="Calibri"/>
          <w:b w:val="false"/>
          <w:bCs w:val="false"/>
          <w:i w:val="false"/>
          <w:iCs w:val="false"/>
          <w:caps w:val="false"/>
          <w:color w:val="3C3C3C"/>
          <w:sz w:val="19"/>
          <w:szCs w:val="19"/>
        </w:rPr>
        <w:t xml:space="preserve"/>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rPr>
          <w:cantSplit/>
        </w:trPr>
        <w:tc>
          <w:tcPr>
            <w:tcW w:type="dxa" w:w="9746"/>
            <w:tcBorders>
              <w:top w:val="none" w:color="FFFFFF" w:sz="0"/>
              <w:left w:val="none" w:color="FFFFFF" w:sz="0"/>
              <w:bottom w:val="none" w:color="FFFFFF" w:sz="0"/>
              <w:right w:val="none" w:color="FFFFFF" w:sz="0"/>
            </w:tcBorders>
            <w:shd w:fill="EFF6FF" w:color="auto" w:val="clear"/>
            <w:tcMar>
              <w:top w:type="dxa" w:w="180"/>
              <w:left w:type="dxa" w:w="320"/>
              <w:bottom w:type="dxa" w:w="180"/>
              <w:right w:type="dxa" w:w="320"/>
            </w:tcMar>
          </w:tcPr>
          <w:p>
            <w:pPr>
              <w:spacing w:after="0" w:before="0" w:line="300"/>
              <w:jc w:val="left"/>
            </w:pPr>
            <w:r>
              <w:rPr>
                <w:rFonts w:ascii="Calibri" w:cs="Calibri" w:eastAsia="Calibri" w:hAnsi="Calibri"/>
                <w:b/>
                <w:bCs/>
                <w:i w:val="false"/>
                <w:iCs w:val="false"/>
                <w:caps w:val="false"/>
                <w:color w:val="2563EB"/>
                <w:spacing w:val="30"/>
                <w:sz w:val="18"/>
                <w:szCs w:val="18"/>
              </w:rPr>
              <w:t xml:space="preserve">02  ·  YOUR THREE MARKETS</w:t>
            </w:r>
          </w:p>
        </w:tc>
      </w:tr>
    </w:tbl>
    <w:p>
      <w:pPr>
        <w:spacing w:after="200" w:before="80" w:line="300"/>
        <w:jc w:val="left"/>
      </w:pPr>
      <w:r>
        <w:rPr>
          <w:rFonts w:ascii="Calibri" w:cs="Calibri" w:eastAsia="Calibri" w:hAnsi="Calibri"/>
          <w:b w:val="false"/>
          <w:bCs w:val="false"/>
          <w:i/>
          <w:iCs/>
          <w:caps w:val="false"/>
          <w:color w:val="3C3C3C"/>
          <w:sz w:val="19"/>
          <w:szCs w:val="19"/>
        </w:rPr>
        <w:t xml:space="preserve">These are the three markets your agent knows about. Each has its own size, competitive context, and regulatory profile. You will use these as the basis for your agent conversations throughout the session.</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rPr>
          <w:cantSplit/>
        </w:trPr>
        <w:tc>
          <w:tcPr>
            <w:tcW w:type="dxa" w:w="9746"/>
            <w:tcBorders>
              <w:top w:val="single" w:color="DBE3EE" w:sz="4"/>
              <w:left w:val="single" w:color="DBE3EE" w:sz="4"/>
              <w:bottom w:val="single" w:color="DBE3EE" w:sz="4"/>
              <w:right w:val="single" w:color="DBE3EE" w:sz="4"/>
            </w:tcBorders>
            <w:shd w:fill="F3F4F6" w:color="auto" w:val="clear"/>
            <w:tcMar>
              <w:top w:type="dxa" w:w="220"/>
              <w:left w:type="dxa" w:w="320"/>
              <w:bottom w:type="dxa" w:w="240"/>
              <w:right w:type="dxa" w:w="320"/>
            </w:tcMar>
          </w:tcPr>
          <w:p>
            <w:pPr>
              <w:tabs>
                <w:tab w:val="right" w:pos="9026"/>
              </w:tabs>
              <w:spacing w:after="60" w:before="0" w:line="280"/>
            </w:pPr>
            <w:r>
              <w:rPr>
                <w:rFonts w:ascii="Calibri" w:cs="Calibri" w:eastAsia="Calibri" w:hAnsi="Calibri"/>
                <w:b/>
                <w:bCs/>
                <w:i w:val="false"/>
                <w:iCs w:val="false"/>
                <w:caps w:val="false"/>
                <w:color w:val="1B3A6B"/>
                <w:sz w:val="22"/>
                <w:szCs w:val="22"/>
              </w:rPr>
              <w:t xml:space="preserve">Hungary</w:t>
            </w:r>
            <w:r>
              <w:rPr>
                <w:rFonts w:ascii="Calibri" w:cs="Calibri" w:eastAsia="Calibri" w:hAnsi="Calibri"/>
                <w:b w:val="false"/>
                <w:bCs w:val="false"/>
                <w:i w:val="false"/>
                <w:iCs w:val="false"/>
                <w:caps w:val="false"/>
                <w:color w:val="3C3C3C"/>
                <w:sz w:val="19"/>
                <w:szCs w:val="19"/>
              </w:rPr>
              <w:t xml:space="preserve">	</w:t>
            </w:r>
            <w:r>
              <w:rPr>
                <w:rFonts w:ascii="Calibri" w:cs="Calibri" w:eastAsia="Calibri" w:hAnsi="Calibri"/>
                <w:b/>
                <w:bCs/>
                <w:i w:val="false"/>
                <w:iCs w:val="false"/>
                <w:caps w:val="false"/>
                <w:color w:val="B45309"/>
                <w:sz w:val="18"/>
                <w:szCs w:val="18"/>
              </w:rPr>
              <w:t xml:space="preserve">● </w:t>
            </w:r>
            <w:r>
              <w:rPr>
                <w:rFonts w:ascii="Calibri" w:cs="Calibri" w:eastAsia="Calibri" w:hAnsi="Calibri"/>
                <w:b/>
                <w:bCs/>
                <w:i w:val="false"/>
                <w:iCs w:val="false"/>
                <w:caps w:val="false"/>
                <w:color w:val="B45309"/>
                <w:sz w:val="18"/>
                <w:szCs w:val="18"/>
              </w:rPr>
              <w:t xml:space="preserve">Defend share, monetise base</w:t>
            </w:r>
          </w:p>
          <w:p>
            <w:pPr>
              <w:spacing w:after="160" w:before="0" w:line="300"/>
              <w:jc w:val="left"/>
            </w:pPr>
            <w:r>
              <w:rPr>
                <w:rFonts w:ascii="Calibri" w:cs="Calibri" w:eastAsia="Calibri" w:hAnsi="Calibri"/>
                <w:b w:val="false"/>
                <w:bCs w:val="false"/>
                <w:i/>
                <w:iCs/>
                <w:caps w:val="false"/>
                <w:color w:val="6B7280"/>
                <w:sz w:val="17"/>
                <w:szCs w:val="17"/>
              </w:rPr>
              <w:t xml:space="preserve">Largest market  ·  Mature &amp; competitive</w:t>
            </w:r>
          </w:p>
          <w:p>
            <w:pPr>
              <w:spacing w:after="0" w:before="0" w:line="300"/>
              <w:jc w:val="left"/>
            </w:pPr>
            <w:r>
              <w:rPr>
                <w:rFonts w:ascii="Calibri" w:cs="Calibri" w:eastAsia="Calibri" w:hAnsi="Calibri"/>
                <w:b w:val="false"/>
                <w:bCs w:val="false"/>
                <w:i w:val="false"/>
                <w:iCs w:val="false"/>
                <w:caps w:val="false"/>
                <w:color w:val="3C3C3C"/>
                <w:sz w:val="19"/>
                <w:szCs w:val="19"/>
              </w:rPr>
              <w:t xml:space="preserve">Your largest revenue base, around €2.4B annually with over 5M subscribers. The mobile wallet space is already crowded, with Revolut, OTP MobilTárca and MBH holding meaningful share. Opportunity: an embedded BNPL and bill split feature layered onto the existing telecom billing relationship, monetising the subscriber base before banks reach them. Regulatory consideration: Magyar Nemzeti Bank (MNB) e money licence required, PSD2 strong customer authentication compliance, and likely scrutiny from the Hungarian Competition Authority (GVH) given your market position.</w:t>
            </w:r>
          </w:p>
        </w:tc>
      </w:tr>
    </w:tbl>
    <w:p>
      <w:pPr>
        <w:spacing w:after="160" w:before="0"/>
      </w:pPr>
      <w:r>
        <w:rPr>
          <w:rFonts w:ascii="Calibri" w:cs="Calibri" w:eastAsia="Calibri" w:hAnsi="Calibri"/>
          <w:b w:val="false"/>
          <w:bCs w:val="false"/>
          <w:i w:val="false"/>
          <w:iCs w:val="false"/>
          <w:caps w:val="false"/>
          <w:color w:val="3C3C3C"/>
          <w:sz w:val="19"/>
          <w:szCs w:val="19"/>
        </w:rPr>
        <w:t xml:space="preserve"/>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rPr>
          <w:cantSplit/>
        </w:trPr>
        <w:tc>
          <w:tcPr>
            <w:tcW w:type="dxa" w:w="9746"/>
            <w:tcBorders>
              <w:top w:val="single" w:color="DBE3EE" w:sz="4"/>
              <w:left w:val="single" w:color="DBE3EE" w:sz="4"/>
              <w:bottom w:val="single" w:color="DBE3EE" w:sz="4"/>
              <w:right w:val="single" w:color="DBE3EE" w:sz="4"/>
            </w:tcBorders>
            <w:shd w:fill="F3F4F6" w:color="auto" w:val="clear"/>
            <w:tcMar>
              <w:top w:type="dxa" w:w="220"/>
              <w:left w:type="dxa" w:w="320"/>
              <w:bottom w:type="dxa" w:w="240"/>
              <w:right w:type="dxa" w:w="320"/>
            </w:tcMar>
          </w:tcPr>
          <w:p>
            <w:pPr>
              <w:tabs>
                <w:tab w:val="right" w:pos="9026"/>
              </w:tabs>
              <w:spacing w:after="60" w:before="0" w:line="280"/>
            </w:pPr>
            <w:r>
              <w:rPr>
                <w:rFonts w:ascii="Calibri" w:cs="Calibri" w:eastAsia="Calibri" w:hAnsi="Calibri"/>
                <w:b/>
                <w:bCs/>
                <w:i w:val="false"/>
                <w:iCs w:val="false"/>
                <w:caps w:val="false"/>
                <w:color w:val="1B3A6B"/>
                <w:sz w:val="22"/>
                <w:szCs w:val="22"/>
              </w:rPr>
              <w:t xml:space="preserve">Bulgaria</w:t>
            </w:r>
            <w:r>
              <w:rPr>
                <w:rFonts w:ascii="Calibri" w:cs="Calibri" w:eastAsia="Calibri" w:hAnsi="Calibri"/>
                <w:b w:val="false"/>
                <w:bCs w:val="false"/>
                <w:i w:val="false"/>
                <w:iCs w:val="false"/>
                <w:caps w:val="false"/>
                <w:color w:val="3C3C3C"/>
                <w:sz w:val="19"/>
                <w:szCs w:val="19"/>
              </w:rPr>
              <w:t xml:space="preserve">	</w:t>
            </w:r>
            <w:r>
              <w:rPr>
                <w:rFonts w:ascii="Calibri" w:cs="Calibri" w:eastAsia="Calibri" w:hAnsi="Calibri"/>
                <w:b/>
                <w:bCs/>
                <w:i w:val="false"/>
                <w:iCs w:val="false"/>
                <w:caps w:val="false"/>
                <w:color w:val="047857"/>
                <w:sz w:val="18"/>
                <w:szCs w:val="18"/>
              </w:rPr>
              <w:t xml:space="preserve">● </w:t>
            </w:r>
            <w:r>
              <w:rPr>
                <w:rFonts w:ascii="Calibri" w:cs="Calibri" w:eastAsia="Calibri" w:hAnsi="Calibri"/>
                <w:b/>
                <w:bCs/>
                <w:i w:val="false"/>
                <w:iCs w:val="false"/>
                <w:caps w:val="false"/>
                <w:color w:val="047857"/>
                <w:sz w:val="18"/>
                <w:szCs w:val="18"/>
              </w:rPr>
              <w:t xml:space="preserve">Greenfield, fast mover</w:t>
            </w:r>
          </w:p>
          <w:p>
            <w:pPr>
              <w:spacing w:after="160" w:before="0" w:line="300"/>
              <w:jc w:val="left"/>
            </w:pPr>
            <w:r>
              <w:rPr>
                <w:rFonts w:ascii="Calibri" w:cs="Calibri" w:eastAsia="Calibri" w:hAnsi="Calibri"/>
                <w:b w:val="false"/>
                <w:bCs w:val="false"/>
                <w:i/>
                <w:iCs/>
                <w:caps w:val="false"/>
                <w:color w:val="6B7280"/>
                <w:sz w:val="17"/>
                <w:szCs w:val="17"/>
              </w:rPr>
              <w:t xml:space="preserve">Growth market  ·  Diaspora corridor</w:t>
            </w:r>
          </w:p>
          <w:p>
            <w:pPr>
              <w:spacing w:after="0" w:before="0" w:line="300"/>
              <w:jc w:val="left"/>
            </w:pPr>
            <w:r>
              <w:rPr>
                <w:rFonts w:ascii="Calibri" w:cs="Calibri" w:eastAsia="Calibri" w:hAnsi="Calibri"/>
                <w:b w:val="false"/>
                <w:bCs w:val="false"/>
                <w:i w:val="false"/>
                <w:iCs w:val="false"/>
                <w:caps w:val="false"/>
                <w:color w:val="3C3C3C"/>
                <w:sz w:val="19"/>
                <w:szCs w:val="19"/>
              </w:rPr>
              <w:t xml:space="preserve">A mid sized operation at around €650M annual revenue, with lower digital wallet penetration and a large Bulgarian diaspora across Germany, Spain and the UK. Opportunity: merchant payment acceptance combined with low cost cross border remittances, capturing a market underserved by traditional banks. Regulatory consideration: Bulgarian National Bank (BNB) e money authorisation, the tightened AML / CFT regime introduced after 2023, and FX licensing requirements for remittance flows.</w:t>
            </w:r>
          </w:p>
        </w:tc>
      </w:tr>
    </w:tbl>
    <w:p>
      <w:pPr>
        <w:spacing w:after="160" w:before="0"/>
      </w:pPr>
      <w:r>
        <w:rPr>
          <w:rFonts w:ascii="Calibri" w:cs="Calibri" w:eastAsia="Calibri" w:hAnsi="Calibri"/>
          <w:b w:val="false"/>
          <w:bCs w:val="false"/>
          <w:i w:val="false"/>
          <w:iCs w:val="false"/>
          <w:caps w:val="false"/>
          <w:color w:val="3C3C3C"/>
          <w:sz w:val="19"/>
          <w:szCs w:val="19"/>
        </w:rPr>
        <w:t xml:space="preserve"/>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rPr>
          <w:cantSplit/>
        </w:trPr>
        <w:tc>
          <w:tcPr>
            <w:tcW w:type="dxa" w:w="9746"/>
            <w:tcBorders>
              <w:top w:val="single" w:color="DBE3EE" w:sz="4"/>
              <w:left w:val="single" w:color="DBE3EE" w:sz="4"/>
              <w:bottom w:val="single" w:color="DBE3EE" w:sz="4"/>
              <w:right w:val="single" w:color="DBE3EE" w:sz="4"/>
            </w:tcBorders>
            <w:shd w:fill="F3F4F6" w:color="auto" w:val="clear"/>
            <w:tcMar>
              <w:top w:type="dxa" w:w="220"/>
              <w:left w:type="dxa" w:w="320"/>
              <w:bottom w:type="dxa" w:w="240"/>
              <w:right w:type="dxa" w:w="320"/>
            </w:tcMar>
          </w:tcPr>
          <w:p>
            <w:pPr>
              <w:tabs>
                <w:tab w:val="right" w:pos="9026"/>
              </w:tabs>
              <w:spacing w:after="60" w:before="0" w:line="280"/>
            </w:pPr>
            <w:r>
              <w:rPr>
                <w:rFonts w:ascii="Calibri" w:cs="Calibri" w:eastAsia="Calibri" w:hAnsi="Calibri"/>
                <w:b/>
                <w:bCs/>
                <w:i w:val="false"/>
                <w:iCs w:val="false"/>
                <w:caps w:val="false"/>
                <w:color w:val="1B3A6B"/>
                <w:sz w:val="22"/>
                <w:szCs w:val="22"/>
              </w:rPr>
              <w:t xml:space="preserve">Serbia</w:t>
            </w:r>
            <w:r>
              <w:rPr>
                <w:rFonts w:ascii="Calibri" w:cs="Calibri" w:eastAsia="Calibri" w:hAnsi="Calibri"/>
                <w:b w:val="false"/>
                <w:bCs w:val="false"/>
                <w:i w:val="false"/>
                <w:iCs w:val="false"/>
                <w:caps w:val="false"/>
                <w:color w:val="3C3C3C"/>
                <w:sz w:val="19"/>
                <w:szCs w:val="19"/>
              </w:rPr>
              <w:t xml:space="preserve">	</w:t>
            </w:r>
            <w:r>
              <w:rPr>
                <w:rFonts w:ascii="Calibri" w:cs="Calibri" w:eastAsia="Calibri" w:hAnsi="Calibri"/>
                <w:b/>
                <w:bCs/>
                <w:i w:val="false"/>
                <w:iCs w:val="false"/>
                <w:caps w:val="false"/>
                <w:color w:val="B91C1C"/>
                <w:sz w:val="18"/>
                <w:szCs w:val="18"/>
              </w:rPr>
              <w:t xml:space="preserve">● </w:t>
            </w:r>
            <w:r>
              <w:rPr>
                <w:rFonts w:ascii="Calibri" w:cs="Calibri" w:eastAsia="Calibri" w:hAnsi="Calibri"/>
                <w:b/>
                <w:bCs/>
                <w:i w:val="false"/>
                <w:iCs w:val="false"/>
                <w:caps w:val="false"/>
                <w:color w:val="B91C1C"/>
                <w:sz w:val="18"/>
                <w:szCs w:val="18"/>
              </w:rPr>
              <w:t xml:space="preserve">High reward, high friction</w:t>
            </w:r>
          </w:p>
          <w:p>
            <w:pPr>
              <w:spacing w:after="160" w:before="0" w:line="300"/>
              <w:jc w:val="left"/>
            </w:pPr>
            <w:r>
              <w:rPr>
                <w:rFonts w:ascii="Calibri" w:cs="Calibri" w:eastAsia="Calibri" w:hAnsi="Calibri"/>
                <w:b w:val="false"/>
                <w:bCs w:val="false"/>
                <w:i/>
                <w:iCs/>
                <w:caps w:val="false"/>
                <w:color w:val="6B7280"/>
                <w:sz w:val="17"/>
                <w:szCs w:val="17"/>
              </w:rPr>
              <w:t xml:space="preserve">High upside  ·  Non EU regulatory complexity</w:t>
            </w:r>
          </w:p>
          <w:p>
            <w:pPr>
              <w:spacing w:after="0" w:before="0" w:line="300"/>
              <w:jc w:val="left"/>
            </w:pPr>
            <w:r>
              <w:rPr>
                <w:rFonts w:ascii="Calibri" w:cs="Calibri" w:eastAsia="Calibri" w:hAnsi="Calibri"/>
                <w:b w:val="false"/>
                <w:bCs w:val="false"/>
                <w:i w:val="false"/>
                <w:iCs w:val="false"/>
                <w:caps w:val="false"/>
                <w:color w:val="3C3C3C"/>
                <w:sz w:val="19"/>
                <w:szCs w:val="19"/>
              </w:rPr>
              <w:t xml:space="preserve">An operation at around €520M annual revenue in a mobile first, cash heavy economy with a meaningful underbanked segment. Opportunity: digital payments at scale where card penetration is low and incumbent banks have not built compelling digital products. Regulatory consideration: Narodna banka Srbije (NBS) licensing (an EU licence cannot be passported into Serbia), data localisation requirements, and additional sanctions and AML complexity given Serbia is outside the EU.</w:t>
            </w:r>
          </w:p>
        </w:tc>
      </w:tr>
    </w:tbl>
    <w:p>
      <w:pPr>
        <w:spacing w:after="320" w:before="0"/>
      </w:pPr>
      <w:r>
        <w:rPr>
          <w:rFonts w:ascii="Calibri" w:cs="Calibri" w:eastAsia="Calibri" w:hAnsi="Calibri"/>
          <w:b w:val="false"/>
          <w:bCs w:val="false"/>
          <w:i w:val="false"/>
          <w:iCs w:val="false"/>
          <w:caps w:val="false"/>
          <w:color w:val="3C3C3C"/>
          <w:sz w:val="19"/>
          <w:szCs w:val="19"/>
        </w:rPr>
        <w:t xml:space="preserve"/>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rPr>
          <w:cantSplit/>
        </w:trPr>
        <w:tc>
          <w:tcPr>
            <w:tcW w:type="dxa" w:w="9746"/>
            <w:tcBorders>
              <w:top w:val="none" w:color="FFFFFF" w:sz="0"/>
              <w:left w:val="none" w:color="FFFFFF" w:sz="0"/>
              <w:bottom w:val="none" w:color="FFFFFF" w:sz="0"/>
              <w:right w:val="none" w:color="FFFFFF" w:sz="0"/>
            </w:tcBorders>
            <w:shd w:fill="EFF6FF" w:color="auto" w:val="clear"/>
            <w:tcMar>
              <w:top w:type="dxa" w:w="180"/>
              <w:left w:type="dxa" w:w="320"/>
              <w:bottom w:type="dxa" w:w="180"/>
              <w:right w:type="dxa" w:w="320"/>
            </w:tcMar>
          </w:tcPr>
          <w:p>
            <w:pPr>
              <w:spacing w:after="0" w:before="0" w:line="300"/>
              <w:jc w:val="left"/>
            </w:pPr>
            <w:r>
              <w:rPr>
                <w:rFonts w:ascii="Calibri" w:cs="Calibri" w:eastAsia="Calibri" w:hAnsi="Calibri"/>
                <w:b/>
                <w:bCs/>
                <w:i w:val="false"/>
                <w:iCs w:val="false"/>
                <w:caps w:val="false"/>
                <w:color w:val="2563EB"/>
                <w:spacing w:val="30"/>
                <w:sz w:val="18"/>
                <w:szCs w:val="18"/>
              </w:rPr>
              <w:t xml:space="preserve">03  ·  YOUR BUILD — THREE STAGES</w:t>
            </w:r>
          </w:p>
        </w:tc>
      </w:tr>
    </w:tbl>
    <w:p>
      <w:pPr>
        <w:spacing w:after="200" w:before="80" w:line="300"/>
        <w:jc w:val="left"/>
      </w:pPr>
      <w:r>
        <w:rPr>
          <w:rFonts w:ascii="Calibri" w:cs="Calibri" w:eastAsia="Calibri" w:hAnsi="Calibri"/>
          <w:b w:val="false"/>
          <w:bCs w:val="false"/>
          <w:i/>
          <w:iCs/>
          <w:caps w:val="false"/>
          <w:color w:val="3C3C3C"/>
          <w:sz w:val="19"/>
          <w:szCs w:val="19"/>
        </w:rPr>
        <w:t xml:space="preserve">You will build your agent in three stages. Each stage adds capability. You choose how far you go — but the further you build, the more powerful the output.</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rPr>
          <w:cantSplit/>
        </w:trPr>
        <w:tc>
          <w:tcPr>
            <w:tcW w:type="dxa" w:w="9746"/>
            <w:tcBorders>
              <w:top w:val="single" w:color="2563EB" w:sz="24"/>
              <w:left w:val="none" w:color="FFFFFF" w:sz="0"/>
              <w:bottom w:val="none" w:color="FFFFFF" w:sz="0"/>
              <w:right w:val="none" w:color="FFFFFF" w:sz="0"/>
            </w:tcBorders>
            <w:shd w:fill="EFF6FF" w:color="auto" w:val="clear"/>
            <w:tcMar>
              <w:top w:type="dxa" w:w="240"/>
              <w:left w:type="dxa" w:w="320"/>
              <w:bottom w:type="dxa" w:w="240"/>
              <w:right w:type="dxa" w:w="320"/>
            </w:tcMar>
          </w:tcPr>
          <w:p>
            <w:pPr>
              <w:spacing w:after="100" w:before="0" w:line="300"/>
              <w:jc w:val="left"/>
            </w:pPr>
            <w:r>
              <w:rPr>
                <w:rFonts w:ascii="Calibri" w:cs="Calibri" w:eastAsia="Calibri" w:hAnsi="Calibri"/>
                <w:b/>
                <w:bCs/>
                <w:i w:val="false"/>
                <w:iCs w:val="false"/>
                <w:caps w:val="false"/>
                <w:color w:val="2563EB"/>
                <w:spacing w:val="30"/>
                <w:sz w:val="17"/>
                <w:szCs w:val="17"/>
              </w:rPr>
              <w:t xml:space="preserve">STAGE 1</w:t>
            </w:r>
          </w:p>
          <w:p>
            <w:pPr>
              <w:spacing w:after="100" w:before="0" w:line="300"/>
              <w:jc w:val="left"/>
            </w:pPr>
            <w:r>
              <w:rPr>
                <w:rFonts w:ascii="Calibri" w:cs="Calibri" w:eastAsia="Calibri" w:hAnsi="Calibri"/>
                <w:b/>
                <w:bCs/>
                <w:i w:val="false"/>
                <w:iCs w:val="false"/>
                <w:caps w:val="false"/>
                <w:color w:val="1B3A6B"/>
                <w:sz w:val="30"/>
                <w:szCs w:val="30"/>
              </w:rPr>
              <w:t xml:space="preserve">Basic — Analysis with the Agent</w:t>
            </w:r>
          </w:p>
          <w:p>
            <w:pPr>
              <w:spacing w:after="0" w:before="0" w:line="300"/>
              <w:jc w:val="left"/>
            </w:pPr>
            <w:r>
              <w:rPr>
                <w:rFonts w:ascii="Calibri" w:cs="Calibri" w:eastAsia="Calibri" w:hAnsi="Calibri"/>
                <w:b w:val="false"/>
                <w:bCs w:val="false"/>
                <w:i/>
                <w:iCs/>
                <w:caps w:val="false"/>
                <w:color w:val="6B7280"/>
                <w:sz w:val="19"/>
                <w:szCs w:val="19"/>
              </w:rPr>
              <w:t xml:space="preserve">The agent answers analytical questions using its knowledge sources. No connectors yet. You ask, it analyses.</w:t>
            </w:r>
          </w:p>
        </w:tc>
      </w:tr>
    </w:tbl>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shd w:fill="1B3A6B" w:color="auto" w:val="clear"/>
            <w:tcMar>
              <w:top w:type="dxa" w:w="160"/>
              <w:left w:type="dxa" w:w="240"/>
              <w:bottom w:type="dxa" w:w="160"/>
              <w:right w:type="dxa" w:w="240"/>
            </w:tcMar>
          </w:tcPr>
          <w:p>
            <w:pPr>
              <w:spacing w:after="0" w:before="0" w:line="300"/>
              <w:jc w:val="left"/>
            </w:pPr>
            <w:r>
              <w:rPr>
                <w:rFonts w:ascii="Calibri" w:cs="Calibri" w:eastAsia="Calibri" w:hAnsi="Calibri"/>
                <w:b/>
                <w:bCs/>
                <w:i w:val="false"/>
                <w:iCs w:val="false"/>
                <w:caps w:val="false"/>
                <w:color w:val="FFFFFF"/>
                <w:sz w:val="19"/>
                <w:szCs w:val="19"/>
              </w:rPr>
              <w:t xml:space="preserve">INPUT — what the leader provides</w:t>
            </w:r>
          </w:p>
        </w:tc>
        <w:tc>
          <w:tcPr>
            <w:tcW w:type="dxa" w:w="4873"/>
            <w:tcBorders>
              <w:top w:val="none" w:color="FFFFFF" w:sz="0"/>
              <w:left w:val="none" w:color="FFFFFF" w:sz="0"/>
              <w:bottom w:val="none" w:color="FFFFFF" w:sz="0"/>
              <w:right w:val="none" w:color="FFFFFF" w:sz="0"/>
            </w:tcBorders>
            <w:shd w:fill="1B3A6B" w:color="auto" w:val="clear"/>
            <w:tcMar>
              <w:top w:type="dxa" w:w="160"/>
              <w:left w:type="dxa" w:w="240"/>
              <w:bottom w:type="dxa" w:w="160"/>
              <w:right w:type="dxa" w:w="240"/>
            </w:tcMar>
          </w:tcPr>
          <w:p>
            <w:pPr>
              <w:spacing w:after="0" w:before="0" w:line="300"/>
              <w:jc w:val="left"/>
            </w:pPr>
            <w:r>
              <w:rPr>
                <w:rFonts w:ascii="Calibri" w:cs="Calibri" w:eastAsia="Calibri" w:hAnsi="Calibri"/>
                <w:b/>
                <w:bCs/>
                <w:i w:val="false"/>
                <w:iCs w:val="false"/>
                <w:caps w:val="false"/>
                <w:color w:val="FFFFFF"/>
                <w:sz w:val="19"/>
                <w:szCs w:val="19"/>
              </w:rPr>
              <w:t xml:space="preserve">OUTPUT — what the agent returns</w:t>
            </w:r>
          </w:p>
        </w:tc>
      </w:tr>
      <w:tr>
        <w:trPr>
          <w:cantSplit/>
        </w:trPr>
        <w:tc>
          <w:tcPr>
            <w:tcW w:type="dxa" w:w="4873"/>
            <w:tcBorders>
              <w:top w:val="none" w:color="FFFFFF" w:sz="0"/>
              <w:left w:val="none" w:color="FFFFFF" w:sz="0"/>
              <w:bottom w:val="none" w:color="FFFFFF" w:sz="0"/>
              <w:right w:val="none" w:color="FFFFFF" w:sz="0"/>
            </w:tcBorders>
            <w:shd w:fill="EFF6FF" w:color="auto" w:val="clear"/>
            <w:tcMar>
              <w:top w:type="dxa" w:w="240"/>
              <w:left w:type="dxa" w:w="240"/>
              <w:bottom w:type="dxa" w:w="240"/>
              <w:right w:type="dxa" w:w="240"/>
            </w:tcMar>
          </w:tcPr>
          <w:p>
            <w:pPr>
              <w:spacing w:after="100" w:before="0" w:line="300"/>
              <w:jc w:val="left"/>
            </w:pPr>
            <w:r>
              <w:rPr>
                <w:rFonts w:ascii="Calibri" w:cs="Calibri" w:eastAsia="Calibri" w:hAnsi="Calibri"/>
                <w:b w:val="false"/>
                <w:bCs w:val="false"/>
                <w:i w:val="false"/>
                <w:iCs w:val="false"/>
                <w:caps w:val="false"/>
                <w:color w:val="3C3C3C"/>
                <w:sz w:val="19"/>
                <w:szCs w:val="19"/>
              </w:rPr>
              <w:t xml:space="preserve">A question about a market, a financial projection, a regulatory issue, or a go to market choice. The leader types a question in natural language — no structured format needed.</w:t>
            </w:r>
          </w:p>
        </w:tc>
        <w:tc>
          <w:tcPr>
            <w:tcW w:type="dxa" w:w="4873"/>
            <w:tcBorders>
              <w:top w:val="none" w:color="FFFFFF" w:sz="0"/>
              <w:left w:val="none" w:color="FFFFFF" w:sz="0"/>
              <w:bottom w:val="none" w:color="FFFFFF" w:sz="0"/>
              <w:right w:val="none" w:color="FFFFFF" w:sz="0"/>
            </w:tcBorders>
            <w:shd w:fill="F3F4F6" w:color="auto" w:val="clear"/>
            <w:tcMar>
              <w:top w:type="dxa" w:w="240"/>
              <w:left w:type="dxa" w:w="240"/>
              <w:bottom w:type="dxa" w:w="240"/>
              <w:right w:type="dxa" w:w="240"/>
            </w:tcMar>
          </w:tcPr>
          <w:p>
            <w:pPr>
              <w:spacing w:after="100" w:before="0" w:line="300"/>
              <w:jc w:val="left"/>
            </w:pPr>
            <w:r>
              <w:rPr>
                <w:rFonts w:ascii="Calibri" w:cs="Calibri" w:eastAsia="Calibri" w:hAnsi="Calibri"/>
                <w:b/>
                <w:bCs/>
                <w:i w:val="false"/>
                <w:iCs w:val="false"/>
                <w:caps w:val="false"/>
                <w:color w:val="3C3C3C"/>
                <w:sz w:val="19"/>
                <w:szCs w:val="19"/>
              </w:rPr>
              <w:t xml:space="preserve">A structured analytical response drawing from the knowledge sources</w:t>
            </w:r>
          </w:p>
          <w:p>
            <w:pPr>
              <w:spacing w:after="40" w:before="40" w:line="280"/>
              <w:ind w:left="240" w:hanging="200"/>
            </w:pPr>
            <w:r>
              <w:rPr>
                <w:rFonts w:ascii="Calibri" w:cs="Calibri" w:eastAsia="Calibri" w:hAnsi="Calibri"/>
                <w:b w:val="false"/>
                <w:bCs w:val="false"/>
                <w:i w:val="false"/>
                <w:iCs w:val="false"/>
                <w:caps w:val="false"/>
                <w:color w:val="3C3C3C"/>
                <w:sz w:val="19"/>
                <w:szCs w:val="19"/>
              </w:rPr>
              <w:t xml:space="preserve">•  </w:t>
            </w:r>
            <w:r>
              <w:rPr>
                <w:rFonts w:ascii="Calibri" w:cs="Calibri" w:eastAsia="Calibri" w:hAnsi="Calibri"/>
                <w:b w:val="false"/>
                <w:bCs w:val="false"/>
                <w:i w:val="false"/>
                <w:iCs w:val="false"/>
                <w:caps w:val="false"/>
                <w:color w:val="3C3C3C"/>
                <w:sz w:val="19"/>
                <w:szCs w:val="19"/>
              </w:rPr>
              <w:t xml:space="preserve">Market context — economy, regulator, competitive landscape, your existing position</w:t>
            </w:r>
          </w:p>
          <w:p>
            <w:pPr>
              <w:spacing w:after="40" w:before="40" w:line="280"/>
              <w:ind w:left="240" w:hanging="200"/>
            </w:pPr>
            <w:r>
              <w:rPr>
                <w:rFonts w:ascii="Calibri" w:cs="Calibri" w:eastAsia="Calibri" w:hAnsi="Calibri"/>
                <w:b w:val="false"/>
                <w:bCs w:val="false"/>
                <w:i w:val="false"/>
                <w:iCs w:val="false"/>
                <w:caps w:val="false"/>
                <w:color w:val="3C3C3C"/>
                <w:sz w:val="19"/>
                <w:szCs w:val="19"/>
              </w:rPr>
              <w:t xml:space="preserve">•  </w:t>
            </w:r>
            <w:r>
              <w:rPr>
                <w:rFonts w:ascii="Calibri" w:cs="Calibri" w:eastAsia="Calibri" w:hAnsi="Calibri"/>
                <w:b w:val="false"/>
                <w:bCs w:val="false"/>
                <w:i w:val="false"/>
                <w:iCs w:val="false"/>
                <w:caps w:val="false"/>
                <w:color w:val="3C3C3C"/>
                <w:sz w:val="19"/>
                <w:szCs w:val="19"/>
              </w:rPr>
              <w:t xml:space="preserve">Revenue and profit estimate — TAM, expected uplift, key sensitivities</w:t>
            </w:r>
          </w:p>
          <w:p>
            <w:pPr>
              <w:spacing w:after="40" w:before="40" w:line="280"/>
              <w:ind w:left="240" w:hanging="200"/>
            </w:pPr>
            <w:r>
              <w:rPr>
                <w:rFonts w:ascii="Calibri" w:cs="Calibri" w:eastAsia="Calibri" w:hAnsi="Calibri"/>
                <w:b w:val="false"/>
                <w:bCs w:val="false"/>
                <w:i w:val="false"/>
                <w:iCs w:val="false"/>
                <w:caps w:val="false"/>
                <w:color w:val="3C3C3C"/>
                <w:sz w:val="19"/>
                <w:szCs w:val="19"/>
              </w:rPr>
              <w:t xml:space="preserve">•  </w:t>
            </w:r>
            <w:r>
              <w:rPr>
                <w:rFonts w:ascii="Calibri" w:cs="Calibri" w:eastAsia="Calibri" w:hAnsi="Calibri"/>
                <w:b w:val="false"/>
                <w:bCs w:val="false"/>
                <w:i w:val="false"/>
                <w:iCs w:val="false"/>
                <w:caps w:val="false"/>
                <w:color w:val="3C3C3C"/>
                <w:sz w:val="19"/>
                <w:szCs w:val="19"/>
              </w:rPr>
              <w:t xml:space="preserve">Regulatory and legal considerations — licences, compliance hurdles, risks</w:t>
            </w:r>
          </w:p>
          <w:p>
            <w:pPr>
              <w:spacing w:after="40" w:before="40" w:line="280"/>
              <w:ind w:left="240" w:hanging="200"/>
            </w:pPr>
            <w:r>
              <w:rPr>
                <w:rFonts w:ascii="Calibri" w:cs="Calibri" w:eastAsia="Calibri" w:hAnsi="Calibri"/>
                <w:b w:val="false"/>
                <w:bCs w:val="false"/>
                <w:i w:val="false"/>
                <w:iCs w:val="false"/>
                <w:caps w:val="false"/>
                <w:color w:val="3C3C3C"/>
                <w:sz w:val="19"/>
                <w:szCs w:val="19"/>
              </w:rPr>
              <w:t xml:space="preserve">•  </w:t>
            </w:r>
            <w:r>
              <w:rPr>
                <w:rFonts w:ascii="Calibri" w:cs="Calibri" w:eastAsia="Calibri" w:hAnsi="Calibri"/>
                <w:b w:val="false"/>
                <w:bCs w:val="false"/>
                <w:i w:val="false"/>
                <w:iCs w:val="false"/>
                <w:caps w:val="false"/>
                <w:color w:val="3C3C3C"/>
                <w:sz w:val="19"/>
                <w:szCs w:val="19"/>
              </w:rPr>
              <w:t xml:space="preserve">A clear, defensible recommendation the leader can take into the next meeting</w:t>
            </w:r>
          </w:p>
        </w:tc>
      </w:tr>
    </w:tbl>
    <w:p>
      <w:pPr>
        <w:spacing w:after="280" w:before="0"/>
      </w:pPr>
      <w:r>
        <w:rPr>
          <w:rFonts w:ascii="Calibri" w:cs="Calibri" w:eastAsia="Calibri" w:hAnsi="Calibri"/>
          <w:b w:val="false"/>
          <w:bCs w:val="false"/>
          <w:i w:val="false"/>
          <w:iCs w:val="false"/>
          <w:caps w:val="false"/>
          <w:color w:val="3C3C3C"/>
          <w:sz w:val="19"/>
          <w:szCs w:val="19"/>
        </w:rPr>
        <w:t xml:space="preserve"/>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rPr>
          <w:cantSplit/>
        </w:trPr>
        <w:tc>
          <w:tcPr>
            <w:tcW w:type="dxa" w:w="9746"/>
            <w:tcBorders>
              <w:top w:val="single" w:color="2563EB" w:sz="24"/>
              <w:left w:val="none" w:color="FFFFFF" w:sz="0"/>
              <w:bottom w:val="none" w:color="FFFFFF" w:sz="0"/>
              <w:right w:val="none" w:color="FFFFFF" w:sz="0"/>
            </w:tcBorders>
            <w:shd w:fill="EFF6FF" w:color="auto" w:val="clear"/>
            <w:tcMar>
              <w:top w:type="dxa" w:w="240"/>
              <w:left w:type="dxa" w:w="320"/>
              <w:bottom w:type="dxa" w:w="240"/>
              <w:right w:type="dxa" w:w="320"/>
            </w:tcMar>
          </w:tcPr>
          <w:p>
            <w:pPr>
              <w:spacing w:after="100" w:before="0" w:line="300"/>
              <w:jc w:val="left"/>
            </w:pPr>
            <w:r>
              <w:rPr>
                <w:rFonts w:ascii="Calibri" w:cs="Calibri" w:eastAsia="Calibri" w:hAnsi="Calibri"/>
                <w:b/>
                <w:bCs/>
                <w:i w:val="false"/>
                <w:iCs w:val="false"/>
                <w:caps w:val="false"/>
                <w:color w:val="2563EB"/>
                <w:spacing w:val="30"/>
                <w:sz w:val="17"/>
                <w:szCs w:val="17"/>
              </w:rPr>
              <w:t xml:space="preserve">STAGE 2</w:t>
            </w:r>
          </w:p>
          <w:p>
            <w:pPr>
              <w:spacing w:after="100" w:before="0" w:line="300"/>
              <w:jc w:val="left"/>
            </w:pPr>
            <w:r>
              <w:rPr>
                <w:rFonts w:ascii="Calibri" w:cs="Calibri" w:eastAsia="Calibri" w:hAnsi="Calibri"/>
                <w:b/>
                <w:bCs/>
                <w:i w:val="false"/>
                <w:iCs w:val="false"/>
                <w:caps w:val="false"/>
                <w:color w:val="1B3A6B"/>
                <w:sz w:val="30"/>
                <w:szCs w:val="30"/>
              </w:rPr>
              <w:t xml:space="preserve">Intermediate — Brief Delivered to Your Inbox</w:t>
            </w:r>
          </w:p>
          <w:p>
            <w:pPr>
              <w:spacing w:after="0" w:before="0" w:line="300"/>
              <w:jc w:val="left"/>
            </w:pPr>
            <w:r>
              <w:rPr>
                <w:rFonts w:ascii="Calibri" w:cs="Calibri" w:eastAsia="Calibri" w:hAnsi="Calibri"/>
                <w:b w:val="false"/>
                <w:bCs w:val="false"/>
                <w:i/>
                <w:iCs/>
                <w:caps w:val="false"/>
                <w:color w:val="6B7280"/>
                <w:sz w:val="19"/>
                <w:szCs w:val="19"/>
              </w:rPr>
              <w:t xml:space="preserve">The agent automatically emails every response as a formatted brief to the leader's Microsoft 365 inbox. No need to ask — it always sends. The analysis doesn't stay in chat — it arrives as a ready to use document.</w:t>
            </w:r>
          </w:p>
        </w:tc>
      </w:tr>
    </w:tbl>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shd w:fill="1B3A6B" w:color="auto" w:val="clear"/>
            <w:tcMar>
              <w:top w:type="dxa" w:w="160"/>
              <w:left w:type="dxa" w:w="240"/>
              <w:bottom w:type="dxa" w:w="160"/>
              <w:right w:type="dxa" w:w="240"/>
            </w:tcMar>
          </w:tcPr>
          <w:p>
            <w:pPr>
              <w:spacing w:after="0" w:before="0" w:line="300"/>
              <w:jc w:val="left"/>
            </w:pPr>
            <w:r>
              <w:rPr>
                <w:rFonts w:ascii="Calibri" w:cs="Calibri" w:eastAsia="Calibri" w:hAnsi="Calibri"/>
                <w:b/>
                <w:bCs/>
                <w:i w:val="false"/>
                <w:iCs w:val="false"/>
                <w:caps w:val="false"/>
                <w:color w:val="FFFFFF"/>
                <w:sz w:val="19"/>
                <w:szCs w:val="19"/>
              </w:rPr>
              <w:t xml:space="preserve">INPUT — what the leader provides</w:t>
            </w:r>
          </w:p>
        </w:tc>
        <w:tc>
          <w:tcPr>
            <w:tcW w:type="dxa" w:w="4873"/>
            <w:tcBorders>
              <w:top w:val="none" w:color="FFFFFF" w:sz="0"/>
              <w:left w:val="none" w:color="FFFFFF" w:sz="0"/>
              <w:bottom w:val="none" w:color="FFFFFF" w:sz="0"/>
              <w:right w:val="none" w:color="FFFFFF" w:sz="0"/>
            </w:tcBorders>
            <w:shd w:fill="1B3A6B" w:color="auto" w:val="clear"/>
            <w:tcMar>
              <w:top w:type="dxa" w:w="160"/>
              <w:left w:type="dxa" w:w="240"/>
              <w:bottom w:type="dxa" w:w="160"/>
              <w:right w:type="dxa" w:w="240"/>
            </w:tcMar>
          </w:tcPr>
          <w:p>
            <w:pPr>
              <w:spacing w:after="0" w:before="0" w:line="300"/>
              <w:jc w:val="left"/>
            </w:pPr>
            <w:r>
              <w:rPr>
                <w:rFonts w:ascii="Calibri" w:cs="Calibri" w:eastAsia="Calibri" w:hAnsi="Calibri"/>
                <w:b/>
                <w:bCs/>
                <w:i w:val="false"/>
                <w:iCs w:val="false"/>
                <w:caps w:val="false"/>
                <w:color w:val="FFFFFF"/>
                <w:sz w:val="19"/>
                <w:szCs w:val="19"/>
              </w:rPr>
              <w:t xml:space="preserve">OUTPUT — what the agent returns</w:t>
            </w:r>
          </w:p>
        </w:tc>
      </w:tr>
      <w:tr>
        <w:trPr>
          <w:cantSplit/>
        </w:trPr>
        <w:tc>
          <w:tcPr>
            <w:tcW w:type="dxa" w:w="4873"/>
            <w:tcBorders>
              <w:top w:val="none" w:color="FFFFFF" w:sz="0"/>
              <w:left w:val="none" w:color="FFFFFF" w:sz="0"/>
              <w:bottom w:val="none" w:color="FFFFFF" w:sz="0"/>
              <w:right w:val="none" w:color="FFFFFF" w:sz="0"/>
            </w:tcBorders>
            <w:shd w:fill="EFF6FF" w:color="auto" w:val="clear"/>
            <w:tcMar>
              <w:top w:type="dxa" w:w="240"/>
              <w:left w:type="dxa" w:w="240"/>
              <w:bottom w:type="dxa" w:w="240"/>
              <w:right w:type="dxa" w:w="240"/>
            </w:tcMar>
          </w:tcPr>
          <w:p>
            <w:pPr>
              <w:spacing w:after="100" w:before="0" w:line="300"/>
              <w:jc w:val="left"/>
            </w:pPr>
            <w:r>
              <w:rPr>
                <w:rFonts w:ascii="Calibri" w:cs="Calibri" w:eastAsia="Calibri" w:hAnsi="Calibri"/>
                <w:b w:val="false"/>
                <w:bCs w:val="false"/>
                <w:i w:val="false"/>
                <w:iCs w:val="false"/>
                <w:caps w:val="false"/>
                <w:color w:val="3C3C3C"/>
                <w:sz w:val="19"/>
                <w:szCs w:val="19"/>
              </w:rPr>
              <w:t xml:space="preserve">The same question as Stage 1 — no extra instruction needed. Work IQ is connected and the agent automatically sends every brief to the leader's Microsoft 365 inbox.</w:t>
            </w:r>
          </w:p>
        </w:tc>
        <w:tc>
          <w:tcPr>
            <w:tcW w:type="dxa" w:w="4873"/>
            <w:tcBorders>
              <w:top w:val="none" w:color="FFFFFF" w:sz="0"/>
              <w:left w:val="none" w:color="FFFFFF" w:sz="0"/>
              <w:bottom w:val="none" w:color="FFFFFF" w:sz="0"/>
              <w:right w:val="none" w:color="FFFFFF" w:sz="0"/>
            </w:tcBorders>
            <w:shd w:fill="F3F4F6" w:color="auto" w:val="clear"/>
            <w:tcMar>
              <w:top w:type="dxa" w:w="240"/>
              <w:left w:type="dxa" w:w="240"/>
              <w:bottom w:type="dxa" w:w="240"/>
              <w:right w:type="dxa" w:w="240"/>
            </w:tcMar>
          </w:tcPr>
          <w:p>
            <w:pPr>
              <w:spacing w:after="100" w:before="0" w:line="300"/>
              <w:jc w:val="left"/>
            </w:pPr>
            <w:r>
              <w:rPr>
                <w:rFonts w:ascii="Calibri" w:cs="Calibri" w:eastAsia="Calibri" w:hAnsi="Calibri"/>
                <w:b/>
                <w:bCs/>
                <w:i w:val="false"/>
                <w:iCs w:val="false"/>
                <w:caps w:val="false"/>
                <w:color w:val="3C3C3C"/>
                <w:sz w:val="19"/>
                <w:szCs w:val="19"/>
              </w:rPr>
              <w:t xml:space="preserve">A formatted email in the leader's inbox — not just a chat response</w:t>
            </w:r>
          </w:p>
          <w:p>
            <w:pPr>
              <w:spacing w:after="40" w:before="40" w:line="280"/>
              <w:ind w:left="240" w:hanging="200"/>
            </w:pPr>
            <w:r>
              <w:rPr>
                <w:rFonts w:ascii="Calibri" w:cs="Calibri" w:eastAsia="Calibri" w:hAnsi="Calibri"/>
                <w:b w:val="false"/>
                <w:bCs w:val="false"/>
                <w:i w:val="false"/>
                <w:iCs w:val="false"/>
                <w:caps w:val="false"/>
                <w:color w:val="3C3C3C"/>
                <w:sz w:val="19"/>
                <w:szCs w:val="19"/>
              </w:rPr>
              <w:t xml:space="preserve">•  </w:t>
            </w:r>
            <w:r>
              <w:rPr>
                <w:rFonts w:ascii="Calibri" w:cs="Calibri" w:eastAsia="Calibri" w:hAnsi="Calibri"/>
                <w:b w:val="false"/>
                <w:bCs w:val="false"/>
                <w:i w:val="false"/>
                <w:iCs w:val="false"/>
                <w:caps w:val="false"/>
                <w:color w:val="3C3C3C"/>
                <w:sz w:val="19"/>
                <w:szCs w:val="19"/>
              </w:rPr>
              <w:t xml:space="preserve">Subject line that reflects the market or topic</w:t>
            </w:r>
          </w:p>
          <w:p>
            <w:pPr>
              <w:spacing w:after="40" w:before="40" w:line="280"/>
              <w:ind w:left="240" w:hanging="200"/>
            </w:pPr>
            <w:r>
              <w:rPr>
                <w:rFonts w:ascii="Calibri" w:cs="Calibri" w:eastAsia="Calibri" w:hAnsi="Calibri"/>
                <w:b w:val="false"/>
                <w:bCs w:val="false"/>
                <w:i w:val="false"/>
                <w:iCs w:val="false"/>
                <w:caps w:val="false"/>
                <w:color w:val="3C3C3C"/>
                <w:sz w:val="19"/>
                <w:szCs w:val="19"/>
              </w:rPr>
              <w:t xml:space="preserve">•  </w:t>
            </w:r>
            <w:r>
              <w:rPr>
                <w:rFonts w:ascii="Calibri" w:cs="Calibri" w:eastAsia="Calibri" w:hAnsi="Calibri"/>
                <w:b w:val="false"/>
                <w:bCs w:val="false"/>
                <w:i w:val="false"/>
                <w:iCs w:val="false"/>
                <w:caps w:val="false"/>
                <w:color w:val="3C3C3C"/>
                <w:sz w:val="19"/>
                <w:szCs w:val="19"/>
              </w:rPr>
              <w:t xml:space="preserve">Structured brief: situation, key numbers, regulatory flags, recommendation</w:t>
            </w:r>
          </w:p>
          <w:p>
            <w:pPr>
              <w:spacing w:after="40" w:before="40" w:line="280"/>
              <w:ind w:left="240" w:hanging="200"/>
            </w:pPr>
            <w:r>
              <w:rPr>
                <w:rFonts w:ascii="Calibri" w:cs="Calibri" w:eastAsia="Calibri" w:hAnsi="Calibri"/>
                <w:b w:val="false"/>
                <w:bCs w:val="false"/>
                <w:i w:val="false"/>
                <w:iCs w:val="false"/>
                <w:caps w:val="false"/>
                <w:color w:val="3C3C3C"/>
                <w:sz w:val="19"/>
                <w:szCs w:val="19"/>
              </w:rPr>
              <w:t xml:space="preserve">•  </w:t>
            </w:r>
            <w:r>
              <w:rPr>
                <w:rFonts w:ascii="Calibri" w:cs="Calibri" w:eastAsia="Calibri" w:hAnsi="Calibri"/>
                <w:b w:val="false"/>
                <w:bCs w:val="false"/>
                <w:i w:val="false"/>
                <w:iCs w:val="false"/>
                <w:caps w:val="false"/>
                <w:color w:val="3C3C3C"/>
                <w:sz w:val="19"/>
                <w:szCs w:val="19"/>
              </w:rPr>
              <w:t xml:space="preserve">Ready to forward to the CEO, finance peers, the General Counsel, or board members before a meeting</w:t>
            </w:r>
          </w:p>
        </w:tc>
      </w:tr>
    </w:tbl>
    <w:p>
      <w:pPr>
        <w:spacing w:after="280" w:before="0"/>
      </w:pPr>
      <w:r>
        <w:rPr>
          <w:rFonts w:ascii="Calibri" w:cs="Calibri" w:eastAsia="Calibri" w:hAnsi="Calibri"/>
          <w:b w:val="false"/>
          <w:bCs w:val="false"/>
          <w:i w:val="false"/>
          <w:iCs w:val="false"/>
          <w:caps w:val="false"/>
          <w:color w:val="3C3C3C"/>
          <w:sz w:val="19"/>
          <w:szCs w:val="19"/>
        </w:rPr>
        <w:t xml:space="preserve"/>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rPr>
          <w:cantSplit/>
        </w:trPr>
        <w:tc>
          <w:tcPr>
            <w:tcW w:type="dxa" w:w="9746"/>
            <w:tcBorders>
              <w:top w:val="single" w:color="2563EB" w:sz="24"/>
              <w:left w:val="none" w:color="FFFFFF" w:sz="0"/>
              <w:bottom w:val="none" w:color="FFFFFF" w:sz="0"/>
              <w:right w:val="none" w:color="FFFFFF" w:sz="0"/>
            </w:tcBorders>
            <w:shd w:fill="EFF6FF" w:color="auto" w:val="clear"/>
            <w:tcMar>
              <w:top w:type="dxa" w:w="240"/>
              <w:left w:type="dxa" w:w="320"/>
              <w:bottom w:type="dxa" w:w="240"/>
              <w:right w:type="dxa" w:w="320"/>
            </w:tcMar>
          </w:tcPr>
          <w:p>
            <w:pPr>
              <w:spacing w:after="100" w:before="0" w:line="300"/>
              <w:jc w:val="left"/>
            </w:pPr>
            <w:r>
              <w:rPr>
                <w:rFonts w:ascii="Calibri" w:cs="Calibri" w:eastAsia="Calibri" w:hAnsi="Calibri"/>
                <w:b/>
                <w:bCs/>
                <w:i w:val="false"/>
                <w:iCs w:val="false"/>
                <w:caps w:val="false"/>
                <w:color w:val="2563EB"/>
                <w:spacing w:val="30"/>
                <w:sz w:val="17"/>
                <w:szCs w:val="17"/>
              </w:rPr>
              <w:t xml:space="preserve">STAGE 3</w:t>
            </w:r>
          </w:p>
          <w:p>
            <w:pPr>
              <w:spacing w:after="100" w:before="0" w:line="300"/>
              <w:jc w:val="left"/>
            </w:pPr>
            <w:r>
              <w:rPr>
                <w:rFonts w:ascii="Calibri" w:cs="Calibri" w:eastAsia="Calibri" w:hAnsi="Calibri"/>
                <w:b/>
                <w:bCs/>
                <w:i w:val="false"/>
                <w:iCs w:val="false"/>
                <w:caps w:val="false"/>
                <w:color w:val="1B3A6B"/>
                <w:sz w:val="30"/>
                <w:szCs w:val="30"/>
              </w:rPr>
              <w:t xml:space="preserve">Advanced — Live Context from Email &amp; Calendar</w:t>
            </w:r>
          </w:p>
          <w:p>
            <w:pPr>
              <w:spacing w:after="0" w:before="0" w:line="300"/>
              <w:jc w:val="left"/>
            </w:pPr>
            <w:r>
              <w:rPr>
                <w:rFonts w:ascii="Calibri" w:cs="Calibri" w:eastAsia="Calibri" w:hAnsi="Calibri"/>
                <w:b w:val="false"/>
                <w:bCs w:val="false"/>
                <w:i/>
                <w:iCs/>
                <w:caps w:val="false"/>
                <w:color w:val="6B7280"/>
                <w:sz w:val="19"/>
                <w:szCs w:val="19"/>
              </w:rPr>
              <w:t xml:space="preserve">The agent connects to the leader's real Microsoft 365 data via Work IQ. It reads actual emails and calendar events to produce intelligence grounded in what is really happening — not just what the knowledge sources say.</w:t>
            </w:r>
          </w:p>
        </w:tc>
      </w:tr>
    </w:tbl>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shd w:fill="1B3A6B" w:color="auto" w:val="clear"/>
            <w:tcMar>
              <w:top w:type="dxa" w:w="160"/>
              <w:left w:type="dxa" w:w="240"/>
              <w:bottom w:type="dxa" w:w="160"/>
              <w:right w:type="dxa" w:w="240"/>
            </w:tcMar>
          </w:tcPr>
          <w:p>
            <w:pPr>
              <w:spacing w:after="0" w:before="0" w:line="300"/>
              <w:jc w:val="left"/>
            </w:pPr>
            <w:r>
              <w:rPr>
                <w:rFonts w:ascii="Calibri" w:cs="Calibri" w:eastAsia="Calibri" w:hAnsi="Calibri"/>
                <w:b/>
                <w:bCs/>
                <w:i w:val="false"/>
                <w:iCs w:val="false"/>
                <w:caps w:val="false"/>
                <w:color w:val="FFFFFF"/>
                <w:sz w:val="19"/>
                <w:szCs w:val="19"/>
              </w:rPr>
              <w:t xml:space="preserve">INPUT — what the leader provides</w:t>
            </w:r>
          </w:p>
        </w:tc>
        <w:tc>
          <w:tcPr>
            <w:tcW w:type="dxa" w:w="4873"/>
            <w:tcBorders>
              <w:top w:val="none" w:color="FFFFFF" w:sz="0"/>
              <w:left w:val="none" w:color="FFFFFF" w:sz="0"/>
              <w:bottom w:val="none" w:color="FFFFFF" w:sz="0"/>
              <w:right w:val="none" w:color="FFFFFF" w:sz="0"/>
            </w:tcBorders>
            <w:shd w:fill="1B3A6B" w:color="auto" w:val="clear"/>
            <w:tcMar>
              <w:top w:type="dxa" w:w="160"/>
              <w:left w:type="dxa" w:w="240"/>
              <w:bottom w:type="dxa" w:w="160"/>
              <w:right w:type="dxa" w:w="240"/>
            </w:tcMar>
          </w:tcPr>
          <w:p>
            <w:pPr>
              <w:spacing w:after="0" w:before="0" w:line="300"/>
              <w:jc w:val="left"/>
            </w:pPr>
            <w:r>
              <w:rPr>
                <w:rFonts w:ascii="Calibri" w:cs="Calibri" w:eastAsia="Calibri" w:hAnsi="Calibri"/>
                <w:b/>
                <w:bCs/>
                <w:i w:val="false"/>
                <w:iCs w:val="false"/>
                <w:caps w:val="false"/>
                <w:color w:val="FFFFFF"/>
                <w:sz w:val="19"/>
                <w:szCs w:val="19"/>
              </w:rPr>
              <w:t xml:space="preserve">OUTPUT — what the agent returns</w:t>
            </w:r>
          </w:p>
        </w:tc>
      </w:tr>
      <w:tr>
        <w:trPr>
          <w:cantSplit/>
        </w:trPr>
        <w:tc>
          <w:tcPr>
            <w:tcW w:type="dxa" w:w="4873"/>
            <w:tcBorders>
              <w:top w:val="none" w:color="FFFFFF" w:sz="0"/>
              <w:left w:val="none" w:color="FFFFFF" w:sz="0"/>
              <w:bottom w:val="none" w:color="FFFFFF" w:sz="0"/>
              <w:right w:val="none" w:color="FFFFFF" w:sz="0"/>
            </w:tcBorders>
            <w:shd w:fill="EFF6FF" w:color="auto" w:val="clear"/>
            <w:tcMar>
              <w:top w:type="dxa" w:w="240"/>
              <w:left w:type="dxa" w:w="240"/>
              <w:bottom w:type="dxa" w:w="240"/>
              <w:right w:type="dxa" w:w="240"/>
            </w:tcMar>
          </w:tcPr>
          <w:p>
            <w:pPr>
              <w:spacing w:after="100" w:before="0" w:line="300"/>
              <w:jc w:val="left"/>
            </w:pPr>
            <w:r>
              <w:rPr>
                <w:rFonts w:ascii="Calibri" w:cs="Calibri" w:eastAsia="Calibri" w:hAnsi="Calibri"/>
                <w:b w:val="false"/>
                <w:bCs w:val="false"/>
                <w:i w:val="false"/>
                <w:iCs w:val="false"/>
                <w:caps w:val="false"/>
                <w:color w:val="3C3C3C"/>
                <w:sz w:val="19"/>
                <w:szCs w:val="19"/>
              </w:rPr>
              <w:t xml:space="preserve">A question about a market, a regulator, or an upcoming decision. Work IQ is connected — the agent reads the leader's actual email threads and calendar entries related to that topic before responding.</w:t>
            </w:r>
          </w:p>
        </w:tc>
        <w:tc>
          <w:tcPr>
            <w:tcW w:type="dxa" w:w="4873"/>
            <w:tcBorders>
              <w:top w:val="none" w:color="FFFFFF" w:sz="0"/>
              <w:left w:val="none" w:color="FFFFFF" w:sz="0"/>
              <w:bottom w:val="none" w:color="FFFFFF" w:sz="0"/>
              <w:right w:val="none" w:color="FFFFFF" w:sz="0"/>
            </w:tcBorders>
            <w:shd w:fill="F3F4F6" w:color="auto" w:val="clear"/>
            <w:tcMar>
              <w:top w:type="dxa" w:w="240"/>
              <w:left w:type="dxa" w:w="240"/>
              <w:bottom w:type="dxa" w:w="240"/>
              <w:right w:type="dxa" w:w="240"/>
            </w:tcMar>
          </w:tcPr>
          <w:p>
            <w:pPr>
              <w:spacing w:after="100" w:before="0" w:line="300"/>
              <w:jc w:val="left"/>
            </w:pPr>
            <w:r>
              <w:rPr>
                <w:rFonts w:ascii="Calibri" w:cs="Calibri" w:eastAsia="Calibri" w:hAnsi="Calibri"/>
                <w:b/>
                <w:bCs/>
                <w:i w:val="false"/>
                <w:iCs w:val="false"/>
                <w:caps w:val="false"/>
                <w:color w:val="3C3C3C"/>
                <w:sz w:val="19"/>
                <w:szCs w:val="19"/>
              </w:rPr>
              <w:t xml:space="preserve">A brief grounded in live data — not just knowledge sources</w:t>
            </w:r>
          </w:p>
          <w:p>
            <w:pPr>
              <w:spacing w:after="40" w:before="40" w:line="280"/>
              <w:ind w:left="240" w:hanging="200"/>
            </w:pPr>
            <w:r>
              <w:rPr>
                <w:rFonts w:ascii="Calibri" w:cs="Calibri" w:eastAsia="Calibri" w:hAnsi="Calibri"/>
                <w:b w:val="false"/>
                <w:bCs w:val="false"/>
                <w:i w:val="false"/>
                <w:iCs w:val="false"/>
                <w:caps w:val="false"/>
                <w:color w:val="3C3C3C"/>
                <w:sz w:val="19"/>
                <w:szCs w:val="19"/>
              </w:rPr>
              <w:t xml:space="preserve">•  </w:t>
            </w:r>
            <w:r>
              <w:rPr>
                <w:rFonts w:ascii="Calibri" w:cs="Calibri" w:eastAsia="Calibri" w:hAnsi="Calibri"/>
                <w:b w:val="false"/>
                <w:bCs w:val="false"/>
                <w:i w:val="false"/>
                <w:iCs w:val="false"/>
                <w:caps w:val="false"/>
                <w:color w:val="3C3C3C"/>
                <w:sz w:val="19"/>
                <w:szCs w:val="19"/>
              </w:rPr>
              <w:t xml:space="preserve">What has actually happened recently — regulator correspondence, advisor exchanges, internal commitments</w:t>
            </w:r>
          </w:p>
          <w:p>
            <w:pPr>
              <w:spacing w:after="40" w:before="40" w:line="280"/>
              <w:ind w:left="240" w:hanging="200"/>
            </w:pPr>
            <w:r>
              <w:rPr>
                <w:rFonts w:ascii="Calibri" w:cs="Calibri" w:eastAsia="Calibri" w:hAnsi="Calibri"/>
                <w:b w:val="false"/>
                <w:bCs w:val="false"/>
                <w:i w:val="false"/>
                <w:iCs w:val="false"/>
                <w:caps w:val="false"/>
                <w:color w:val="3C3C3C"/>
                <w:sz w:val="19"/>
                <w:szCs w:val="19"/>
              </w:rPr>
              <w:t xml:space="preserve">•  </w:t>
            </w:r>
            <w:r>
              <w:rPr>
                <w:rFonts w:ascii="Calibri" w:cs="Calibri" w:eastAsia="Calibri" w:hAnsi="Calibri"/>
                <w:b w:val="false"/>
                <w:bCs w:val="false"/>
                <w:i w:val="false"/>
                <w:iCs w:val="false"/>
                <w:caps w:val="false"/>
                <w:color w:val="3C3C3C"/>
                <w:sz w:val="19"/>
                <w:szCs w:val="19"/>
              </w:rPr>
              <w:t xml:space="preserve">What is coming up in the calendar — board meetings, regulator calls, deal milestones</w:t>
            </w:r>
          </w:p>
          <w:p>
            <w:pPr>
              <w:spacing w:after="40" w:before="40" w:line="280"/>
              <w:ind w:left="240" w:hanging="200"/>
            </w:pPr>
            <w:r>
              <w:rPr>
                <w:rFonts w:ascii="Calibri" w:cs="Calibri" w:eastAsia="Calibri" w:hAnsi="Calibri"/>
                <w:b w:val="false"/>
                <w:bCs w:val="false"/>
                <w:i w:val="false"/>
                <w:iCs w:val="false"/>
                <w:caps w:val="false"/>
                <w:color w:val="3C3C3C"/>
                <w:sz w:val="19"/>
                <w:szCs w:val="19"/>
              </w:rPr>
              <w:t xml:space="preserve">•  </w:t>
            </w:r>
            <w:r>
              <w:rPr>
                <w:rFonts w:ascii="Calibri" w:cs="Calibri" w:eastAsia="Calibri" w:hAnsi="Calibri"/>
                <w:b w:val="false"/>
                <w:bCs w:val="false"/>
                <w:i w:val="false"/>
                <w:iCs w:val="false"/>
                <w:caps w:val="false"/>
                <w:color w:val="3C3C3C"/>
                <w:sz w:val="19"/>
                <w:szCs w:val="19"/>
              </w:rPr>
              <w:t xml:space="preserve">A richer, more specific output that reflects the real current situation</w:t>
            </w:r>
          </w:p>
        </w:tc>
      </w:tr>
    </w:tbl>
    <w:p>
      <w:pPr>
        <w:spacing w:after="320" w:before="0"/>
      </w:pPr>
      <w:r>
        <w:rPr>
          <w:rFonts w:ascii="Calibri" w:cs="Calibri" w:eastAsia="Calibri" w:hAnsi="Calibri"/>
          <w:b w:val="false"/>
          <w:bCs w:val="false"/>
          <w:i w:val="false"/>
          <w:iCs w:val="false"/>
          <w:caps w:val="false"/>
          <w:color w:val="3C3C3C"/>
          <w:sz w:val="19"/>
          <w:szCs w:val="19"/>
        </w:rPr>
        <w:t xml:space="preserve"/>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rPr>
          <w:cantSplit/>
        </w:trPr>
        <w:tc>
          <w:tcPr>
            <w:tcW w:type="dxa" w:w="9746"/>
            <w:tcBorders>
              <w:top w:val="none" w:color="FFFFFF" w:sz="0"/>
              <w:left w:val="single" w:color="2563EB" w:sz="36"/>
              <w:bottom w:val="none" w:color="FFFFFF" w:sz="0"/>
              <w:right w:val="none" w:color="FFFFFF" w:sz="0"/>
            </w:tcBorders>
            <w:shd w:fill="EFF6FF" w:color="auto" w:val="clear"/>
            <w:tcMar>
              <w:top w:type="dxa" w:w="240"/>
              <w:left w:type="dxa" w:w="360"/>
              <w:bottom w:type="dxa" w:w="240"/>
              <w:right w:type="dxa" w:w="320"/>
            </w:tcMar>
          </w:tcPr>
          <w:p>
            <w:pPr>
              <w:spacing w:after="120" w:before="0" w:line="300"/>
              <w:jc w:val="left"/>
            </w:pPr>
            <w:r>
              <w:rPr>
                <w:rFonts w:ascii="Calibri" w:cs="Calibri" w:eastAsia="Calibri" w:hAnsi="Calibri"/>
                <w:b/>
                <w:bCs/>
                <w:i w:val="false"/>
                <w:iCs w:val="false"/>
                <w:caps w:val="false"/>
                <w:color w:val="1B3A6B"/>
                <w:sz w:val="20"/>
                <w:szCs w:val="20"/>
              </w:rPr>
              <w:t xml:space="preserve">Remember</w:t>
            </w:r>
          </w:p>
          <w:p>
            <w:pPr>
              <w:spacing w:after="140" w:before="0" w:line="300"/>
              <w:jc w:val="left"/>
            </w:pPr>
            <w:r>
              <w:rPr>
                <w:rFonts w:ascii="Calibri" w:cs="Calibri" w:eastAsia="Calibri" w:hAnsi="Calibri"/>
                <w:b w:val="false"/>
                <w:bCs w:val="false"/>
                <w:i w:val="false"/>
                <w:iCs w:val="false"/>
                <w:caps w:val="false"/>
                <w:color w:val="3C3C3C"/>
                <w:sz w:val="19"/>
                <w:szCs w:val="19"/>
              </w:rPr>
              <w:t xml:space="preserve">You are not following steps. You are building something you would actually use. Every decision you make — what to ask, how to configure it, how far to push it — is yours. The agent is only as good as what you put into it.</w:t>
            </w:r>
          </w:p>
          <w:p>
            <w:pPr>
              <w:spacing w:after="140" w:before="0" w:line="300"/>
              <w:jc w:val="left"/>
            </w:pPr>
            <w:r>
              <w:rPr>
                <w:rFonts w:ascii="Calibri" w:cs="Calibri" w:eastAsia="Calibri" w:hAnsi="Calibri"/>
                <w:b w:val="false"/>
                <w:bCs w:val="false"/>
                <w:i w:val="false"/>
                <w:iCs w:val="false"/>
                <w:caps w:val="false"/>
                <w:color w:val="3C3C3C"/>
                <w:sz w:val="19"/>
                <w:szCs w:val="19"/>
              </w:rPr>
              <w:t xml:space="preserve">Every response is automatically emailed to your inbox — you do not need to ask for it. Check your email as you build.</w:t>
            </w:r>
          </w:p>
          <w:p>
            <w:pPr>
              <w:spacing w:after="0" w:before="0" w:line="300"/>
              <w:jc w:val="left"/>
            </w:pPr>
            <w:r>
              <w:rPr>
                <w:rFonts w:ascii="Calibri" w:cs="Calibri" w:eastAsia="Calibri" w:hAnsi="Calibri"/>
                <w:b w:val="false"/>
                <w:bCs w:val="false"/>
                <w:i w:val="false"/>
                <w:iCs w:val="false"/>
                <w:caps w:val="false"/>
                <w:color w:val="3C3C3C"/>
                <w:sz w:val="19"/>
                <w:szCs w:val="19"/>
              </w:rPr>
              <w:t xml:space="preserve">Your agent also knows about additional opportunities beyond the three markets listed — including a regional fintech acquisition target and an exploratory expansion into a fourth CEE market. Explore freely.</w:t>
            </w:r>
          </w:p>
        </w:tc>
      </w:tr>
    </w:tbl>
    <w:sectPr>
      <w:headerReference w:type="default" r:id="rId7"/>
      <w:footerReference w:type="default" r:id="rId8"/>
      <w:pgSz w:w="11906" w:h="16838" w:orient="portrait"/>
      <w:pgMar w:top="1440" w:right="1080" w:bottom="1440" w:left="108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746"/>
      </w:tabs>
      <w:spacing w:after="0" w:before="60"/>
    </w:pPr>
    <w:r>
      <w:rPr>
        <w:rFonts w:ascii="Calibri" w:cs="Calibri" w:eastAsia="Calibri" w:hAnsi="Calibri"/>
        <w:b w:val="false"/>
        <w:bCs w:val="false"/>
        <w:i w:val="false"/>
        <w:iCs w:val="false"/>
        <w:caps w:val="false"/>
        <w:color w:val="6B7280"/>
        <w:sz w:val="16"/>
        <w:szCs w:val="16"/>
      </w:rPr>
      <w:t xml:space="preserve">Acceler  ·  Build Lab  ·  June 2026</w:t>
    </w:r>
    <w:r>
      <w:rPr>
        <w:rFonts w:ascii="Calibri" w:cs="Calibri" w:eastAsia="Calibri" w:hAnsi="Calibri"/>
        <w:b w:val="false"/>
        <w:bCs w:val="false"/>
        <w:i w:val="false"/>
        <w:iCs w:val="false"/>
        <w:caps w:val="false"/>
        <w:color w:val="3C3C3C"/>
        <w:sz w:val="19"/>
        <w:szCs w:val="19"/>
      </w:rPr>
      <w:t xml:space="preserve">	</w:t>
    </w:r>
    <w:r>
      <w:rPr>
        <w:rFonts w:ascii="Calibri" w:cs="Calibri" w:eastAsia="Calibri" w:hAnsi="Calibri"/>
        <w:b/>
        <w:bCs/>
        <w:color w:val="1B3A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4"/>
      </w:pBdr>
      <w:tabs>
        <w:tab w:val="right" w:pos="9746"/>
      </w:tabs>
      <w:spacing w:after="60" w:before="0"/>
    </w:pPr>
    <w:r>
      <w:rPr>
        <w:rFonts w:ascii="Calibri" w:cs="Calibri" w:eastAsia="Calibri" w:hAnsi="Calibri"/>
        <w:b/>
        <w:bCs/>
        <w:i w:val="false"/>
        <w:iCs w:val="false"/>
        <w:caps w:val="false"/>
        <w:color w:val="1B3A6B"/>
        <w:spacing w:val="30"/>
        <w:sz w:val="16"/>
        <w:szCs w:val="16"/>
      </w:rPr>
      <w:t xml:space="preserve">BUILD LAB 2026</w:t>
    </w:r>
    <w:r>
      <w:rPr>
        <w:rFonts w:ascii="Calibri" w:cs="Calibri" w:eastAsia="Calibri" w:hAnsi="Calibri"/>
        <w:b/>
        <w:bCs/>
        <w:i w:val="false"/>
        <w:iCs w:val="false"/>
        <w:caps w:val="false"/>
        <w:color w:val="2563EB"/>
        <w:sz w:val="16"/>
        <w:szCs w:val="16"/>
      </w:rPr>
      <w:t xml:space="preserve">  ·  </w:t>
    </w:r>
    <w:r>
      <w:rPr>
        <w:rFonts w:ascii="Calibri" w:cs="Calibri" w:eastAsia="Calibri" w:hAnsi="Calibri"/>
        <w:b/>
        <w:bCs/>
        <w:i w:val="false"/>
        <w:iCs w:val="false"/>
        <w:caps w:val="false"/>
        <w:color w:val="1B3A6B"/>
        <w:spacing w:val="30"/>
        <w:sz w:val="16"/>
        <w:szCs w:val="16"/>
      </w:rPr>
      <w:t xml:space="preserve">FINANCE &amp; LEGAL INTELLIGENCE AGENT</w:t>
    </w:r>
    <w:r>
      <w:rPr>
        <w:rFonts w:ascii="Calibri" w:cs="Calibri" w:eastAsia="Calibri" w:hAnsi="Calibri"/>
        <w:b w:val="false"/>
        <w:bCs w:val="false"/>
        <w:i w:val="false"/>
        <w:iCs w:val="false"/>
        <w:caps w:val="false"/>
        <w:color w:val="3C3C3C"/>
        <w:sz w:val="19"/>
        <w:szCs w:val="19"/>
      </w:rPr>
      <w:t xml:space="preserve">	</w:t>
    </w:r>
    <w:r>
      <w:rPr>
        <w:rFonts w:ascii="Calibri" w:cs="Calibri" w:eastAsia="Calibri" w:hAnsi="Calibri"/>
        <w:b/>
        <w:bCs/>
        <w:i w:val="false"/>
        <w:iCs w:val="false"/>
        <w:caps w:val="false"/>
        <w:color w:val="2563EB"/>
        <w:spacing w:val="30"/>
        <w:sz w:val="16"/>
        <w:szCs w:val="16"/>
      </w:rPr>
      <w:t xml:space="preserve">ACCELER</w:t>
    </w:r>
    <w:r>
      <w:rPr>
        <w:rFonts w:ascii="Calibri" w:cs="Calibri" w:eastAsia="Calibri" w:hAnsi="Calibri"/>
        <w:b/>
        <w:bCs/>
        <w:i w:val="false"/>
        <w:iCs w:val="false"/>
        <w:caps w:val="false"/>
        <w:color w:val="2563EB"/>
        <w:sz w:val="16"/>
        <w:szCs w:val="16"/>
      </w:rPr>
      <w:t xml:space="preserve">  ·  </w:t>
    </w:r>
    <w:r>
      <w:rPr>
        <w:rFonts w:ascii="Calibri" w:cs="Calibri" w:eastAsia="Calibri" w:hAnsi="Calibri"/>
        <w:b/>
        <w:bCs/>
        <w:i w:val="false"/>
        <w:iCs w:val="false"/>
        <w:caps w:val="false"/>
        <w:color w:val="1B3A6B"/>
        <w:spacing w:val="30"/>
        <w:sz w:val="16"/>
        <w:szCs w:val="16"/>
      </w:rPr>
      <w:t xml:space="preserve">PARTICIPANT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2026-05-30T06:37:10.359Z</dcterms:created>
  <dcterms:modified xsi:type="dcterms:W3CDTF">2026-05-30T06:37:10.359Z</dcterms:modified>
</cp:coreProperties>
</file>

<file path=docProps/custom.xml><?xml version="1.0" encoding="utf-8"?>
<Properties xmlns="http://schemas.openxmlformats.org/officeDocument/2006/custom-properties" xmlns:vt="http://schemas.openxmlformats.org/officeDocument/2006/docPropsVTypes"/>
</file>