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none" w:color="FFFFFF" w:sz="0"/>
              <w:bottom w:val="none" w:color="FFFFFF" w:sz="0"/>
              <w:right w:val="none" w:color="FFFFFF" w:sz="0"/>
            </w:tcBorders>
            <w:shd w:fill="EFF6FF" w:color="auto" w:val="clear"/>
            <w:tcMar>
              <w:top w:type="dxa" w:w="160"/>
              <w:left w:type="dxa" w:w="240"/>
              <w:bottom w:type="dxa" w:w="160"/>
              <w:right w:type="dxa" w:w="240"/>
            </w:tcMar>
          </w:tcPr>
          <w:p>
            <w:pPr>
              <w:spacing w:after="100" w:before="0"/>
            </w:pPr>
            <w:r>
              <w:rPr>
                <w:b/>
                <w:bCs/>
                <w:i w:val="false"/>
                <w:iCs w:val="false"/>
                <w:color w:val="2563EB"/>
                <w:sz w:val="18"/>
                <w:szCs w:val="18"/>
                <w:rFonts w:ascii="Calibri" w:cs="Calibri" w:eastAsia="Calibri" w:hAnsi="Calibri"/>
                <w:spacing w:val="60"/>
              </w:rPr>
              <w:t xml:space="preserve">PARTICIPANT SCENARIO</w:t>
            </w:r>
          </w:p>
          <w:p>
            <w:pPr>
              <w:spacing w:after="60" w:before="0"/>
            </w:pPr>
            <w:r>
              <w:rPr>
                <w:b/>
                <w:bCs/>
                <w:i w:val="false"/>
                <w:iCs w:val="false"/>
                <w:color w:val="1B3A6B"/>
                <w:sz w:val="40"/>
                <w:szCs w:val="40"/>
                <w:rFonts w:ascii="Calibri" w:cs="Calibri" w:eastAsia="Calibri" w:hAnsi="Calibri"/>
              </w:rPr>
              <w:t xml:space="preserve">HR Benefits Q&amp;A Agent</w:t>
            </w:r>
          </w:p>
          <w:p>
            <w:pPr>
              <w:spacing w:after="0" w:before="0"/>
            </w:pPr>
            <w:r>
              <w:rPr>
                <w:b w:val="false"/>
                <w:bCs w:val="false"/>
                <w:i/>
                <w:iCs/>
                <w:color w:val="6B7280"/>
                <w:sz w:val="22"/>
                <w:szCs w:val="22"/>
                <w:rFonts w:ascii="Calibri" w:cs="Calibri" w:eastAsia="Calibri" w:hAnsi="Calibri"/>
              </w:rPr>
              <w:t xml:space="preserve">Your AI agent for employee benefits questions — built in one session.</w:t>
            </w:r>
          </w:p>
        </w:tc>
      </w:tr>
    </w:tbl>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none" w:color="FFFFFF" w:sz="0"/>
              <w:bottom w:val="none" w:color="FFFFFF" w:sz="0"/>
              <w:right w:val="none" w:color="FFFFFF" w:sz="0"/>
            </w:tcBorders>
            <w:shd w:fill="EFF6FF" w:color="auto" w:val="clear"/>
            <w:tcMar>
              <w:top w:type="dxa" w:w="160"/>
              <w:left w:type="dxa" w:w="240"/>
              <w:bottom w:type="dxa" w:w="160"/>
              <w:right w:type="dxa" w:w="240"/>
            </w:tcMar>
          </w:tcPr>
          <w:p>
            <w:pPr>
              <w:spacing w:after="0" w:before="0"/>
            </w:pPr>
            <w:r>
              <w:rPr>
                <w:b/>
                <w:bCs/>
                <w:i w:val="false"/>
                <w:iCs w:val="false"/>
                <w:color w:val="2563EB"/>
                <w:sz w:val="18"/>
                <w:szCs w:val="18"/>
                <w:rFonts w:ascii="Calibri" w:cs="Calibri" w:eastAsia="Calibri" w:hAnsi="Calibri"/>
                <w:spacing w:val="40"/>
              </w:rPr>
              <w:t xml:space="preserve">01  ·  YOUR PERSONA</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single" w:color="DBEAFE" w:sz="2"/>
              <w:left w:val="single" w:color="2563EB" w:sz="16"/>
              <w:bottom w:val="single" w:color="DBEAFE" w:sz="2"/>
              <w:right w:val="none" w:color="FFFFFF" w:sz="0"/>
            </w:tcBorders>
            <w:shd w:fill="EFF6FF" w:color="auto" w:val="clear"/>
            <w:tcMar>
              <w:top w:type="dxa" w:w="160"/>
              <w:left w:type="dxa" w:w="240"/>
              <w:bottom w:type="dxa" w:w="160"/>
              <w:right w:type="dxa" w:w="240"/>
            </w:tcMar>
          </w:tcPr>
          <w:p>
            <w:pPr>
              <w:spacing w:after="120" w:before="0"/>
            </w:pPr>
            <w:r>
              <w:rPr>
                <w:b/>
                <w:bCs/>
                <w:i w:val="false"/>
                <w:iCs w:val="false"/>
                <w:color w:val="1B3A6B"/>
                <w:sz w:val="21"/>
                <w:szCs w:val="21"/>
                <w:rFonts w:ascii="Calibri" w:cs="Calibri" w:eastAsia="Calibri" w:hAnsi="Calibri"/>
              </w:rPr>
              <w:t xml:space="preserve">You are the HR Director / People lead at a leading CEE telecom operator (CETIN / Yettel, Hungary).</w:t>
            </w:r>
          </w:p>
          <w:p>
            <w:pPr>
              <w:spacing w:after="120" w:before="0"/>
            </w:pPr>
            <w:r>
              <w:rPr>
                <w:b w:val="false"/>
                <w:bCs w:val="false"/>
                <w:i w:val="false"/>
                <w:iCs w:val="false"/>
                <w:color w:val="3C3C3C"/>
                <w:sz w:val="20"/>
                <w:szCs w:val="20"/>
                <w:rFonts w:ascii="Calibri" w:cs="Calibri" w:eastAsia="Calibri" w:hAnsi="Calibri"/>
              </w:rPr>
              <w:t xml:space="preserve">Employees ask the same questions every week — how much annual leave they get, what health and wellbeing benefits exist, the cafeteria and commuting perks, parental leave, and how the company compares to what the law requires. You cannot answer everyone, in two languages, around the clock.</w:t>
            </w:r>
          </w:p>
          <w:p>
            <w:pPr>
              <w:spacing w:after="0" w:before="0"/>
            </w:pPr>
            <w:r>
              <w:rPr>
                <w:b w:val="false"/>
                <w:bCs w:val="false"/>
                <w:i w:val="false"/>
                <w:iCs w:val="false"/>
                <w:color w:val="3C3C3C"/>
                <w:sz w:val="20"/>
                <w:szCs w:val="20"/>
                <w:rFonts w:ascii="Calibri" w:cs="Calibri" w:eastAsia="Calibri" w:hAnsi="Calibri"/>
              </w:rPr>
              <w:t xml:space="preserve">Your challenge: when you are in meetings or away, benefit questions pile up in the HR inbox and employees wait. You need an agent that answers accurately from official sources — in Hungarian or English, any hour — and only escalates to a person when it truly needs to.</w:t>
            </w:r>
          </w:p>
        </w:tc>
      </w:tr>
    </w:tbl>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2000"/>
            <w:tcBorders>
              <w:top w:val="none" w:color="FFFFFF" w:sz="0"/>
              <w:left w:val="none" w:color="FFFFFF" w:sz="0"/>
              <w:bottom w:val="none" w:color="FFFFFF" w:sz="0"/>
              <w:right w:val="none" w:color="FFFFFF" w:sz="0"/>
            </w:tcBorders>
            <w:tcMar>
              <w:top w:type="dxa" w:w="60"/>
              <w:bottom w:type="dxa" w:w="60"/>
              <w:right w:type="dxa" w:w="120"/>
            </w:tcMar>
          </w:tcPr>
          <w:p>
            <w:pPr>
              <w:spacing w:after="0" w:before="0"/>
            </w:pPr>
            <w:r>
              <w:rPr>
                <w:b/>
                <w:bCs/>
                <w:i w:val="false"/>
                <w:iCs w:val="false"/>
                <w:color w:val="2563EB"/>
                <w:sz w:val="19"/>
                <w:szCs w:val="19"/>
                <w:rFonts w:ascii="Calibri" w:cs="Calibri" w:eastAsia="Calibri" w:hAnsi="Calibri"/>
              </w:rPr>
              <w:t xml:space="preserve">Role</w:t>
            </w:r>
          </w:p>
        </w:tc>
        <w:tc>
          <w:tcPr>
            <w:tcW w:type="dxa" w:w="7360"/>
            <w:tcBorders>
              <w:top w:val="none" w:color="FFFFFF" w:sz="0"/>
              <w:left w:val="none" w:color="FFFFFF" w:sz="0"/>
              <w:bottom w:val="none" w:color="FFFFFF" w:sz="0"/>
              <w:right w:val="none" w:color="FFFFFF" w:sz="0"/>
            </w:tcBorders>
            <w:tcMar>
              <w:top w:type="dxa" w:w="60"/>
              <w:bottom w:type="dxa" w:w="60"/>
            </w:tcMar>
          </w:tcPr>
          <w:p>
            <w:pPr>
              <w:spacing w:after="0" w:before="0"/>
            </w:pPr>
            <w:r>
              <w:rPr>
                <w:b w:val="false"/>
                <w:bCs w:val="false"/>
                <w:i w:val="false"/>
                <w:iCs w:val="false"/>
                <w:color w:val="3C3C3C"/>
                <w:sz w:val="19"/>
                <w:szCs w:val="19"/>
                <w:rFonts w:ascii="Calibri" w:cs="Calibri" w:eastAsia="Calibri" w:hAnsi="Calibri"/>
              </w:rPr>
              <w:t xml:space="preserve">HR Director / People lead</w:t>
            </w:r>
          </w:p>
        </w:tc>
      </w:tr>
      <w:tr>
        <w:tc>
          <w:tcPr>
            <w:tcW w:type="dxa" w:w="2000"/>
            <w:tcBorders>
              <w:top w:val="none" w:color="FFFFFF" w:sz="0"/>
              <w:left w:val="none" w:color="FFFFFF" w:sz="0"/>
              <w:bottom w:val="none" w:color="FFFFFF" w:sz="0"/>
              <w:right w:val="none" w:color="FFFFFF" w:sz="0"/>
            </w:tcBorders>
            <w:tcMar>
              <w:top w:type="dxa" w:w="60"/>
              <w:bottom w:type="dxa" w:w="60"/>
              <w:right w:type="dxa" w:w="120"/>
            </w:tcMar>
          </w:tcPr>
          <w:p>
            <w:pPr>
              <w:spacing w:after="0" w:before="0"/>
            </w:pPr>
            <w:r>
              <w:rPr>
                <w:b/>
                <w:bCs/>
                <w:i w:val="false"/>
                <w:iCs w:val="false"/>
                <w:color w:val="2563EB"/>
                <w:sz w:val="19"/>
                <w:szCs w:val="19"/>
                <w:rFonts w:ascii="Calibri" w:cs="Calibri" w:eastAsia="Calibri" w:hAnsi="Calibri"/>
              </w:rPr>
              <w:t xml:space="preserve">Company</w:t>
            </w:r>
          </w:p>
        </w:tc>
        <w:tc>
          <w:tcPr>
            <w:tcW w:type="dxa" w:w="7360"/>
            <w:tcBorders>
              <w:top w:val="none" w:color="FFFFFF" w:sz="0"/>
              <w:left w:val="none" w:color="FFFFFF" w:sz="0"/>
              <w:bottom w:val="none" w:color="FFFFFF" w:sz="0"/>
              <w:right w:val="none" w:color="FFFFFF" w:sz="0"/>
            </w:tcBorders>
            <w:tcMar>
              <w:top w:type="dxa" w:w="60"/>
              <w:bottom w:type="dxa" w:w="60"/>
            </w:tcMar>
          </w:tcPr>
          <w:p>
            <w:pPr>
              <w:spacing w:after="0" w:before="0"/>
            </w:pPr>
            <w:r>
              <w:rPr>
                <w:b w:val="false"/>
                <w:bCs w:val="false"/>
                <w:i w:val="false"/>
                <w:iCs w:val="false"/>
                <w:color w:val="3C3C3C"/>
                <w:sz w:val="19"/>
                <w:szCs w:val="19"/>
                <w:rFonts w:ascii="Calibri" w:cs="Calibri" w:eastAsia="Calibri" w:hAnsi="Calibri"/>
              </w:rPr>
              <w:t xml:space="preserve">Leading CEE telecom operator — CETIN / Yettel, Hungary</w:t>
            </w:r>
          </w:p>
        </w:tc>
      </w:tr>
      <w:tr>
        <w:tc>
          <w:tcPr>
            <w:tcW w:type="dxa" w:w="2000"/>
            <w:tcBorders>
              <w:top w:val="none" w:color="FFFFFF" w:sz="0"/>
              <w:left w:val="none" w:color="FFFFFF" w:sz="0"/>
              <w:bottom w:val="none" w:color="FFFFFF" w:sz="0"/>
              <w:right w:val="none" w:color="FFFFFF" w:sz="0"/>
            </w:tcBorders>
            <w:tcMar>
              <w:top w:type="dxa" w:w="60"/>
              <w:bottom w:type="dxa" w:w="60"/>
              <w:right w:type="dxa" w:w="120"/>
            </w:tcMar>
          </w:tcPr>
          <w:p>
            <w:pPr>
              <w:spacing w:after="0" w:before="0"/>
            </w:pPr>
            <w:r>
              <w:rPr>
                <w:b/>
                <w:bCs/>
                <w:i w:val="false"/>
                <w:iCs w:val="false"/>
                <w:color w:val="2563EB"/>
                <w:sz w:val="19"/>
                <w:szCs w:val="19"/>
                <w:rFonts w:ascii="Calibri" w:cs="Calibri" w:eastAsia="Calibri" w:hAnsi="Calibri"/>
              </w:rPr>
              <w:t xml:space="preserve">Your focus</w:t>
            </w:r>
          </w:p>
        </w:tc>
        <w:tc>
          <w:tcPr>
            <w:tcW w:type="dxa" w:w="7360"/>
            <w:tcBorders>
              <w:top w:val="none" w:color="FFFFFF" w:sz="0"/>
              <w:left w:val="none" w:color="FFFFFF" w:sz="0"/>
              <w:bottom w:val="none" w:color="FFFFFF" w:sz="0"/>
              <w:right w:val="none" w:color="FFFFFF" w:sz="0"/>
            </w:tcBorders>
            <w:tcMar>
              <w:top w:type="dxa" w:w="60"/>
              <w:bottom w:type="dxa" w:w="60"/>
            </w:tcMar>
          </w:tcPr>
          <w:p>
            <w:pPr>
              <w:spacing w:after="0" w:before="0"/>
            </w:pPr>
            <w:r>
              <w:rPr>
                <w:b w:val="false"/>
                <w:bCs w:val="false"/>
                <w:i w:val="false"/>
                <w:iCs w:val="false"/>
                <w:color w:val="3C3C3C"/>
                <w:sz w:val="19"/>
                <w:szCs w:val="19"/>
                <w:rFonts w:ascii="Calibri" w:cs="Calibri" w:eastAsia="Calibri" w:hAnsi="Calibri"/>
              </w:rPr>
              <w:t xml:space="preserve">Employee self-service for benefits, perks and leave — accurate, sourced, bilingual (HU / EN)</w:t>
            </w:r>
          </w:p>
        </w:tc>
      </w:tr>
      <w:tr>
        <w:tc>
          <w:tcPr>
            <w:tcW w:type="dxa" w:w="2000"/>
            <w:tcBorders>
              <w:top w:val="none" w:color="FFFFFF" w:sz="0"/>
              <w:left w:val="none" w:color="FFFFFF" w:sz="0"/>
              <w:bottom w:val="none" w:color="FFFFFF" w:sz="0"/>
              <w:right w:val="none" w:color="FFFFFF" w:sz="0"/>
            </w:tcBorders>
            <w:tcMar>
              <w:top w:type="dxa" w:w="60"/>
              <w:bottom w:type="dxa" w:w="60"/>
              <w:right w:type="dxa" w:w="120"/>
            </w:tcMar>
          </w:tcPr>
          <w:p>
            <w:pPr>
              <w:spacing w:after="0" w:before="0"/>
            </w:pPr>
            <w:r>
              <w:rPr>
                <w:b/>
                <w:bCs/>
                <w:i w:val="false"/>
                <w:iCs w:val="false"/>
                <w:color w:val="2563EB"/>
                <w:sz w:val="19"/>
                <w:szCs w:val="19"/>
                <w:rFonts w:ascii="Calibri" w:cs="Calibri" w:eastAsia="Calibri" w:hAnsi="Calibri"/>
              </w:rPr>
              <w:t xml:space="preserve">Your sources</w:t>
            </w:r>
          </w:p>
        </w:tc>
        <w:tc>
          <w:tcPr>
            <w:tcW w:type="dxa" w:w="7360"/>
            <w:tcBorders>
              <w:top w:val="none" w:color="FFFFFF" w:sz="0"/>
              <w:left w:val="none" w:color="FFFFFF" w:sz="0"/>
              <w:bottom w:val="none" w:color="FFFFFF" w:sz="0"/>
              <w:right w:val="none" w:color="FFFFFF" w:sz="0"/>
            </w:tcBorders>
            <w:tcMar>
              <w:top w:type="dxa" w:w="60"/>
              <w:bottom w:type="dxa" w:w="60"/>
            </w:tcMar>
          </w:tcPr>
          <w:p>
            <w:pPr>
              <w:spacing w:after="0" w:before="0"/>
            </w:pPr>
            <w:r>
              <w:rPr>
                <w:b w:val="false"/>
                <w:bCs w:val="false"/>
                <w:i w:val="false"/>
                <w:iCs w:val="false"/>
                <w:color w:val="3C3C3C"/>
                <w:sz w:val="19"/>
                <w:szCs w:val="19"/>
                <w:rFonts w:ascii="Calibri" w:cs="Calibri" w:eastAsia="Calibri" w:hAnsi="Calibri"/>
              </w:rPr>
              <w:t xml:space="preserve">Two public web pages only — the company careers / benefits page + a Hungary labour-law page. No uploads.</w:t>
            </w:r>
          </w:p>
        </w:tc>
      </w:tr>
    </w:tbl>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none" w:color="FFFFFF" w:sz="0"/>
              <w:bottom w:val="none" w:color="FFFFFF" w:sz="0"/>
              <w:right w:val="none" w:color="FFFFFF" w:sz="0"/>
            </w:tcBorders>
            <w:shd w:fill="EFF6FF" w:color="auto" w:val="clear"/>
            <w:tcMar>
              <w:top w:type="dxa" w:w="160"/>
              <w:left w:type="dxa" w:w="240"/>
              <w:bottom w:type="dxa" w:w="160"/>
              <w:right w:type="dxa" w:w="240"/>
            </w:tcMar>
          </w:tcPr>
          <w:p>
            <w:pPr>
              <w:spacing w:after="0" w:before="0"/>
            </w:pPr>
            <w:r>
              <w:rPr>
                <w:b/>
                <w:bCs/>
                <w:i w:val="false"/>
                <w:iCs w:val="false"/>
                <w:color w:val="2563EB"/>
                <w:sz w:val="18"/>
                <w:szCs w:val="18"/>
                <w:rFonts w:ascii="Calibri" w:cs="Calibri" w:eastAsia="Calibri" w:hAnsi="Calibri"/>
                <w:spacing w:val="40"/>
              </w:rPr>
              <w:t xml:space="preserve">02  ·  WHAT YOUR AGENT KNOWS</w:t>
            </w:r>
          </w:p>
        </w:tc>
      </w:tr>
    </w:tbl>
    <w:p>
      <w:pPr>
        <w:spacing w:after="160" w:before="0"/>
      </w:pPr>
      <w:r>
        <w:rPr>
          <w:b w:val="false"/>
          <w:bCs w:val="false"/>
          <w:i w:val="false"/>
          <w:iCs w:val="false"/>
          <w:color w:val="3C3C3C"/>
          <w:sz w:val="20"/>
          <w:szCs w:val="20"/>
          <w:rFonts w:ascii="Calibri" w:cs="Calibri" w:eastAsia="Calibri" w:hAnsi="Calibri"/>
        </w:rPr>
        <w:t xml:space="preserve">These are the kinds of questions employees bring — every answer is grounded in your two public sources. Use them as the basis for your agent conversations throughout the session.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single" w:color="D1D5DB" w:sz="2"/>
              <w:left w:val="single" w:color="D1D5DB" w:sz="2"/>
              <w:bottom w:val="single" w:color="D1D5DB" w:sz="2"/>
              <w:right w:val="single" w:color="D1D5DB" w:sz="2"/>
            </w:tcBorders>
            <w:shd w:fill="F3F4F6" w:color="auto" w:val="clear"/>
            <w:tcMar>
              <w:top w:type="dxa" w:w="160"/>
              <w:left w:type="dxa" w:w="200"/>
              <w:bottom w:type="dxa" w:w="160"/>
              <w:right w:type="dxa" w:w="200"/>
            </w:tcMar>
          </w:tcPr>
          <w:tbl>
            <w:tblPr>
              <w:tblW w:type="dxa" w:w="89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560"/>
                  <w:tcBorders>
                    <w:top w:val="none" w:color="FFFFFF" w:sz="0"/>
                    <w:left w:val="none" w:color="FFFFFF" w:sz="0"/>
                    <w:bottom w:val="none" w:color="FFFFFF" w:sz="0"/>
                    <w:right w:val="none" w:color="FFFFFF" w:sz="0"/>
                  </w:tcBorders>
                </w:tcPr>
                <w:p>
                  <w:pPr>
                    <w:spacing w:after="20" w:before="0"/>
                  </w:pPr>
                  <w:r>
                    <w:rPr>
                      <w:b/>
                      <w:bCs/>
                      <w:i w:val="false"/>
                      <w:iCs w:val="false"/>
                      <w:color w:val="1B3A6B"/>
                      <w:sz w:val="24"/>
                      <w:szCs w:val="24"/>
                      <w:rFonts w:ascii="Calibri" w:cs="Calibri" w:eastAsia="Calibri" w:hAnsi="Calibri"/>
                    </w:rPr>
                    <w:t xml:space="preserve">Annual leave &amp; time off</w:t>
                  </w:r>
                </w:p>
                <w:p>
                  <w:pPr>
                    <w:spacing w:after="0" w:before="0"/>
                  </w:pPr>
                  <w:r>
                    <w:rPr>
                      <w:b w:val="false"/>
                      <w:bCs w:val="false"/>
                      <w:i w:val="false"/>
                      <w:iCs w:val="false"/>
                      <w:color w:val="6B7280"/>
                      <w:sz w:val="18"/>
                      <w:szCs w:val="18"/>
                      <w:rFonts w:ascii="Calibri" w:cs="Calibri" w:eastAsia="Calibri" w:hAnsi="Calibri"/>
                    </w:rPr>
                    <w:t xml:space="preserve">Leave</w:t>
                  </w:r>
                </w:p>
              </w:tc>
              <w:tc>
                <w:tcPr>
                  <w:tcW w:type="dxa" w:w="3400"/>
                  <w:tcBorders>
                    <w:top w:val="none" w:color="FFFFFF" w:sz="0"/>
                    <w:left w:val="none" w:color="FFFFFF" w:sz="0"/>
                    <w:bottom w:val="none" w:color="FFFFFF" w:sz="0"/>
                    <w:right w:val="none" w:color="FFFFFF" w:sz="0"/>
                  </w:tcBorders>
                  <w:vAlign w:val="center"/>
                </w:tcPr>
                <w:p>
                  <w:pPr>
                    <w:spacing w:after="0" w:before="0"/>
                    <w:jc w:val="right"/>
                  </w:pPr>
                  <w:r>
                    <w:rPr>
                      <w:b/>
                      <w:bCs/>
                      <w:i w:val="false"/>
                      <w:iCs w:val="false"/>
                      <w:color w:val="166534"/>
                      <w:sz w:val="18"/>
                      <w:szCs w:val="18"/>
                      <w:rFonts w:ascii="Calibri" w:cs="Calibri" w:eastAsia="Calibri" w:hAnsi="Calibri"/>
                    </w:rPr>
                    <w:t xml:space="preserve">✅ Covered</w:t>
                  </w:r>
                </w:p>
              </w:tc>
            </w:tr>
          </w:tbl>
          <w:p>
            <w:pPr>
              <w:spacing w:after="0" w:before="60"/>
            </w:pPr>
            <w:r>
              <w:rPr>
                <w:b w:val="false"/>
                <w:bCs w:val="false"/>
                <w:i w:val="false"/>
                <w:iCs w:val="false"/>
                <w:color w:val="3C3C3C"/>
                <w:sz w:val="19"/>
                <w:szCs w:val="19"/>
                <w:rFonts w:ascii="Calibri" w:cs="Calibri" w:eastAsia="Calibri" w:hAnsi="Calibri"/>
              </w:rPr>
              <w:t xml:space="preserve">How many days am I entitled to, can I carry leave over, and how does it grow with age? (Hungary: minimum 20 days, rising to 30.) Plus how to request time off.</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single" w:color="D1D5DB" w:sz="2"/>
              <w:left w:val="single" w:color="D1D5DB" w:sz="2"/>
              <w:bottom w:val="single" w:color="D1D5DB" w:sz="2"/>
              <w:right w:val="single" w:color="D1D5DB" w:sz="2"/>
            </w:tcBorders>
            <w:shd w:fill="F3F4F6" w:color="auto" w:val="clear"/>
            <w:tcMar>
              <w:top w:type="dxa" w:w="160"/>
              <w:left w:type="dxa" w:w="200"/>
              <w:bottom w:type="dxa" w:w="160"/>
              <w:right w:type="dxa" w:w="200"/>
            </w:tcMar>
          </w:tcPr>
          <w:tbl>
            <w:tblPr>
              <w:tblW w:type="dxa" w:w="89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560"/>
                  <w:tcBorders>
                    <w:top w:val="none" w:color="FFFFFF" w:sz="0"/>
                    <w:left w:val="none" w:color="FFFFFF" w:sz="0"/>
                    <w:bottom w:val="none" w:color="FFFFFF" w:sz="0"/>
                    <w:right w:val="none" w:color="FFFFFF" w:sz="0"/>
                  </w:tcBorders>
                </w:tcPr>
                <w:p>
                  <w:pPr>
                    <w:spacing w:after="20" w:before="0"/>
                  </w:pPr>
                  <w:r>
                    <w:rPr>
                      <w:b/>
                      <w:bCs/>
                      <w:i w:val="false"/>
                      <w:iCs w:val="false"/>
                      <w:color w:val="1B3A6B"/>
                      <w:sz w:val="24"/>
                      <w:szCs w:val="24"/>
                      <w:rFonts w:ascii="Calibri" w:cs="Calibri" w:eastAsia="Calibri" w:hAnsi="Calibri"/>
                    </w:rPr>
                    <w:t xml:space="preserve">Health &amp; wellbeing</w:t>
                  </w:r>
                </w:p>
                <w:p>
                  <w:pPr>
                    <w:spacing w:after="0" w:before="0"/>
                  </w:pPr>
                  <w:r>
                    <w:rPr>
                      <w:b w:val="false"/>
                      <w:bCs w:val="false"/>
                      <w:i w:val="false"/>
                      <w:iCs w:val="false"/>
                      <w:color w:val="6B7280"/>
                      <w:sz w:val="18"/>
                      <w:szCs w:val="18"/>
                      <w:rFonts w:ascii="Calibri" w:cs="Calibri" w:eastAsia="Calibri" w:hAnsi="Calibri"/>
                    </w:rPr>
                    <w:t xml:space="preserve">Benefits</w:t>
                  </w:r>
                </w:p>
              </w:tc>
              <w:tc>
                <w:tcPr>
                  <w:tcW w:type="dxa" w:w="3400"/>
                  <w:tcBorders>
                    <w:top w:val="none" w:color="FFFFFF" w:sz="0"/>
                    <w:left w:val="none" w:color="FFFFFF" w:sz="0"/>
                    <w:bottom w:val="none" w:color="FFFFFF" w:sz="0"/>
                    <w:right w:val="none" w:color="FFFFFF" w:sz="0"/>
                  </w:tcBorders>
                  <w:vAlign w:val="center"/>
                </w:tcPr>
                <w:p>
                  <w:pPr>
                    <w:spacing w:after="0" w:before="0"/>
                    <w:jc w:val="right"/>
                  </w:pPr>
                  <w:r>
                    <w:rPr>
                      <w:b/>
                      <w:bCs/>
                      <w:i w:val="false"/>
                      <w:iCs w:val="false"/>
                      <w:color w:val="166534"/>
                      <w:sz w:val="18"/>
                      <w:szCs w:val="18"/>
                      <w:rFonts w:ascii="Calibri" w:cs="Calibri" w:eastAsia="Calibri" w:hAnsi="Calibri"/>
                    </w:rPr>
                    <w:t xml:space="preserve">✅ Covered</w:t>
                  </w:r>
                </w:p>
              </w:tc>
            </w:tr>
          </w:tbl>
          <w:p>
            <w:pPr>
              <w:spacing w:after="0" w:before="60"/>
            </w:pPr>
            <w:r>
              <w:rPr>
                <w:b w:val="false"/>
                <w:bCs w:val="false"/>
                <w:i w:val="false"/>
                <w:iCs w:val="false"/>
                <w:color w:val="3C3C3C"/>
                <w:sz w:val="19"/>
                <w:szCs w:val="19"/>
                <w:rFonts w:ascii="Calibri" w:cs="Calibri" w:eastAsia="Calibri" w:hAnsi="Calibri"/>
              </w:rPr>
              <w:t xml:space="preserve">Health insurance, the sport / SZÉP-style card, and the wellbeing perks the company provides to employees and dependants.</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single" w:color="D1D5DB" w:sz="2"/>
              <w:left w:val="single" w:color="D1D5DB" w:sz="2"/>
              <w:bottom w:val="single" w:color="D1D5DB" w:sz="2"/>
              <w:right w:val="single" w:color="D1D5DB" w:sz="2"/>
            </w:tcBorders>
            <w:shd w:fill="F3F4F6" w:color="auto" w:val="clear"/>
            <w:tcMar>
              <w:top w:type="dxa" w:w="160"/>
              <w:left w:type="dxa" w:w="200"/>
              <w:bottom w:type="dxa" w:w="160"/>
              <w:right w:type="dxa" w:w="200"/>
            </w:tcMar>
          </w:tcPr>
          <w:tbl>
            <w:tblPr>
              <w:tblW w:type="dxa" w:w="89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560"/>
                  <w:tcBorders>
                    <w:top w:val="none" w:color="FFFFFF" w:sz="0"/>
                    <w:left w:val="none" w:color="FFFFFF" w:sz="0"/>
                    <w:bottom w:val="none" w:color="FFFFFF" w:sz="0"/>
                    <w:right w:val="none" w:color="FFFFFF" w:sz="0"/>
                  </w:tcBorders>
                </w:tcPr>
                <w:p>
                  <w:pPr>
                    <w:spacing w:after="20" w:before="0"/>
                  </w:pPr>
                  <w:r>
                    <w:rPr>
                      <w:b/>
                      <w:bCs/>
                      <w:i w:val="false"/>
                      <w:iCs w:val="false"/>
                      <w:color w:val="1B3A6B"/>
                      <w:sz w:val="24"/>
                      <w:szCs w:val="24"/>
                      <w:rFonts w:ascii="Calibri" w:cs="Calibri" w:eastAsia="Calibri" w:hAnsi="Calibri"/>
                    </w:rPr>
                    <w:t xml:space="preserve">Cafeteria &amp; everyday perks</w:t>
                  </w:r>
                </w:p>
                <w:p>
                  <w:pPr>
                    <w:spacing w:after="0" w:before="0"/>
                  </w:pPr>
                  <w:r>
                    <w:rPr>
                      <w:b w:val="false"/>
                      <w:bCs w:val="false"/>
                      <w:i w:val="false"/>
                      <w:iCs w:val="false"/>
                      <w:color w:val="6B7280"/>
                      <w:sz w:val="18"/>
                      <w:szCs w:val="18"/>
                      <w:rFonts w:ascii="Calibri" w:cs="Calibri" w:eastAsia="Calibri" w:hAnsi="Calibri"/>
                    </w:rPr>
                    <w:t xml:space="preserve">Perks</w:t>
                  </w:r>
                </w:p>
              </w:tc>
              <w:tc>
                <w:tcPr>
                  <w:tcW w:type="dxa" w:w="3400"/>
                  <w:tcBorders>
                    <w:top w:val="none" w:color="FFFFFF" w:sz="0"/>
                    <w:left w:val="none" w:color="FFFFFF" w:sz="0"/>
                    <w:bottom w:val="none" w:color="FFFFFF" w:sz="0"/>
                    <w:right w:val="none" w:color="FFFFFF" w:sz="0"/>
                  </w:tcBorders>
                  <w:vAlign w:val="center"/>
                </w:tcPr>
                <w:p>
                  <w:pPr>
                    <w:spacing w:after="0" w:before="0"/>
                    <w:jc w:val="right"/>
                  </w:pPr>
                  <w:r>
                    <w:rPr>
                      <w:b/>
                      <w:bCs/>
                      <w:i w:val="false"/>
                      <w:iCs w:val="false"/>
                      <w:color w:val="166534"/>
                      <w:sz w:val="18"/>
                      <w:szCs w:val="18"/>
                      <w:rFonts w:ascii="Calibri" w:cs="Calibri" w:eastAsia="Calibri" w:hAnsi="Calibri"/>
                    </w:rPr>
                    <w:t xml:space="preserve">✅ Covered</w:t>
                  </w:r>
                </w:p>
              </w:tc>
            </w:tr>
          </w:tbl>
          <w:p>
            <w:pPr>
              <w:spacing w:after="0" w:before="60"/>
            </w:pPr>
            <w:r>
              <w:rPr>
                <w:b w:val="false"/>
                <w:bCs w:val="false"/>
                <w:i w:val="false"/>
                <w:iCs w:val="false"/>
                <w:color w:val="3C3C3C"/>
                <w:sz w:val="19"/>
                <w:szCs w:val="19"/>
                <w:rFonts w:ascii="Calibri" w:cs="Calibri" w:eastAsia="Calibri" w:hAnsi="Calibri"/>
              </w:rPr>
              <w:t xml:space="preserve">Cafeteria benefits, commuting support, language-learning assistance and the company phone — what is on offer and who qualifies.</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single" w:color="D1D5DB" w:sz="2"/>
              <w:left w:val="single" w:color="D1D5DB" w:sz="2"/>
              <w:bottom w:val="single" w:color="D1D5DB" w:sz="2"/>
              <w:right w:val="single" w:color="D1D5DB" w:sz="2"/>
            </w:tcBorders>
            <w:shd w:fill="F3F4F6" w:color="auto" w:val="clear"/>
            <w:tcMar>
              <w:top w:type="dxa" w:w="160"/>
              <w:left w:type="dxa" w:w="200"/>
              <w:bottom w:type="dxa" w:w="160"/>
              <w:right w:type="dxa" w:w="200"/>
            </w:tcMar>
          </w:tcPr>
          <w:tbl>
            <w:tblPr>
              <w:tblW w:type="dxa" w:w="89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560"/>
                  <w:tcBorders>
                    <w:top w:val="none" w:color="FFFFFF" w:sz="0"/>
                    <w:left w:val="none" w:color="FFFFFF" w:sz="0"/>
                    <w:bottom w:val="none" w:color="FFFFFF" w:sz="0"/>
                    <w:right w:val="none" w:color="FFFFFF" w:sz="0"/>
                  </w:tcBorders>
                </w:tcPr>
                <w:p>
                  <w:pPr>
                    <w:spacing w:after="20" w:before="0"/>
                  </w:pPr>
                  <w:r>
                    <w:rPr>
                      <w:b/>
                      <w:bCs/>
                      <w:i w:val="false"/>
                      <w:iCs w:val="false"/>
                      <w:color w:val="1B3A6B"/>
                      <w:sz w:val="24"/>
                      <w:szCs w:val="24"/>
                      <w:rFonts w:ascii="Calibri" w:cs="Calibri" w:eastAsia="Calibri" w:hAnsi="Calibri"/>
                    </w:rPr>
                    <w:t xml:space="preserve">Parental &amp; family leave</w:t>
                  </w:r>
                </w:p>
                <w:p>
                  <w:pPr>
                    <w:spacing w:after="0" w:before="0"/>
                  </w:pPr>
                  <w:r>
                    <w:rPr>
                      <w:b w:val="false"/>
                      <w:bCs w:val="false"/>
                      <w:i w:val="false"/>
                      <w:iCs w:val="false"/>
                      <w:color w:val="6B7280"/>
                      <w:sz w:val="18"/>
                      <w:szCs w:val="18"/>
                      <w:rFonts w:ascii="Calibri" w:cs="Calibri" w:eastAsia="Calibri" w:hAnsi="Calibri"/>
                    </w:rPr>
                    <w:t xml:space="preserve">Leave</w:t>
                  </w:r>
                </w:p>
              </w:tc>
              <w:tc>
                <w:tcPr>
                  <w:tcW w:type="dxa" w:w="3400"/>
                  <w:tcBorders>
                    <w:top w:val="none" w:color="FFFFFF" w:sz="0"/>
                    <w:left w:val="none" w:color="FFFFFF" w:sz="0"/>
                    <w:bottom w:val="none" w:color="FFFFFF" w:sz="0"/>
                    <w:right w:val="none" w:color="FFFFFF" w:sz="0"/>
                  </w:tcBorders>
                  <w:vAlign w:val="center"/>
                </w:tcPr>
                <w:p>
                  <w:pPr>
                    <w:spacing w:after="0" w:before="0"/>
                    <w:jc w:val="right"/>
                  </w:pPr>
                  <w:r>
                    <w:rPr>
                      <w:b/>
                      <w:bCs/>
                      <w:i w:val="false"/>
                      <w:iCs w:val="false"/>
                      <w:color w:val="92400E"/>
                      <w:sz w:val="18"/>
                      <w:szCs w:val="18"/>
                      <w:rFonts w:ascii="Calibri" w:cs="Calibri" w:eastAsia="Calibri" w:hAnsi="Calibri"/>
                    </w:rPr>
                    <w:t xml:space="preserve">⚖️ Company + legal</w:t>
                  </w:r>
                </w:p>
              </w:tc>
            </w:tr>
          </w:tbl>
          <w:p>
            <w:pPr>
              <w:spacing w:after="0" w:before="60"/>
            </w:pPr>
            <w:r>
              <w:rPr>
                <w:b w:val="false"/>
                <w:bCs w:val="false"/>
                <w:i w:val="false"/>
                <w:iCs w:val="false"/>
                <w:color w:val="3C3C3C"/>
                <w:sz w:val="19"/>
                <w:szCs w:val="19"/>
                <w:rFonts w:ascii="Calibri" w:cs="Calibri" w:eastAsia="Calibri" w:hAnsi="Calibri"/>
              </w:rPr>
              <w:t xml:space="preserve">Maternity, paternity and parental leave — the statutory minimum in Hungary alongside what the company adds on top.</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single" w:color="D1D5DB" w:sz="2"/>
              <w:left w:val="single" w:color="D1D5DB" w:sz="2"/>
              <w:bottom w:val="single" w:color="D1D5DB" w:sz="2"/>
              <w:right w:val="single" w:color="D1D5DB" w:sz="2"/>
            </w:tcBorders>
            <w:shd w:fill="F3F4F6" w:color="auto" w:val="clear"/>
            <w:tcMar>
              <w:top w:type="dxa" w:w="160"/>
              <w:left w:type="dxa" w:w="200"/>
              <w:bottom w:type="dxa" w:w="160"/>
              <w:right w:type="dxa" w:w="200"/>
            </w:tcMar>
          </w:tcPr>
          <w:tbl>
            <w:tblPr>
              <w:tblW w:type="dxa" w:w="896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560"/>
                  <w:tcBorders>
                    <w:top w:val="none" w:color="FFFFFF" w:sz="0"/>
                    <w:left w:val="none" w:color="FFFFFF" w:sz="0"/>
                    <w:bottom w:val="none" w:color="FFFFFF" w:sz="0"/>
                    <w:right w:val="none" w:color="FFFFFF" w:sz="0"/>
                  </w:tcBorders>
                </w:tcPr>
                <w:p>
                  <w:pPr>
                    <w:spacing w:after="20" w:before="0"/>
                  </w:pPr>
                  <w:r>
                    <w:rPr>
                      <w:b/>
                      <w:bCs/>
                      <w:i w:val="false"/>
                      <w:iCs w:val="false"/>
                      <w:color w:val="1B3A6B"/>
                      <w:sz w:val="24"/>
                      <w:szCs w:val="24"/>
                      <w:rFonts w:ascii="Calibri" w:cs="Calibri" w:eastAsia="Calibri" w:hAnsi="Calibri"/>
                    </w:rPr>
                    <w:t xml:space="preserve">Perks vs. the legal minimum</w:t>
                  </w:r>
                </w:p>
                <w:p>
                  <w:pPr>
                    <w:spacing w:after="0" w:before="0"/>
                  </w:pPr>
                  <w:r>
                    <w:rPr>
                      <w:b w:val="false"/>
                      <w:bCs w:val="false"/>
                      <w:i w:val="false"/>
                      <w:iCs w:val="false"/>
                      <w:color w:val="6B7280"/>
                      <w:sz w:val="18"/>
                      <w:szCs w:val="18"/>
                      <w:rFonts w:ascii="Calibri" w:cs="Calibri" w:eastAsia="Calibri" w:hAnsi="Calibri"/>
                    </w:rPr>
                    <w:t xml:space="preserve">Comparison</w:t>
                  </w:r>
                </w:p>
              </w:tc>
              <w:tc>
                <w:tcPr>
                  <w:tcW w:type="dxa" w:w="3400"/>
                  <w:tcBorders>
                    <w:top w:val="none" w:color="FFFFFF" w:sz="0"/>
                    <w:left w:val="none" w:color="FFFFFF" w:sz="0"/>
                    <w:bottom w:val="none" w:color="FFFFFF" w:sz="0"/>
                    <w:right w:val="none" w:color="FFFFFF" w:sz="0"/>
                  </w:tcBorders>
                  <w:vAlign w:val="center"/>
                </w:tcPr>
                <w:p>
                  <w:pPr>
                    <w:spacing w:after="0" w:before="0"/>
                    <w:jc w:val="right"/>
                  </w:pPr>
                  <w:r>
                    <w:rPr>
                      <w:b/>
                      <w:bCs/>
                      <w:i w:val="false"/>
                      <w:iCs w:val="false"/>
                      <w:color w:val="2563EB"/>
                      <w:sz w:val="18"/>
                      <w:szCs w:val="18"/>
                      <w:rFonts w:ascii="Calibri" w:cs="Calibri" w:eastAsia="Calibri" w:hAnsi="Calibri"/>
                    </w:rPr>
                    <w:t xml:space="preserve">✨ The wow</w:t>
                  </w:r>
                </w:p>
              </w:tc>
            </w:tr>
          </w:tbl>
          <w:p>
            <w:pPr>
              <w:spacing w:after="0" w:before="60"/>
            </w:pPr>
            <w:r>
              <w:rPr>
                <w:b w:val="false"/>
                <w:bCs w:val="false"/>
                <w:i w:val="false"/>
                <w:iCs w:val="false"/>
                <w:color w:val="3C3C3C"/>
                <w:sz w:val="19"/>
                <w:szCs w:val="19"/>
                <w:rFonts w:ascii="Calibri" w:cs="Calibri" w:eastAsia="Calibri" w:hAnsi="Calibri"/>
              </w:rPr>
              <w:t xml:space="preserve">A side-by-side of what the company offers versus the Hungarian statutory minimum — the answer employees and managers find most useful.</w:t>
            </w:r>
          </w:p>
        </w:tc>
      </w:tr>
    </w:tbl>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none" w:color="FFFFFF" w:sz="0"/>
              <w:bottom w:val="none" w:color="FFFFFF" w:sz="0"/>
              <w:right w:val="none" w:color="FFFFFF" w:sz="0"/>
            </w:tcBorders>
            <w:shd w:fill="EFF6FF" w:color="auto" w:val="clear"/>
            <w:tcMar>
              <w:top w:type="dxa" w:w="160"/>
              <w:left w:type="dxa" w:w="240"/>
              <w:bottom w:type="dxa" w:w="160"/>
              <w:right w:type="dxa" w:w="240"/>
            </w:tcMar>
          </w:tcPr>
          <w:p>
            <w:pPr>
              <w:spacing w:after="0" w:before="0"/>
            </w:pPr>
            <w:r>
              <w:rPr>
                <w:b/>
                <w:bCs/>
                <w:i w:val="false"/>
                <w:iCs w:val="false"/>
                <w:color w:val="2563EB"/>
                <w:sz w:val="18"/>
                <w:szCs w:val="18"/>
                <w:rFonts w:ascii="Calibri" w:cs="Calibri" w:eastAsia="Calibri" w:hAnsi="Calibri"/>
                <w:spacing w:val="40"/>
              </w:rPr>
              <w:t xml:space="preserve">03  ·  YOUR BUILD — THREE STAGES</w:t>
            </w:r>
          </w:p>
        </w:tc>
      </w:tr>
    </w:tbl>
    <w:p>
      <w:pPr>
        <w:spacing w:after="160" w:before="0"/>
      </w:pPr>
      <w:r>
        <w:rPr>
          <w:b w:val="false"/>
          <w:bCs w:val="false"/>
          <w:i w:val="false"/>
          <w:iCs w:val="false"/>
          <w:color w:val="3C3C3C"/>
          <w:sz w:val="20"/>
          <w:szCs w:val="20"/>
          <w:rFonts w:ascii="Calibri" w:cs="Calibri" w:eastAsia="Calibri" w:hAnsi="Calibri"/>
        </w:rPr>
        <w:t xml:space="preserve">You build your agent in three stages. Each stage adds capability. You choose how far you go — but the further you build, the more useful it is to employees.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single" w:color="2563EB" w:sz="12"/>
              <w:left w:val="none" w:color="FFFFFF" w:sz="0"/>
              <w:bottom w:val="none" w:color="FFFFFF" w:sz="0"/>
              <w:right w:val="none" w:color="FFFFFF" w:sz="0"/>
            </w:tcBorders>
            <w:shd w:fill="EFF6FF" w:color="auto" w:val="clear"/>
            <w:tcMar>
              <w:top w:type="dxa" w:w="160"/>
              <w:left w:type="dxa" w:w="240"/>
              <w:bottom w:type="dxa" w:w="160"/>
              <w:right w:type="dxa" w:w="240"/>
            </w:tcMar>
          </w:tcPr>
          <w:p>
            <w:pPr>
              <w:spacing w:after="80" w:before="0"/>
            </w:pPr>
            <w:r>
              <w:rPr>
                <w:b/>
                <w:bCs/>
                <w:i w:val="false"/>
                <w:iCs w:val="false"/>
                <w:color w:val="2563EB"/>
                <w:sz w:val="17"/>
                <w:szCs w:val="17"/>
                <w:rFonts w:ascii="Calibri" w:cs="Calibri" w:eastAsia="Calibri" w:hAnsi="Calibri"/>
                <w:spacing w:val="60"/>
              </w:rPr>
              <w:t xml:space="preserve">STAGE 1</w:t>
            </w:r>
          </w:p>
          <w:p>
            <w:pPr>
              <w:spacing w:after="60" w:before="0"/>
            </w:pPr>
            <w:r>
              <w:rPr>
                <w:b/>
                <w:bCs/>
                <w:i w:val="false"/>
                <w:iCs w:val="false"/>
                <w:color w:val="1B3A6B"/>
                <w:sz w:val="23"/>
                <w:szCs w:val="23"/>
                <w:rFonts w:ascii="Calibri" w:cs="Calibri" w:eastAsia="Calibri" w:hAnsi="Calibri"/>
              </w:rPr>
              <w:t xml:space="preserve">Basic — Q&amp;A with the Agent</w:t>
            </w:r>
          </w:p>
          <w:p>
            <w:pPr>
              <w:spacing w:after="0" w:before="0"/>
            </w:pPr>
            <w:r>
              <w:rPr>
                <w:b w:val="false"/>
                <w:bCs w:val="false"/>
                <w:i w:val="false"/>
                <w:iCs w:val="false"/>
                <w:color w:val="3C3C3C"/>
                <w:sz w:val="19"/>
                <w:szCs w:val="19"/>
                <w:rFonts w:ascii="Calibri" w:cs="Calibri" w:eastAsia="Calibri" w:hAnsi="Calibri"/>
              </w:rPr>
              <w:t xml:space="preserve">The agent answers employee questions using only its two public knowledge sources. No connectors yet. They ask, it answers.</w:t>
            </w:r>
          </w:p>
        </w:tc>
      </w:tr>
    </w:tbl>
    <w:p>
      <w:pPr>
        <w:spacing w:after="80" w:before="0"/>
      </w:pPr>
    </w:p>
    <w:tbl>
      <w:tblPr>
        <w:tblW w:type="dxa" w:w="936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4560"/>
            <w:tcBorders>
              <w:top w:val="single" w:color="D1D5DB" w:sz="2"/>
              <w:left w:val="single" w:color="D1D5DB" w:sz="2"/>
              <w:bottom w:val="single" w:color="D1D5DB" w:sz="2"/>
              <w:right w:val="single" w:color="D1D5DB" w:sz="2"/>
            </w:tcBorders>
            <w:shd w:fill="1B3A6B" w:color="auto" w:val="clear"/>
            <w:tcMar>
              <w:top w:type="dxa" w:w="80"/>
              <w:left w:type="dxa" w:w="140"/>
              <w:bottom w:type="dxa" w:w="80"/>
              <w:right w:type="dxa" w:w="140"/>
            </w:tcMar>
          </w:tcPr>
          <w:p>
            <w:pPr>
              <w:spacing w:after="0" w:before="0"/>
            </w:pPr>
            <w:r>
              <w:rPr>
                <w:b/>
                <w:bCs/>
                <w:i w:val="false"/>
                <w:iCs w:val="false"/>
                <w:color w:val="FFFFFF"/>
                <w:sz w:val="18"/>
                <w:szCs w:val="18"/>
                <w:rFonts w:ascii="Calibri" w:cs="Calibri" w:eastAsia="Calibri" w:hAnsi="Calibri"/>
              </w:rPr>
              <w:t xml:space="preserve">INPUT — what you provide</w:t>
            </w:r>
          </w:p>
        </w:tc>
        <w:tc>
          <w:tcPr>
            <w:tcW w:type="dxa" w:w="4800"/>
            <w:tcBorders>
              <w:top w:val="single" w:color="D1D5DB" w:sz="2"/>
              <w:left w:val="single" w:color="D1D5DB" w:sz="2"/>
              <w:bottom w:val="single" w:color="D1D5DB" w:sz="2"/>
              <w:right w:val="single" w:color="D1D5DB" w:sz="2"/>
            </w:tcBorders>
            <w:shd w:fill="1B3A6B" w:color="auto" w:val="clear"/>
            <w:tcMar>
              <w:top w:type="dxa" w:w="80"/>
              <w:left w:type="dxa" w:w="140"/>
              <w:bottom w:type="dxa" w:w="80"/>
              <w:right w:type="dxa" w:w="140"/>
            </w:tcMar>
          </w:tcPr>
          <w:p>
            <w:pPr>
              <w:spacing w:after="0" w:before="0"/>
            </w:pPr>
            <w:r>
              <w:rPr>
                <w:b/>
                <w:bCs/>
                <w:i w:val="false"/>
                <w:iCs w:val="false"/>
                <w:color w:val="FFFFFF"/>
                <w:sz w:val="18"/>
                <w:szCs w:val="18"/>
                <w:rFonts w:ascii="Calibri" w:cs="Calibri" w:eastAsia="Calibri" w:hAnsi="Calibri"/>
              </w:rPr>
              <w:t xml:space="preserve">OUTPUT — what the agent returns</w:t>
            </w:r>
          </w:p>
        </w:tc>
      </w:tr>
      <w:tr>
        <w:tc>
          <w:tcPr>
            <w:tcW w:type="dxa" w:w="4560"/>
            <w:tcBorders>
              <w:top w:val="single" w:color="D1D5DB" w:sz="2"/>
              <w:left w:val="single" w:color="D1D5DB" w:sz="2"/>
              <w:bottom w:val="single" w:color="D1D5DB" w:sz="2"/>
              <w:right w:val="single" w:color="D1D5DB" w:sz="2"/>
            </w:tcBorders>
            <w:shd w:fill="EFF6FF" w:color="auto" w:val="clear"/>
            <w:tcMar>
              <w:top w:type="dxa" w:w="140"/>
              <w:left w:type="dxa" w:w="140"/>
              <w:bottom w:type="dxa" w:w="140"/>
              <w:right w:type="dxa" w:w="140"/>
            </w:tcMar>
          </w:tcPr>
          <w:p>
            <w:pPr>
              <w:spacing w:after="0" w:before="0"/>
            </w:pPr>
            <w:r>
              <w:rPr>
                <w:b w:val="false"/>
                <w:bCs w:val="false"/>
                <w:i w:val="false"/>
                <w:iCs w:val="false"/>
                <w:color w:val="3C3C3C"/>
                <w:sz w:val="19"/>
                <w:szCs w:val="19"/>
                <w:rFonts w:ascii="Calibri" w:cs="Calibri" w:eastAsia="Calibri" w:hAnsi="Calibri"/>
              </w:rPr>
              <w:t xml:space="preserve">An employee question about benefits, leave or perks — typed in plain language, in Hungarian or English. No structured format needed.</w:t>
            </w:r>
          </w:p>
        </w:tc>
        <w:tc>
          <w:tcPr>
            <w:tcW w:type="dxa" w:w="4800"/>
            <w:tcBorders>
              <w:top w:val="single" w:color="D1D5DB" w:sz="2"/>
              <w:left w:val="single" w:color="D1D5DB" w:sz="2"/>
              <w:bottom w:val="single" w:color="D1D5DB" w:sz="2"/>
              <w:right w:val="single" w:color="D1D5DB" w:sz="2"/>
            </w:tcBorders>
            <w:shd w:fill="F3F4F6" w:color="auto" w:val="clear"/>
            <w:tcMar>
              <w:top w:type="dxa" w:w="140"/>
              <w:left w:type="dxa" w:w="140"/>
              <w:bottom w:type="dxa" w:w="140"/>
              <w:right w:type="dxa" w:w="140"/>
            </w:tcMar>
          </w:tcPr>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A clear answer grounded only in the two public pages — never invented numbers</w:t>
            </w:r>
          </w:p>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Benefit names in bold; any comparison shown as a table</w:t>
            </w:r>
          </w:p>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The source link, then a short "Confirm details with HR" line</w:t>
            </w:r>
          </w:p>
          <w:p>
            <w:pPr>
              <w:pStyle w:val="ListParagraph"/>
              <w:numPr>
                <w:ilvl w:val="0"/>
                <w:numId w:val="1"/>
              </w:numPr>
              <w:spacing w:after="0" w:before="0"/>
            </w:pPr>
            <w:r>
              <w:rPr>
                <w:b w:val="false"/>
                <w:bCs w:val="false"/>
                <w:i w:val="false"/>
                <w:iCs w:val="false"/>
                <w:color w:val="3C3C3C"/>
                <w:sz w:val="19"/>
                <w:szCs w:val="19"/>
                <w:rFonts w:ascii="Calibri" w:cs="Calibri" w:eastAsia="Calibri" w:hAnsi="Calibri"/>
              </w:rPr>
              <w:t xml:space="preserve">A response the employee can act on immediately</w:t>
            </w:r>
          </w:p>
        </w:tc>
      </w:tr>
    </w:tbl>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single" w:color="92400E" w:sz="12"/>
              <w:left w:val="none" w:color="FFFFFF" w:sz="0"/>
              <w:bottom w:val="none" w:color="FFFFFF" w:sz="0"/>
              <w:right w:val="none" w:color="FFFFFF" w:sz="0"/>
            </w:tcBorders>
            <w:shd w:fill="FFFBEB" w:color="auto" w:val="clear"/>
            <w:tcMar>
              <w:top w:type="dxa" w:w="160"/>
              <w:left w:type="dxa" w:w="240"/>
              <w:bottom w:type="dxa" w:w="160"/>
              <w:right w:type="dxa" w:w="240"/>
            </w:tcMar>
          </w:tcPr>
          <w:p>
            <w:pPr>
              <w:spacing w:after="80" w:before="0"/>
            </w:pPr>
            <w:r>
              <w:rPr>
                <w:b/>
                <w:bCs/>
                <w:i w:val="false"/>
                <w:iCs w:val="false"/>
                <w:color w:val="92400E"/>
                <w:sz w:val="17"/>
                <w:szCs w:val="17"/>
                <w:rFonts w:ascii="Calibri" w:cs="Calibri" w:eastAsia="Calibri" w:hAnsi="Calibri"/>
                <w:spacing w:val="60"/>
              </w:rPr>
              <w:t xml:space="preserve">STAGE 2</w:t>
            </w:r>
          </w:p>
          <w:p>
            <w:pPr>
              <w:spacing w:after="60" w:before="0"/>
            </w:pPr>
            <w:r>
              <w:rPr>
                <w:b/>
                <w:bCs/>
                <w:i w:val="false"/>
                <w:iCs w:val="false"/>
                <w:color w:val="1B3A6B"/>
                <w:sz w:val="23"/>
                <w:szCs w:val="23"/>
                <w:rFonts w:ascii="Calibri" w:cs="Calibri" w:eastAsia="Calibri" w:hAnsi="Calibri"/>
              </w:rPr>
              <w:t xml:space="preserve">Intermediate — Auto-reply to Employee Emails</w:t>
            </w:r>
          </w:p>
          <w:p>
            <w:pPr>
              <w:spacing w:after="0" w:before="0"/>
            </w:pPr>
            <w:r>
              <w:rPr>
                <w:b w:val="false"/>
                <w:bCs w:val="false"/>
                <w:i w:val="false"/>
                <w:iCs w:val="false"/>
                <w:color w:val="3C3C3C"/>
                <w:sz w:val="19"/>
                <w:szCs w:val="19"/>
                <w:rFonts w:ascii="Calibri" w:cs="Calibri" w:eastAsia="Calibri" w:hAnsi="Calibri"/>
              </w:rPr>
              <w:t xml:space="preserve">When HR is away, the agent reads emails arriving in the HR / benefits inbox and replies on its own — instantly, any hour. No one has to forward anything.</w:t>
            </w:r>
          </w:p>
        </w:tc>
      </w:tr>
    </w:tbl>
    <w:p>
      <w:pPr>
        <w:spacing w:after="80" w:before="0"/>
      </w:pPr>
    </w:p>
    <w:tbl>
      <w:tblPr>
        <w:tblW w:type="dxa" w:w="936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4560"/>
            <w:tcBorders>
              <w:top w:val="single" w:color="D1D5DB" w:sz="2"/>
              <w:left w:val="single" w:color="D1D5DB" w:sz="2"/>
              <w:bottom w:val="single" w:color="D1D5DB" w:sz="2"/>
              <w:right w:val="single" w:color="D1D5DB" w:sz="2"/>
            </w:tcBorders>
            <w:shd w:fill="1B3A6B" w:color="auto" w:val="clear"/>
            <w:tcMar>
              <w:top w:type="dxa" w:w="80"/>
              <w:left w:type="dxa" w:w="140"/>
              <w:bottom w:type="dxa" w:w="80"/>
              <w:right w:type="dxa" w:w="140"/>
            </w:tcMar>
          </w:tcPr>
          <w:p>
            <w:pPr>
              <w:spacing w:after="0" w:before="0"/>
            </w:pPr>
            <w:r>
              <w:rPr>
                <w:b/>
                <w:bCs/>
                <w:i w:val="false"/>
                <w:iCs w:val="false"/>
                <w:color w:val="FFFFFF"/>
                <w:sz w:val="18"/>
                <w:szCs w:val="18"/>
                <w:rFonts w:ascii="Calibri" w:cs="Calibri" w:eastAsia="Calibri" w:hAnsi="Calibri"/>
              </w:rPr>
              <w:t xml:space="preserve">INPUT — what you provide</w:t>
            </w:r>
          </w:p>
        </w:tc>
        <w:tc>
          <w:tcPr>
            <w:tcW w:type="dxa" w:w="4800"/>
            <w:tcBorders>
              <w:top w:val="single" w:color="D1D5DB" w:sz="2"/>
              <w:left w:val="single" w:color="D1D5DB" w:sz="2"/>
              <w:bottom w:val="single" w:color="D1D5DB" w:sz="2"/>
              <w:right w:val="single" w:color="D1D5DB" w:sz="2"/>
            </w:tcBorders>
            <w:shd w:fill="1B3A6B" w:color="auto" w:val="clear"/>
            <w:tcMar>
              <w:top w:type="dxa" w:w="80"/>
              <w:left w:type="dxa" w:w="140"/>
              <w:bottom w:type="dxa" w:w="80"/>
              <w:right w:type="dxa" w:w="140"/>
            </w:tcMar>
          </w:tcPr>
          <w:p>
            <w:pPr>
              <w:spacing w:after="0" w:before="0"/>
            </w:pPr>
            <w:r>
              <w:rPr>
                <w:b/>
                <w:bCs/>
                <w:i w:val="false"/>
                <w:iCs w:val="false"/>
                <w:color w:val="FFFFFF"/>
                <w:sz w:val="18"/>
                <w:szCs w:val="18"/>
                <w:rFonts w:ascii="Calibri" w:cs="Calibri" w:eastAsia="Calibri" w:hAnsi="Calibri"/>
              </w:rPr>
              <w:t xml:space="preserve">OUTPUT — what the agent returns</w:t>
            </w:r>
          </w:p>
        </w:tc>
      </w:tr>
      <w:tr>
        <w:tc>
          <w:tcPr>
            <w:tcW w:type="dxa" w:w="4560"/>
            <w:tcBorders>
              <w:top w:val="single" w:color="D1D5DB" w:sz="2"/>
              <w:left w:val="single" w:color="D1D5DB" w:sz="2"/>
              <w:bottom w:val="single" w:color="D1D5DB" w:sz="2"/>
              <w:right w:val="single" w:color="D1D5DB" w:sz="2"/>
            </w:tcBorders>
            <w:shd w:fill="FFFBEB" w:color="auto" w:val="clear"/>
            <w:tcMar>
              <w:top w:type="dxa" w:w="140"/>
              <w:left w:type="dxa" w:w="140"/>
              <w:bottom w:type="dxa" w:w="140"/>
              <w:right w:type="dxa" w:w="140"/>
            </w:tcMar>
          </w:tcPr>
          <w:p>
            <w:pPr>
              <w:spacing w:after="0" w:before="0"/>
            </w:pPr>
            <w:r>
              <w:rPr>
                <w:b w:val="false"/>
                <w:bCs w:val="false"/>
                <w:i w:val="false"/>
                <w:iCs w:val="false"/>
                <w:color w:val="3C3C3C"/>
                <w:sz w:val="19"/>
                <w:szCs w:val="19"/>
                <w:rFonts w:ascii="Calibri" w:cs="Calibri" w:eastAsia="Calibri" w:hAnsi="Calibri"/>
              </w:rPr>
              <w:t xml:space="preserve">An email lands in the HR / benefits inbox asking a benefits question. A trigger fires automatically — the employee just emails as normal.</w:t>
            </w:r>
          </w:p>
        </w:tc>
        <w:tc>
          <w:tcPr>
            <w:tcW w:type="dxa" w:w="4800"/>
            <w:tcBorders>
              <w:top w:val="single" w:color="D1D5DB" w:sz="2"/>
              <w:left w:val="single" w:color="D1D5DB" w:sz="2"/>
              <w:bottom w:val="single" w:color="D1D5DB" w:sz="2"/>
              <w:right w:val="single" w:color="D1D5DB" w:sz="2"/>
            </w:tcBorders>
            <w:shd w:fill="F3F4F6" w:color="auto" w:val="clear"/>
            <w:tcMar>
              <w:top w:type="dxa" w:w="140"/>
              <w:left w:type="dxa" w:w="140"/>
              <w:bottom w:type="dxa" w:w="140"/>
              <w:right w:type="dxa" w:w="140"/>
            </w:tcMar>
          </w:tcPr>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A formatted HTML reply sent straight back to the employee</w:t>
            </w:r>
          </w:p>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Grounded in the two pages, with the source link included</w:t>
            </w:r>
          </w:p>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A warm, concise answer — with "a member of the HR team will follow up" when a person is needed</w:t>
            </w:r>
          </w:p>
          <w:p>
            <w:pPr>
              <w:pStyle w:val="ListParagraph"/>
              <w:numPr>
                <w:ilvl w:val="0"/>
                <w:numId w:val="1"/>
              </w:numPr>
              <w:spacing w:after="0" w:before="0"/>
            </w:pPr>
            <w:r>
              <w:rPr>
                <w:b w:val="false"/>
                <w:bCs w:val="false"/>
                <w:i w:val="false"/>
                <w:iCs w:val="false"/>
                <w:color w:val="3C3C3C"/>
                <w:sz w:val="19"/>
                <w:szCs w:val="19"/>
                <w:rFonts w:ascii="Calibri" w:cs="Calibri" w:eastAsia="Calibri" w:hAnsi="Calibri"/>
              </w:rPr>
              <w:t xml:space="preserve">Works around the clock, so questions never pile up</w:t>
            </w:r>
          </w:p>
        </w:tc>
      </w:tr>
    </w:tbl>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single" w:color="5B21B6" w:sz="12"/>
              <w:left w:val="none" w:color="FFFFFF" w:sz="0"/>
              <w:bottom w:val="none" w:color="FFFFFF" w:sz="0"/>
              <w:right w:val="none" w:color="FFFFFF" w:sz="0"/>
            </w:tcBorders>
            <w:shd w:fill="F5F3FF" w:color="auto" w:val="clear"/>
            <w:tcMar>
              <w:top w:type="dxa" w:w="160"/>
              <w:left w:type="dxa" w:w="240"/>
              <w:bottom w:type="dxa" w:w="160"/>
              <w:right w:type="dxa" w:w="240"/>
            </w:tcMar>
          </w:tcPr>
          <w:p>
            <w:pPr>
              <w:spacing w:after="80" w:before="0"/>
            </w:pPr>
            <w:r>
              <w:rPr>
                <w:b/>
                <w:bCs/>
                <w:i w:val="false"/>
                <w:iCs w:val="false"/>
                <w:color w:val="5B21B6"/>
                <w:sz w:val="17"/>
                <w:szCs w:val="17"/>
                <w:rFonts w:ascii="Calibri" w:cs="Calibri" w:eastAsia="Calibri" w:hAnsi="Calibri"/>
                <w:spacing w:val="60"/>
              </w:rPr>
              <w:t xml:space="preserve">STAGE 3</w:t>
            </w:r>
          </w:p>
          <w:p>
            <w:pPr>
              <w:spacing w:after="60" w:before="0"/>
            </w:pPr>
            <w:r>
              <w:rPr>
                <w:b/>
                <w:bCs/>
                <w:i w:val="false"/>
                <w:iCs w:val="false"/>
                <w:color w:val="1B3A6B"/>
                <w:sz w:val="23"/>
                <w:szCs w:val="23"/>
                <w:rFonts w:ascii="Calibri" w:cs="Calibri" w:eastAsia="Calibri" w:hAnsi="Calibri"/>
              </w:rPr>
              <w:t xml:space="preserve">Advanced — Turn Answers into Documents</w:t>
            </w:r>
          </w:p>
          <w:p>
            <w:pPr>
              <w:spacing w:after="0" w:before="0"/>
            </w:pPr>
            <w:r>
              <w:rPr>
                <w:b w:val="false"/>
                <w:bCs w:val="false"/>
                <w:i w:val="false"/>
                <w:iCs w:val="false"/>
                <w:color w:val="3C3C3C"/>
                <w:sz w:val="19"/>
                <w:szCs w:val="19"/>
                <w:rFonts w:ascii="Calibri" w:cs="Calibri" w:eastAsia="Calibri" w:hAnsi="Calibri"/>
              </w:rPr>
              <w:t xml:space="preserve">On request, the agent turns the conversation into a reusable artifact — a one-page brief or a CSV — and can answer bilingually (HU / EN).</w:t>
            </w:r>
          </w:p>
        </w:tc>
      </w:tr>
    </w:tbl>
    <w:p>
      <w:pPr>
        <w:spacing w:after="80" w:before="0"/>
      </w:pPr>
    </w:p>
    <w:tbl>
      <w:tblPr>
        <w:tblW w:type="dxa" w:w="9360"/>
        <w:tblBorders>
          <w:top w:val="single" w:color="D1D5DB" w:sz="2"/>
          <w:left w:val="single" w:color="D1D5DB" w:sz="2"/>
          <w:bottom w:val="single" w:color="D1D5DB" w:sz="2"/>
          <w:right w:val="single" w:color="D1D5DB" w:sz="2"/>
          <w:insideH w:val="single" w:color="auto" w:sz="4"/>
          <w:insideV w:val="single" w:color="auto" w:sz="4"/>
        </w:tblBorders>
      </w:tblPr>
      <w:tblGrid>
        <w:gridCol w:w="100"/>
        <w:gridCol w:w="100"/>
      </w:tblGrid>
      <w:tr>
        <w:trPr>
          <w:tblHeader/>
        </w:trPr>
        <w:tc>
          <w:tcPr>
            <w:tcW w:type="dxa" w:w="4560"/>
            <w:tcBorders>
              <w:top w:val="single" w:color="D1D5DB" w:sz="2"/>
              <w:left w:val="single" w:color="D1D5DB" w:sz="2"/>
              <w:bottom w:val="single" w:color="D1D5DB" w:sz="2"/>
              <w:right w:val="single" w:color="D1D5DB" w:sz="2"/>
            </w:tcBorders>
            <w:shd w:fill="1B3A6B" w:color="auto" w:val="clear"/>
            <w:tcMar>
              <w:top w:type="dxa" w:w="80"/>
              <w:left w:type="dxa" w:w="140"/>
              <w:bottom w:type="dxa" w:w="80"/>
              <w:right w:type="dxa" w:w="140"/>
            </w:tcMar>
          </w:tcPr>
          <w:p>
            <w:pPr>
              <w:spacing w:after="0" w:before="0"/>
            </w:pPr>
            <w:r>
              <w:rPr>
                <w:b/>
                <w:bCs/>
                <w:i w:val="false"/>
                <w:iCs w:val="false"/>
                <w:color w:val="FFFFFF"/>
                <w:sz w:val="18"/>
                <w:szCs w:val="18"/>
                <w:rFonts w:ascii="Calibri" w:cs="Calibri" w:eastAsia="Calibri" w:hAnsi="Calibri"/>
              </w:rPr>
              <w:t xml:space="preserve">INPUT — what you provide</w:t>
            </w:r>
          </w:p>
        </w:tc>
        <w:tc>
          <w:tcPr>
            <w:tcW w:type="dxa" w:w="4800"/>
            <w:tcBorders>
              <w:top w:val="single" w:color="D1D5DB" w:sz="2"/>
              <w:left w:val="single" w:color="D1D5DB" w:sz="2"/>
              <w:bottom w:val="single" w:color="D1D5DB" w:sz="2"/>
              <w:right w:val="single" w:color="D1D5DB" w:sz="2"/>
            </w:tcBorders>
            <w:shd w:fill="1B3A6B" w:color="auto" w:val="clear"/>
            <w:tcMar>
              <w:top w:type="dxa" w:w="80"/>
              <w:left w:type="dxa" w:w="140"/>
              <w:bottom w:type="dxa" w:w="80"/>
              <w:right w:type="dxa" w:w="140"/>
            </w:tcMar>
          </w:tcPr>
          <w:p>
            <w:pPr>
              <w:spacing w:after="0" w:before="0"/>
            </w:pPr>
            <w:r>
              <w:rPr>
                <w:b/>
                <w:bCs/>
                <w:i w:val="false"/>
                <w:iCs w:val="false"/>
                <w:color w:val="FFFFFF"/>
                <w:sz w:val="18"/>
                <w:szCs w:val="18"/>
                <w:rFonts w:ascii="Calibri" w:cs="Calibri" w:eastAsia="Calibri" w:hAnsi="Calibri"/>
              </w:rPr>
              <w:t xml:space="preserve">OUTPUT — what the agent returns</w:t>
            </w:r>
          </w:p>
        </w:tc>
      </w:tr>
      <w:tr>
        <w:tc>
          <w:tcPr>
            <w:tcW w:type="dxa" w:w="4560"/>
            <w:tcBorders>
              <w:top w:val="single" w:color="D1D5DB" w:sz="2"/>
              <w:left w:val="single" w:color="D1D5DB" w:sz="2"/>
              <w:bottom w:val="single" w:color="D1D5DB" w:sz="2"/>
              <w:right w:val="single" w:color="D1D5DB" w:sz="2"/>
            </w:tcBorders>
            <w:shd w:fill="F5F3FF" w:color="auto" w:val="clear"/>
            <w:tcMar>
              <w:top w:type="dxa" w:w="140"/>
              <w:left w:type="dxa" w:w="140"/>
              <w:bottom w:type="dxa" w:w="140"/>
              <w:right w:type="dxa" w:w="140"/>
            </w:tcMar>
          </w:tcPr>
          <w:p>
            <w:pPr>
              <w:spacing w:after="0" w:before="0"/>
            </w:pPr>
            <w:r>
              <w:rPr>
                <w:b w:val="false"/>
                <w:bCs w:val="false"/>
                <w:i w:val="false"/>
                <w:iCs w:val="false"/>
                <w:color w:val="3C3C3C"/>
                <w:sz w:val="19"/>
                <w:szCs w:val="19"/>
                <w:rFonts w:ascii="Calibri" w:cs="Calibri" w:eastAsia="Calibri" w:hAnsi="Calibri"/>
              </w:rPr>
              <w:t xml:space="preserve">A request such as "make a one-pager on our leave policy" or "make a CSV comparing our benefits to the legal minimum in Hungary."</w:t>
            </w:r>
          </w:p>
        </w:tc>
        <w:tc>
          <w:tcPr>
            <w:tcW w:type="dxa" w:w="4800"/>
            <w:tcBorders>
              <w:top w:val="single" w:color="D1D5DB" w:sz="2"/>
              <w:left w:val="single" w:color="D1D5DB" w:sz="2"/>
              <w:bottom w:val="single" w:color="D1D5DB" w:sz="2"/>
              <w:right w:val="single" w:color="D1D5DB" w:sz="2"/>
            </w:tcBorders>
            <w:shd w:fill="F3F4F6" w:color="auto" w:val="clear"/>
            <w:tcMar>
              <w:top w:type="dxa" w:w="140"/>
              <w:left w:type="dxa" w:w="140"/>
              <w:bottom w:type="dxa" w:w="140"/>
              <w:right w:type="dxa" w:w="140"/>
            </w:tcMar>
          </w:tcPr>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A Word document or CSV created in OneDrive, with a link returned</w:t>
            </w:r>
          </w:p>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A shareable one-pager, or a CSV ready to analyse</w:t>
            </w:r>
          </w:p>
          <w:p>
            <w:pPr>
              <w:pStyle w:val="ListParagraph"/>
              <w:numPr>
                <w:ilvl w:val="0"/>
                <w:numId w:val="1"/>
              </w:numPr>
              <w:spacing w:after="40" w:before="0"/>
            </w:pPr>
            <w:r>
              <w:rPr>
                <w:b w:val="false"/>
                <w:bCs w:val="false"/>
                <w:i w:val="false"/>
                <w:iCs w:val="false"/>
                <w:color w:val="3C3C3C"/>
                <w:sz w:val="19"/>
                <w:szCs w:val="19"/>
                <w:rFonts w:ascii="Calibri" w:cs="Calibri" w:eastAsia="Calibri" w:hAnsi="Calibri"/>
              </w:rPr>
              <w:t xml:space="preserve">Bilingual output (Hungarian or English) when asked</w:t>
            </w:r>
          </w:p>
          <w:p>
            <w:pPr>
              <w:pStyle w:val="ListParagraph"/>
              <w:numPr>
                <w:ilvl w:val="0"/>
                <w:numId w:val="1"/>
              </w:numPr>
              <w:spacing w:after="0" w:before="0"/>
            </w:pPr>
            <w:r>
              <w:rPr>
                <w:b w:val="false"/>
                <w:bCs w:val="false"/>
                <w:i w:val="false"/>
                <w:iCs w:val="false"/>
                <w:color w:val="3C3C3C"/>
                <w:sz w:val="19"/>
                <w:szCs w:val="19"/>
                <w:rFonts w:ascii="Calibri" w:cs="Calibri" w:eastAsia="Calibri" w:hAnsi="Calibri"/>
              </w:rPr>
              <w:t xml:space="preserve">An artifact the team can reuse — not just a chat message</w:t>
            </w:r>
          </w:p>
        </w:tc>
      </w:tr>
    </w:tbl>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single" w:color="DBEAFE" w:sz="2"/>
              <w:left w:val="single" w:color="2563EB" w:sz="16"/>
              <w:bottom w:val="single" w:color="DBEAFE" w:sz="2"/>
              <w:right w:val="none" w:color="FFFFFF" w:sz="0"/>
            </w:tcBorders>
            <w:shd w:fill="EFF6FF" w:color="auto" w:val="clear"/>
            <w:tcMar>
              <w:top w:type="dxa" w:w="160"/>
              <w:left w:type="dxa" w:w="240"/>
              <w:bottom w:type="dxa" w:w="160"/>
              <w:right w:type="dxa" w:w="240"/>
            </w:tcMar>
          </w:tcPr>
          <w:p>
            <w:pPr>
              <w:spacing w:after="80" w:before="0"/>
            </w:pPr>
            <w:r>
              <w:rPr>
                <w:b/>
                <w:bCs/>
                <w:i w:val="false"/>
                <w:iCs w:val="false"/>
                <w:color w:val="1B3A6B"/>
                <w:sz w:val="20"/>
                <w:szCs w:val="20"/>
                <w:rFonts w:ascii="Calibri" w:cs="Calibri" w:eastAsia="Calibri" w:hAnsi="Calibri"/>
              </w:rPr>
              <w:t xml:space="preserve">Remember</w:t>
            </w:r>
          </w:p>
          <w:p>
            <w:pPr>
              <w:pStyle w:val="ListParagraph"/>
              <w:numPr>
                <w:ilvl w:val="0"/>
                <w:numId w:val="1"/>
              </w:numPr>
              <w:spacing w:after="60" w:before="0"/>
            </w:pPr>
            <w:r>
              <w:rPr>
                <w:b w:val="false"/>
                <w:bCs w:val="false"/>
                <w:i w:val="false"/>
                <w:iCs w:val="false"/>
                <w:color w:val="3C3C3C"/>
                <w:sz w:val="19"/>
                <w:szCs w:val="19"/>
                <w:rFonts w:ascii="Calibri" w:cs="Calibri" w:eastAsia="Calibri" w:hAnsi="Calibri"/>
              </w:rPr>
              <w:t xml:space="preserve">You are not just following steps — you are building something employees will actually use. What you put in (the right pages, clear instructions) is what you get out.</w:t>
            </w:r>
          </w:p>
          <w:p>
            <w:pPr>
              <w:pStyle w:val="ListParagraph"/>
              <w:numPr>
                <w:ilvl w:val="0"/>
                <w:numId w:val="1"/>
              </w:numPr>
              <w:spacing w:after="60" w:before="0"/>
            </w:pPr>
            <w:r>
              <w:rPr>
                <w:b w:val="false"/>
                <w:bCs w:val="false"/>
                <w:i w:val="false"/>
                <w:iCs w:val="false"/>
                <w:color w:val="3C3C3C"/>
                <w:sz w:val="19"/>
                <w:szCs w:val="19"/>
                <w:rFonts w:ascii="Calibri" w:cs="Calibri" w:eastAsia="Calibri" w:hAnsi="Calibri"/>
              </w:rPr>
              <w:t xml:space="preserve">Keep it grounded: two public pages only, Web Search off, always a source link and a "confirm with HR" line.</w:t>
            </w:r>
          </w:p>
          <w:p>
            <w:pPr>
              <w:pStyle w:val="ListParagraph"/>
              <w:numPr>
                <w:ilvl w:val="0"/>
                <w:numId w:val="1"/>
              </w:numPr>
              <w:spacing w:after="0" w:before="0"/>
            </w:pPr>
            <w:r>
              <w:rPr>
                <w:b w:val="false"/>
                <w:bCs w:val="false"/>
                <w:i w:val="false"/>
                <w:iCs w:val="false"/>
                <w:color w:val="3C3C3C"/>
                <w:sz w:val="19"/>
                <w:szCs w:val="19"/>
                <w:rFonts w:ascii="Calibri" w:cs="Calibri" w:eastAsia="Calibri" w:hAnsi="Calibri"/>
              </w:rPr>
              <w:t xml:space="preserve">Go bilingual (HU / EN) and publish to Teams so every colleague can reach it — that is when it becomes real self-service.</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C3C3C"/>
        <w:sz w:val="19"/>
        <w:szCs w:val="19"/>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Benefits Q&amp;A Agent — Participant Scenario</dc:title>
  <dc:creator>Acceler</dc:creator>
  <cp:lastModifiedBy>Un-named</cp:lastModifiedBy>
  <cp:revision>1</cp:revision>
  <dcterms:created xsi:type="dcterms:W3CDTF">2026-05-29T19:02:11.815Z</dcterms:created>
  <dcterms:modified xsi:type="dcterms:W3CDTF">2026-05-29T19:02:11.821Z</dcterms:modified>
</cp:coreProperties>
</file>

<file path=docProps/custom.xml><?xml version="1.0" encoding="utf-8"?>
<Properties xmlns="http://schemas.openxmlformats.org/officeDocument/2006/custom-properties" xmlns:vt="http://schemas.openxmlformats.org/officeDocument/2006/docPropsVTypes"/>
</file>