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pacing w:val="20"/>
          <w:sz w:val="24"/>
          <w:szCs w:val="24"/>
        </w:rPr>
        <w:t xml:space="preserve">XYZ × .MONKS</w:t>
      </w:r>
    </w:p>
    <w:p>
      <w:pPr>
        <w:spacing w:before="200"/>
        <w:jc w:val="center"/>
      </w:pPr>
      <w:r>
        <w:rPr>
          <w:b/>
          <w:bCs/>
          <w:color w:val="1F3864"/>
          <w:sz w:val="44"/>
          <w:szCs w:val="44"/>
        </w:rPr>
        <w:t xml:space="preserve">Deliverable A — Theoretical Architecture Design</w:t>
      </w:r>
    </w:p>
    <w:p>
      <w:pPr>
        <w:spacing w:after="600" w:before="120"/>
        <w:jc w:val="center"/>
      </w:pPr>
      <w:r>
        <w:rPr>
          <w:i/>
          <w:iCs/>
          <w:color w:val="595959"/>
          <w:sz w:val="24"/>
          <w:szCs w:val="24"/>
        </w:rPr>
        <w:t xml:space="preserve">A Google Cloud Platform blueprint for multichannel marketing analytics</w:t>
      </w:r>
    </w:p>
    <w:p>
      <w:pPr>
        <w:jc w:val="center"/>
      </w:pPr>
      <w:r>
        <w:rPr>
          <w:color w:val="595959"/>
          <w:sz w:val="21"/>
          <w:szCs w:val="21"/>
        </w:rPr>
        <w:t xml:space="preserve">Senior Data Engineer Technical Challenge</w:t>
      </w:r>
    </w:p>
    <w:p>
      <w:pPr>
        <w:spacing w:after="1200"/>
        <w:jc w:val="center"/>
      </w:pPr>
      <w:r>
        <w:rPr>
          <w:color w:val="595959"/>
          <w:sz w:val="21"/>
          <w:szCs w:val="21"/>
        </w:rPr>
        <w:t xml:space="preserve">September 2026</w:t>
      </w:r>
    </w:p>
    <w:p>
      <w:pPr>
        <w:spacing w:before="3000"/>
        <w:jc w:val="center"/>
      </w:pPr>
      <w:r>
        <w:rPr>
          <w:b/>
          <w:bCs/>
          <w:color w:val="1F3864"/>
          <w:sz w:val="20"/>
          <w:szCs w:val="20"/>
        </w:rPr>
        <w:t xml:space="preserve">Candidate: Matias Volij</w:t>
      </w:r>
    </w:p>
    <w:p>
      <w:pPr>
        <w:spacing w:before="80"/>
        <w:jc w:val="center"/>
      </w:pPr>
      <w:r>
        <w:rPr>
          <w:color w:val="595959"/>
          <w:sz w:val="19"/>
          <w:szCs w:val="19"/>
        </w:rPr>
        <w:t xml:space="preserve">Prepared for: XYZ Director of Marketing &amp; Analytics  |  .Monks Technical Lead</w:t>
      </w:r>
    </w:p>
    <w:p>
      <w:pPr>
        <w:spacing w:before="100"/>
        <w:jc w:val="center"/>
      </w:pPr>
      <w:r>
        <w:rPr>
          <w:i/>
          <w:iCs/>
          <w:color w:val="595959"/>
          <w:sz w:val="18"/>
          <w:szCs w:val="18"/>
        </w:rPr>
        <w:t xml:space="preserve">Scope note: BigQuery is the system of record for this design; Postgres/dbt implementation is covered separately in Deliverable B.</w:t>
      </w:r>
    </w:p>
    <w:p>
      <w:pPr>
        <w:sectPr>
          <w:pgSz w:w="12240" w:h="15840" w:orient="portrait"/>
          <w:pgMar w:top="1080" w:right="1080" w:bottom="1080" w:left="1080" w:header="708" w:footer="708" w:gutter="0"/>
          <w:pgNumType/>
          <w:docGrid w:linePitch="360"/>
        </w:sectPr>
      </w:pP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3864"/>
          <w:sz w:val="30"/>
          <w:szCs w:val="30"/>
        </w:rPr>
        <w:t xml:space="preserve">1. Executive Summary</w:t>
      </w:r>
    </w:p>
    <w:p>
      <w:pPr>
        <w:spacing w:after="160" w:line="276"/>
      </w:pPr>
      <w:r>
        <w:rPr>
          <w:sz w:val="21"/>
          <w:szCs w:val="21"/>
        </w:rPr>
        <w:t xml:space="preserve">XYZ operates a hybrid data ecosystem: Google Analytics 4 (GA4) streams website behavioral events continuously through the native BigQuery export, while Google Ads and Meta Ads deliver campaign performance in discrete batches every six hours. The Director of Marketing &amp; Analytics needs a single, trustworthy source of truth that reconciles these two speeds of data to answer four recurring questions: which platform is most efficient, which campaigns actually drive revenue, which acquisition channels perform best once on-site behavior is factored in, and what data model makes all of this scalable and maintainable.</w:t>
      </w:r>
    </w:p>
    <w:p>
      <w:pPr>
        <w:spacing w:after="160" w:line="276"/>
      </w:pPr>
      <w:r>
        <w:rPr>
          <w:sz w:val="21"/>
          <w:szCs w:val="21"/>
        </w:rPr>
        <w:t xml:space="preserve">This document proposes a Google Cloud Platform (GCP) architecture built around three ideas:</w:t>
      </w:r>
    </w:p>
    <w:p>
      <w:pPr>
        <w:pStyle w:val="ListParagraph"/>
        <w:numPr>
          <w:ilvl w:val="0"/>
          <w:numId w:val="2"/>
        </w:numPr>
        <w:spacing w:after="80" w:line="270"/>
      </w:pPr>
      <w:r>
        <w:rPr>
          <w:sz w:val="21"/>
          <w:szCs w:val="21"/>
        </w:rPr>
        <w:t xml:space="preserve">Land data close to its native shape (GCS for Ads files, BigQuery streaming buffer for GA4), then normalize it into a shared 6-hour campaign-window grain before joining.</w:t>
      </w:r>
    </w:p>
    <w:p>
      <w:pPr>
        <w:pStyle w:val="ListParagraph"/>
        <w:numPr>
          <w:ilvl w:val="0"/>
          <w:numId w:val="2"/>
        </w:numPr>
        <w:spacing w:after="80" w:line="270"/>
      </w:pPr>
      <w:r>
        <w:rPr>
          <w:sz w:val="21"/>
          <w:szCs w:val="21"/>
        </w:rPr>
        <w:t xml:space="preserve">Treat every transformation as idempotent and incremental, so late-arriving events and re-delivered batches never produce duplicates or double-counted spend.</w:t>
      </w:r>
    </w:p>
    <w:p>
      <w:pPr>
        <w:pStyle w:val="ListParagraph"/>
        <w:numPr>
          <w:ilvl w:val="0"/>
          <w:numId w:val="2"/>
        </w:numPr>
        <w:spacing w:after="80" w:line="270"/>
      </w:pPr>
      <w:r>
        <w:rPr>
          <w:sz w:val="21"/>
          <w:szCs w:val="21"/>
        </w:rPr>
        <w:t xml:space="preserve">Separate raw, normalized (DEV) and business-ready (PROD) layers so that error handling, testing and consumption each operate at the right level of trust.</w:t>
      </w:r>
    </w:p>
    <w:p>
      <w:pPr>
        <w:spacing w:after="160" w:line="276"/>
      </w:pPr>
      <w:r>
        <w:rPr>
          <w:sz w:val="21"/>
          <w:szCs w:val="21"/>
        </w:rPr>
        <w:t xml:space="preserve">The result is a single unified table, fct_campaigns, plus supporting marts, that Looker Studio consumes directly to answer the Director's four questions with metrics that are consistent, auditable and reproducible.</w:t>
      </w:r>
    </w:p>
    <w:p>
      <w:pPr>
        <w:pStyle w:val="Heading1"/>
        <w:spacing w:after="200" w:before="400"/>
      </w:pPr>
      <w:r>
        <w:rPr>
          <w:b/>
          <w:bCs/>
          <w:color w:val="1F3864"/>
          <w:sz w:val="30"/>
          <w:szCs w:val="30"/>
        </w:rPr>
        <w:t xml:space="preserve">2. Architecture Overview</w:t>
      </w:r>
    </w:p>
    <w:p>
      <w:pPr>
        <w:spacing w:after="160" w:line="276"/>
      </w:pPr>
      <w:r>
        <w:rPr>
          <w:sz w:val="21"/>
          <w:szCs w:val="21"/>
        </w:rPr>
        <w:t xml:space="preserve">The diagram below summarizes the end-to-end flow: three data sources feed an ingestion layer, a serverless processing tier normalizes and loads data into BigQuery across three trust layers (RAW → DEV → PROD), and Looker Studio consumes the final layer. Cloud Monitoring watches every hop except the last one — see the callout below the diagram. The small control_prod_windows table inside the PROD panel is the watermark gate referenced throughout Section 4 and 5; it is what lets the PROD scheduled query run every 5 minutes without recomputing windows that haven't actually changed.</w:t>
      </w:r>
    </w:p>
    <w:p>
      <w:pPr>
        <w:spacing w:after="12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i/>
          <w:iCs/>
          <w:color w:val="595959"/>
          <w:sz w:val="18"/>
          <w:szCs w:val="18"/>
        </w:rPr>
        <w:t xml:space="preserve">Figure 1 — Proposed GCP architecture (GA4 real-time, Ads batch every 6h).</w:t>
      </w:r>
    </w:p>
    <w:p>
      <w:pPr>
        <w:pStyle w:val="Heading3"/>
        <w:spacing w:after="100" w:before="200"/>
      </w:pPr>
      <w:r>
        <w:rPr>
          <w:b/>
          <w:bCs/>
          <w:color w:val="595959"/>
          <w:sz w:val="22"/>
          <w:szCs w:val="22"/>
        </w:rPr>
        <w:t xml:space="preserve">Why Looker Studio has no alert of its own</w:t>
      </w:r>
    </w:p>
    <w:p>
      <w:pPr>
        <w:spacing w:after="160" w:line="276"/>
      </w:pPr>
      <w:r>
        <w:rPr>
          <w:sz w:val="21"/>
          <w:szCs w:val="21"/>
        </w:rPr>
        <w:t xml:space="preserve">Only four checkpoints are alerted end-to-end; Looker Studio deliberately has none. It has no native health API for Cloud Monitoring to poll, so an alert wired to it would really just be re-alerting on a BigQuery symptom one hop later and with more noise. Freshness and quality are instead guaranteed upstream (the "BigQuery data freshness" and "BigQuery data quality" checks on the DEV and PROD layers), and PROD exposes a small metadata field (last_successful_run_at, is_partial) that Looker Studio renders directly on the dashboard as an "as of" indicator. This gives the Director visibility into staleness without a phantom alert on a BI tool that cannot actually fail in a way BigQuery hasn't already failed first.</w:t>
      </w:r>
    </w:p>
    <w:p>
      <w:pPr>
        <w:pStyle w:val="Heading2"/>
        <w:spacing w:after="140" w:before="280"/>
      </w:pPr>
      <w:r>
        <w:rPr>
          <w:b/>
          <w:bCs/>
          <w:color w:val="2E5C8A"/>
          <w:sz w:val="25"/>
          <w:szCs w:val="25"/>
        </w:rPr>
        <w:t xml:space="preserve">2.1 Component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GCP Service</w:t>
            </w:r>
          </w:p>
        </w:tc>
        <w:tc>
          <w:tcPr>
            <w:tcW w:type="dxa" w:w="4200"/>
            <w:shd w:fill="1F3864" w:color="auto" w:val="clear"/>
            <w:tcMar>
              <w:top w:type="dxa" w:w="80"/>
              <w:left w:type="dxa" w:w="100"/>
              <w:bottom w:type="dxa" w:w="80"/>
              <w:right w:type="dxa" w:w="100"/>
            </w:tcMar>
            <w:vAlign w:val="center"/>
          </w:tcPr>
          <w:p>
            <w:pPr>
              <w:jc w:val="left"/>
            </w:pPr>
            <w:r>
              <w:rPr>
                <w:b/>
                <w:bCs/>
                <w:color w:val="FFFFFF"/>
                <w:sz w:val="19"/>
                <w:szCs w:val="19"/>
              </w:rPr>
              <w:t xml:space="preserve">Role</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Ingestion (batch)</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Cloud Storage</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Landing zone for Meta Ads / Google Ads 6h export files (CSV/JSON), one bucket per source, partitioned by date/window.</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Ingestion (streaming)</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GA4 → BigQuery Export</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Native, continuous export of GA4 events straight into BigQuery intraday tables.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Eventing</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Pub/Sub + Eventarc</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Fires on every new object landing in Cloud Storage and hands the event to the processing tier.</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Processing</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Cloud Run</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Stateless service that validates, parses, tags and loads Ads batches into BigQuery RAW; also runs light GA4 housekeeping (intraday → daily merge).</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Warehouse</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BigQuery (RAW / DEV / PROD)</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Three-tier dataset: raw copies, DEV as materialized views for low-cost auto-sync, and a PROD table refreshed by a control-table-driven scheduled query.</w:t>
            </w:r>
          </w:p>
        </w:tc>
      </w:tr>
      <w:tr>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Observability</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Cloud Monitoring</w:t>
            </w:r>
          </w:p>
        </w:tc>
        <w:tc>
          <w:tcPr>
            <w:tcW w:type="dxa" w:w="4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Metrics, logs and alerts at each of the four upstream checkpoints.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Consumption</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Looker Studio</w:t>
            </w:r>
          </w:p>
        </w:tc>
        <w:tc>
          <w:tcPr>
            <w:tcW w:type="dxa" w:w="4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Dashboards querying PROD directly via the native BigQuery connector.</w:t>
            </w:r>
          </w:p>
        </w:tc>
      </w:tr>
    </w:tbl>
    <w:p>
      <w:r>
        <w:br w:type="page"/>
      </w:r>
    </w:p>
    <w:p>
      <w:pPr>
        <w:pStyle w:val="Heading1"/>
        <w:spacing w:after="200" w:before="400"/>
      </w:pPr>
      <w:r>
        <w:rPr>
          <w:b/>
          <w:bCs/>
          <w:color w:val="1F3864"/>
          <w:sz w:val="30"/>
          <w:szCs w:val="30"/>
        </w:rPr>
        <w:t xml:space="preserve">3. Ingestion Layer: Two Speeds, One Pipeline</w:t>
      </w:r>
    </w:p>
    <w:p>
      <w:pPr>
        <w:pStyle w:val="Heading2"/>
        <w:spacing w:after="140" w:before="280"/>
      </w:pPr>
      <w:r>
        <w:rPr>
          <w:b/>
          <w:bCs/>
          <w:color w:val="2E5C8A"/>
          <w:sz w:val="25"/>
          <w:szCs w:val="25"/>
        </w:rPr>
        <w:t xml:space="preserve">3.1 GA4 — continuous streaming</w:t>
      </w:r>
    </w:p>
    <w:p>
      <w:pPr>
        <w:spacing w:after="160" w:line="276"/>
      </w:pPr>
      <w:r>
        <w:rPr>
          <w:sz w:val="21"/>
          <w:szCs w:val="21"/>
        </w:rPr>
        <w:t xml:space="preserve">GA4's native BigQuery Export writes events to BigQuery within the same processing window Google uses internally: an intraday table (events_intraday_YYYYMMDD) receives events continuously throughout the day (typically within minutes), and Google finalizes it into the immutable daily table (events_YYYYMMDD) after the day closes, usually inside 24-72h to account for its own late-arriving events (offline devices, delayed SDK dispatch).</w:t>
      </w:r>
    </w:p>
    <w:p>
      <w:pPr>
        <w:spacing w:after="160" w:line="276"/>
      </w:pPr>
      <w:r>
        <w:rPr>
          <w:sz w:val="21"/>
          <w:szCs w:val="21"/>
        </w:rPr>
        <w:t xml:space="preserve">Design decisions:</w:t>
      </w:r>
    </w:p>
    <w:p>
      <w:pPr>
        <w:pStyle w:val="ListParagraph"/>
        <w:numPr>
          <w:ilvl w:val="0"/>
          <w:numId w:val="2"/>
        </w:numPr>
        <w:spacing w:after="80" w:line="270"/>
      </w:pPr>
      <w:r>
        <w:rPr>
          <w:sz w:val="21"/>
          <w:szCs w:val="21"/>
        </w:rPr>
        <w:t xml:space="preserve">RAW layer reads directly off the intraday + daily tables — no custom streaming code to write or operate; this is the officially supported integration path.</w:t>
      </w:r>
    </w:p>
    <w:p>
      <w:pPr>
        <w:pStyle w:val="ListParagraph"/>
        <w:numPr>
          <w:ilvl w:val="0"/>
          <w:numId w:val="2"/>
        </w:numPr>
        <w:spacing w:after="80" w:line="270"/>
      </w:pPr>
      <w:r>
        <w:rPr>
          <w:sz w:val="21"/>
          <w:szCs w:val="21"/>
        </w:rPr>
        <w:t xml:space="preserve">A scheduled BigQuery query (every 5-10 min, via Cloud Scheduler + a query job, or a Cloud Composer sensor) flattens event_params (a repeated RECORD) into typed columns in raw_ga4, and stamps each row with an ingestion_timestamp used later for watermarking.</w:t>
      </w:r>
    </w:p>
    <w:p>
      <w:pPr>
        <w:pStyle w:val="ListParagraph"/>
        <w:numPr>
          <w:ilvl w:val="0"/>
          <w:numId w:val="2"/>
        </w:numPr>
        <w:spacing w:after="80" w:line="270"/>
      </w:pPr>
      <w:r>
        <w:rPr>
          <w:sz w:val="21"/>
          <w:szCs w:val="21"/>
        </w:rPr>
        <w:t xml:space="preserve">Because the intraday table is a mutable, replace-on-write table until Google finalizes it, every read of "today's" data must be treated as provisional and reprocessed once finalized — this is the streaming side of the watermark problem described in Section 5.</w:t>
      </w:r>
    </w:p>
    <w:p>
      <w:pPr>
        <w:pStyle w:val="Heading2"/>
        <w:spacing w:after="140" w:before="280"/>
      </w:pPr>
      <w:r>
        <w:rPr>
          <w:b/>
          <w:bCs/>
          <w:color w:val="2E5C8A"/>
          <w:sz w:val="25"/>
          <w:szCs w:val="25"/>
        </w:rPr>
        <w:t xml:space="preserve">3.2 Google Ads &amp; Meta Ads — batch every 6 hours</w:t>
      </w:r>
    </w:p>
    <w:p>
      <w:pPr>
        <w:spacing w:after="160" w:line="276"/>
      </w:pPr>
      <w:r>
        <w:rPr>
          <w:sz w:val="21"/>
          <w:szCs w:val="21"/>
        </w:rPr>
        <w:t xml:space="preserve">Both platforms deliver one file per campaign per 6-hour media window (00-06, 06-12, 12-18, 18-24), so each campaign accumulates 4 records per day; the daily total is the sum of those 4 rows, never a separate figure to reconcile against.</w:t>
      </w:r>
    </w:p>
    <w:p>
      <w:pPr>
        <w:pStyle w:val="ListParagraph"/>
        <w:numPr>
          <w:ilvl w:val="0"/>
          <w:numId w:val="2"/>
        </w:numPr>
        <w:spacing w:after="80" w:line="270"/>
      </w:pPr>
      <w:r>
        <w:rPr>
          <w:sz w:val="21"/>
          <w:szCs w:val="21"/>
        </w:rPr>
        <w:t xml:space="preserve">Files land in source-specific Cloud Storage buckets (meta-ads-bucket, google-ads-bucket), named with a deterministic convention: {source}/{yyyy-mm-dd}/{window_start}-{window_end}/{export_id}.csv — this makes the batch window explicit in the object path rather than inferred from a load timestamp.</w:t>
      </w:r>
    </w:p>
    <w:p>
      <w:pPr>
        <w:pStyle w:val="ListParagraph"/>
        <w:numPr>
          <w:ilvl w:val="0"/>
          <w:numId w:val="2"/>
        </w:numPr>
        <w:spacing w:after="80" w:line="270"/>
      </w:pPr>
      <w:r>
        <w:rPr>
          <w:sz w:val="21"/>
          <w:szCs w:val="21"/>
        </w:rPr>
        <w:t xml:space="preserve">A Cloud Storage "object finalize" event triggers Eventarc, which publishes to a Pub/Sub topic and invokes a Cloud Run service.</w:t>
      </w:r>
    </w:p>
    <w:p>
      <w:pPr>
        <w:pStyle w:val="ListParagraph"/>
        <w:numPr>
          <w:ilvl w:val="0"/>
          <w:numId w:val="2"/>
        </w:numPr>
        <w:spacing w:after="80" w:line="270"/>
      </w:pPr>
      <w:r>
        <w:rPr>
          <w:sz w:val="21"/>
          <w:szCs w:val="21"/>
        </w:rPr>
        <w:t xml:space="preserve">Cloud Run validates the file against an expected schema (column set, types, non-null keys), tags every row with batch_window_start, batch_window_end, source_file and ingestion_timestamp, and performs a BigQuery load job (not a streaming insert, since these are file-based batches — load jobs are free and better suited to bulk, non-urgent loads) into raw_google_ads / raw_meta_ads, partitioned by date and clustered by campaign_id.</w:t>
      </w:r>
    </w:p>
    <w:p>
      <w:pPr>
        <w:pStyle w:val="ListParagraph"/>
        <w:numPr>
          <w:ilvl w:val="0"/>
          <w:numId w:val="2"/>
        </w:numPr>
        <w:spacing w:after="80" w:line="270"/>
      </w:pPr>
      <w:r>
        <w:rPr>
          <w:sz w:val="21"/>
          <w:szCs w:val="21"/>
        </w:rPr>
        <w:t xml:space="preserve">Idempotency key: (campaign_id, batch_window_start, source_file). If Cloud Run is retried or the same file is redelivered (at-least-once delivery from Pub/Sub is expected), the load is a MERGE keyed on this tuple rather than an append, so re-processing never double-counts spend.</w:t>
      </w:r>
    </w:p>
    <w:p>
      <w:pPr>
        <w:pStyle w:val="Heading2"/>
        <w:spacing w:after="140" w:before="280"/>
      </w:pPr>
      <w:r>
        <w:rPr>
          <w:b/>
          <w:bCs/>
          <w:color w:val="2E5C8A"/>
          <w:sz w:val="25"/>
          <w:szCs w:val="25"/>
        </w:rPr>
        <w:t xml:space="preserve">3.3 Error handling at ingestion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3864" w:color="auto" w:val="clear"/>
            <w:tcMar>
              <w:top w:type="dxa" w:w="80"/>
              <w:left w:type="dxa" w:w="100"/>
              <w:bottom w:type="dxa" w:w="80"/>
              <w:right w:type="dxa" w:w="100"/>
            </w:tcMar>
            <w:vAlign w:val="center"/>
          </w:tcPr>
          <w:p>
            <w:pPr>
              <w:jc w:val="left"/>
            </w:pPr>
            <w:r>
              <w:rPr>
                <w:b/>
                <w:bCs/>
                <w:color w:val="FFFFFF"/>
                <w:sz w:val="19"/>
                <w:szCs w:val="19"/>
              </w:rPr>
              <w:t xml:space="preserve">Failure mode</w:t>
            </w:r>
          </w:p>
        </w:tc>
        <w:tc>
          <w:tcPr>
            <w:tcW w:type="dxa" w:w="5600"/>
            <w:shd w:fill="1F3864" w:color="auto" w:val="clear"/>
            <w:tcMar>
              <w:top w:type="dxa" w:w="80"/>
              <w:left w:type="dxa" w:w="100"/>
              <w:bottom w:type="dxa" w:w="80"/>
              <w:right w:type="dxa" w:w="100"/>
            </w:tcMar>
            <w:vAlign w:val="center"/>
          </w:tcPr>
          <w:p>
            <w:pPr>
              <w:jc w:val="left"/>
            </w:pPr>
            <w:r>
              <w:rPr>
                <w:b/>
                <w:bCs/>
                <w:color w:val="FFFFFF"/>
                <w:sz w:val="19"/>
                <w:szCs w:val="19"/>
              </w:rPr>
              <w:t xml:space="preserve">Handling</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Malformed / schema-drifted file</w:t>
            </w:r>
          </w:p>
        </w:tc>
        <w:tc>
          <w:tcPr>
            <w:tcW w:type="dxa" w:w="5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Cloud Run rejects the file, writes it to a quarantine prefix in the same bucket, and publishes a structured error to a dead-letter Pub/Sub topic; a Cloud Monitoring log-based metric turns this into the "Ingestion failures" alert.</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Cloud Run transient failure (timeout, OOM, dependency error)</w:t>
            </w:r>
          </w:p>
        </w:tc>
        <w:tc>
          <w:tcPr>
            <w:tcW w:type="dxa" w:w="5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Pub/Sub retry with exponential backoff (configurable max attempts, e.g. 5); after exhaustion, the message moves to a dead-letter topic reviewed by the data engineering on-call. Feeds the "Cloud Run errors" alert.</w:t>
            </w:r>
          </w:p>
        </w:tc>
      </w:tr>
      <w:tr>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Missing batch (a 6h window never arrives)</w:t>
            </w:r>
          </w:p>
        </w:tc>
        <w:tc>
          <w:tcPr>
            <w:tcW w:type="dxa" w:w="5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 scheduled check compares expected campaign × window combinations (from the campaign dimension) against what actually landed; gaps older than the watermark are flagged as "missing", not silently treated as zero spend.</w:t>
            </w:r>
          </w:p>
        </w:tc>
      </w:tr>
      <w:tr>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GA4 export gap or schema change</w:t>
            </w:r>
          </w:p>
        </w:tc>
        <w:tc>
          <w:tcPr>
            <w:tcW w:type="dxa" w:w="5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A daily row-count and column-presence check against the prior day's baseline; anomalies raise the "BigQuery data freshness" / "data quality" alerts on the DEV layer.</w:t>
            </w:r>
          </w:p>
        </w:tc>
      </w:tr>
    </w:tbl>
    <w:p>
      <w:r>
        <w:br w:type="page"/>
      </w:r>
    </w:p>
    <w:p>
      <w:pPr>
        <w:pStyle w:val="Heading1"/>
        <w:spacing w:after="200" w:before="400"/>
      </w:pPr>
      <w:r>
        <w:rPr>
          <w:b/>
          <w:bCs/>
          <w:color w:val="1F3864"/>
          <w:sz w:val="30"/>
          <w:szCs w:val="30"/>
        </w:rPr>
        <w:t xml:space="preserve">4. BigQuery Layers: RAW → DEV → PROD</w:t>
      </w:r>
    </w:p>
    <w:p>
      <w:pPr>
        <w:spacing w:after="160" w:line="276"/>
      </w:pPr>
      <w:r>
        <w:rPr>
          <w:sz w:val="21"/>
          <w:szCs w:val="21"/>
        </w:rPr>
        <w:t xml:space="preserve">Modeling follows a standard three-tier trust progression. Each layer has a distinct contract and a distinct refresh mechanism, chosen deliberately per layer rather than applying one pattern everywhere: DEV is a set of materialized views for low-cost, automatic synchronization, and PROD is a control-table-driven scheduled query so the expensive cross-source join only ever runs against genuinely new data.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600"/>
        <w:gridCol w:w="2200"/>
      </w:tblGrid>
      <w:tr>
        <w:trPr>
          <w:tblHeader/>
        </w:trPr>
        <w:tc>
          <w:tcPr>
            <w:tcW w:type="dxa" w:w="1300"/>
            <w:shd w:fill="1F3864" w:color="auto"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300"/>
            <w:shd w:fill="1F3864" w:color="auto" w:val="clear"/>
            <w:tcMar>
              <w:top w:type="dxa" w:w="80"/>
              <w:left w:type="dxa" w:w="100"/>
              <w:bottom w:type="dxa" w:w="80"/>
              <w:right w:type="dxa" w:w="100"/>
            </w:tcMar>
            <w:vAlign w:val="center"/>
          </w:tcPr>
          <w:p>
            <w:pPr>
              <w:jc w:val="left"/>
            </w:pPr>
            <w:r>
              <w:rPr>
                <w:b/>
                <w:bCs/>
                <w:color w:val="FFFFFF"/>
                <w:sz w:val="19"/>
                <w:szCs w:val="19"/>
              </w:rPr>
              <w:t xml:space="preserve">Contract</w:t>
            </w:r>
          </w:p>
        </w:tc>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Refresh mechanism</w:t>
            </w:r>
          </w:p>
        </w:tc>
        <w:tc>
          <w:tcPr>
            <w:tcW w:type="dxa" w:w="2200"/>
            <w:shd w:fill="1F3864" w:color="auto" w:val="clear"/>
            <w:tcMar>
              <w:top w:type="dxa" w:w="80"/>
              <w:left w:type="dxa" w:w="100"/>
              <w:bottom w:type="dxa" w:w="80"/>
              <w:right w:type="dxa" w:w="100"/>
            </w:tcMar>
            <w:vAlign w:val="center"/>
          </w:tcPr>
          <w:p>
            <w:pPr>
              <w:jc w:val="left"/>
            </w:pPr>
            <w:r>
              <w:rPr>
                <w:b/>
                <w:bCs/>
                <w:color w:val="FFFFFF"/>
                <w:sz w:val="19"/>
                <w:szCs w:val="19"/>
              </w:rPr>
              <w:t xml:space="preserve">Examples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RAW</w:t>
            </w:r>
          </w:p>
        </w:tc>
        <w:tc>
          <w:tcPr>
            <w:tcW w:type="dxa" w:w="3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MERGE-on-idempotency-key copy of the source, in source shape. No business logic. Full history retained for replay.</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GA4: scheduled query off the native export. Ads: Cloud Run load/MERGE job per batch.</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raw_ga4, raw_google_ads, raw_meta_ads</w:t>
            </w:r>
          </w:p>
        </w:tc>
      </w:tr>
      <w:tr>
        <w:tc>
          <w:tcPr>
            <w:tcW w:type="dxa" w:w="1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DEV</w:t>
            </w:r>
          </w:p>
        </w:tc>
        <w:tc>
          <w:tcPr>
            <w:tcW w:type="dxa" w:w="3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One row per business entity at the campaign × 6h-window × country grain. Deduplicated, typed, nulls handled, flattened.</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BigQuery materialized views on top of each RAW table.</w:t>
            </w:r>
          </w:p>
        </w:tc>
        <w:tc>
          <w:tcPr>
            <w:tcW w:type="dxa" w:w="2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dev_ga4, dev_google_ads, dev_meta_ads</w:t>
            </w:r>
          </w:p>
        </w:tc>
      </w:tr>
      <w:tr>
        <w:tc>
          <w:tcPr>
            <w:tcW w:type="dxa" w:w="1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PROD</w:t>
            </w:r>
          </w:p>
        </w:tc>
        <w:tc>
          <w:tcPr>
            <w:tcW w:type="dxa" w:w="3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Denormalized, unified, ready for BI. Pre-joined across sources, business metrics computed, tested.</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Scheduled query every 5 min, gated by a control table.</w:t>
            </w:r>
          </w:p>
        </w:tc>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fct_campaigns, mart_channel_performance</w:t>
            </w:r>
          </w:p>
        </w:tc>
      </w:tr>
    </w:tbl>
    <w:p>
      <w:pPr>
        <w:spacing w:after="160" w:line="276"/>
      </w:pPr>
      <w:r>
        <w:rPr>
          <w:sz w:val="21"/>
          <w:szCs w:val="21"/>
        </w:rPr>
        <w:t xml:space="preserve">Only PROD is exposed to Looker Studio. This keeps the semantic layer (metric definitions like ROI, CPC, CPA) in exactly one place, and lets RAW/DEV evolve or be reprocessed without breaking dashboards.</w:t>
      </w:r>
    </w:p>
    <w:p>
      <w:pPr>
        <w:pStyle w:val="Heading2"/>
        <w:spacing w:after="140" w:before="280"/>
      </w:pPr>
      <w:r>
        <w:rPr>
          <w:b/>
          <w:bCs/>
          <w:color w:val="2E5C8A"/>
          <w:sz w:val="25"/>
          <w:szCs w:val="25"/>
        </w:rPr>
        <w:t xml:space="preserve">4.1 DEV as materialized views</w:t>
      </w:r>
    </w:p>
    <w:p>
      <w:pPr>
        <w:spacing w:after="160" w:line="276"/>
      </w:pPr>
      <w:r>
        <w:rPr>
          <w:sz w:val="21"/>
          <w:szCs w:val="21"/>
        </w:rPr>
        <w:t xml:space="preserve">dev_ga4, dev_google_ads and dev_meta_ads are each defined as a BigQuery materialized view over their corresponding RAW table, aggregating rows into the campaign × 6h-window × country grain (SUM of clicks/impressions/spend for Ads, SUM of sessions/conversions/revenue for GA4). This replaces what would otherwise be a scheduled batch transformation with a view BigQuery keeps incrementally in sync on its own:</w:t>
      </w:r>
    </w:p>
    <w:p>
      <w:pPr>
        <w:pStyle w:val="ListParagraph"/>
        <w:numPr>
          <w:ilvl w:val="0"/>
          <w:numId w:val="2"/>
        </w:numPr>
        <w:spacing w:after="80" w:line="270"/>
      </w:pPr>
      <w:r>
        <w:rPr>
          <w:sz w:val="21"/>
          <w:szCs w:val="21"/>
        </w:rPr>
        <w:t xml:space="preserve">Cost-effective synchronization: BigQuery only recomputes the delta between what changed in RAW and what the view last reflected, instead of rescanning the full table on a timer. For GA4's near-continuous stream this matters — a full-table nightly-style rebuild every few minutes would be wasteful; incremental maintenance keeps the cost proportional to what actually changed.</w:t>
      </w:r>
    </w:p>
    <w:p>
      <w:pPr>
        <w:pStyle w:val="ListParagraph"/>
        <w:numPr>
          <w:ilvl w:val="0"/>
          <w:numId w:val="2"/>
        </w:numPr>
        <w:spacing w:after="80" w:line="270"/>
      </w:pPr>
      <w:r>
        <w:rPr>
          <w:sz w:val="21"/>
          <w:szCs w:val="21"/>
        </w:rPr>
        <w:t xml:space="preserve">Freshness on demand: materialized views can be queried directly for up-to-the-minute data (BigQuery transparently unions the maintained view with any not-yet-incorporated RAW delta at query time), so the "BigQuery data freshness" check in Section 6 can simply compare a view's max ingestion_timestamp against now, with no separate refresh job to babysit.</w:t>
      </w:r>
    </w:p>
    <w:p>
      <w:pPr>
        <w:pStyle w:val="ListParagraph"/>
        <w:numPr>
          <w:ilvl w:val="0"/>
          <w:numId w:val="2"/>
        </w:numPr>
        <w:spacing w:after="80" w:line="270"/>
      </w:pPr>
      <w:r>
        <w:rPr>
          <w:sz w:val="21"/>
          <w:szCs w:val="21"/>
        </w:rPr>
        <w:t xml:space="preserve">Working within materialized-view constraints: BigQuery materialized views support filters, joins and aggregations over a single base table well, but not arbitrary window functions. Exact-key deduplication (Section 5.3) is therefore enforced one layer earlier, at the RAW MERGE step, so that by the time a row reaches RAW it is already unique on its idempotency key — DEV's materialized views only need to aggregate, which keeps them inside BigQuery's supported feature set instead of fighting it.</w:t>
      </w:r>
    </w:p>
    <w:p>
      <w:pPr>
        <w:pStyle w:val="Heading2"/>
        <w:spacing w:after="140" w:before="280"/>
      </w:pPr>
      <w:r>
        <w:rPr>
          <w:b/>
          <w:bCs/>
          <w:color w:val="2E5C8A"/>
          <w:sz w:val="25"/>
          <w:szCs w:val="25"/>
        </w:rPr>
        <w:t xml:space="preserve">4.2 PROD as a control-table-gated scheduled query</w:t>
      </w:r>
    </w:p>
    <w:p>
      <w:pPr>
        <w:spacing w:after="160" w:line="276"/>
      </w:pPr>
      <w:r>
        <w:rPr>
          <w:sz w:val="21"/>
          <w:szCs w:val="21"/>
        </w:rPr>
        <w:t xml:space="preserve">fct_campaigns is not itself a materialized view, because it depends on three sources with independent, uneven arrival patterns (Section 5) — a join that BigQuery's materialized views do not support cleanly across heterogeneous, MERGE-updated bases. Instead it is built by a scheduled query (Cloud Scheduler → BigQuery, or a Cloud Composer sensor) running every 5 minutes, paired with a small control table that keeps the job cheap and idempotent:</w:t>
      </w:r>
    </w:p>
    <w:p>
      <w:pPr>
        <w:pStyle w:val="ListParagraph"/>
        <w:numPr>
          <w:ilvl w:val="0"/>
          <w:numId w:val="2"/>
        </w:numPr>
        <w:spacing w:after="80" w:line="270"/>
      </w:pPr>
      <w:r>
        <w:rPr>
          <w:sz w:val="21"/>
          <w:szCs w:val="21"/>
        </w:rPr>
        <w:t xml:space="preserve">control_prod_windows carries one row per (campaign_id, window_start, window_end): a ready flag per source (dev_ga4, dev_google_ads, dev_meta_ads), a processed_at timestamp, and a checksum/row-count fingerprint of the DEV rows last used to build that window.</w:t>
      </w:r>
    </w:p>
    <w:p>
      <w:pPr>
        <w:pStyle w:val="ListParagraph"/>
        <w:numPr>
          <w:ilvl w:val="0"/>
          <w:numId w:val="2"/>
        </w:numPr>
        <w:spacing w:after="80" w:line="270"/>
      </w:pPr>
      <w:r>
        <w:rPr>
          <w:sz w:val="21"/>
          <w:szCs w:val="21"/>
        </w:rPr>
        <w:t xml:space="preserve">Every 5-minute run scans only for windows where all three DEV sources report data for that window and either processed_at is null, or the current DEV fingerprint no longer matches the one stored at processed_at (i.e. late data changed the inputs after the fact) — exactly the two conditions worth paying to compute.</w:t>
      </w:r>
    </w:p>
    <w:p>
      <w:pPr>
        <w:pStyle w:val="ListParagraph"/>
        <w:numPr>
          <w:ilvl w:val="0"/>
          <w:numId w:val="2"/>
        </w:numPr>
        <w:spacing w:after="80" w:line="270"/>
      </w:pPr>
      <w:r>
        <w:rPr>
          <w:sz w:val="21"/>
          <w:szCs w:val="21"/>
        </w:rPr>
        <w:t xml:space="preserve">Everything else is skipped in that run at negligible cost: a window with only two of three sources present is left pending (not force-joined with a null third source), and a window whose fingerprint is unchanged since it was last processed is left alone entirely.</w:t>
      </w:r>
    </w:p>
    <w:p>
      <w:pPr>
        <w:pStyle w:val="ListParagraph"/>
        <w:numPr>
          <w:ilvl w:val="0"/>
          <w:numId w:val="2"/>
        </w:numPr>
        <w:spacing w:after="80" w:line="270"/>
      </w:pPr>
      <w:r>
        <w:rPr>
          <w:sz w:val="21"/>
          <w:szCs w:val="21"/>
        </w:rPr>
        <w:t xml:space="preserve">A matching window is MERGEd into fct_campaigns keyed on (campaign_id, window_start, country), and the control table is updated with the new processed_at and fingerprint in the same transaction — so a run that is retried or overlaps a slow prior run cannot double-process a window.</w:t>
      </w:r>
    </w:p>
    <w:p>
      <w:pPr>
        <w:pStyle w:val="ListParagraph"/>
        <w:numPr>
          <w:ilvl w:val="0"/>
          <w:numId w:val="2"/>
        </w:numPr>
        <w:spacing w:after="80" w:line="270"/>
      </w:pPr>
      <w:r>
        <w:rPr>
          <w:sz w:val="21"/>
          <w:szCs w:val="21"/>
        </w:rPr>
        <w:t xml:space="preserve">Net effect: the Director sees PROD update roughly every 5 minutes without XYZ paying for a full fct_campaigns rebuild every 5 minutes — the scheduled query's cost scales with how many windows actually changed, not with how often it runs.</w:t>
      </w:r>
    </w:p>
    <w:p>
      <w:pPr>
        <w:pStyle w:val="Heading2"/>
        <w:spacing w:after="140" w:before="280"/>
      </w:pPr>
      <w:r>
        <w:rPr>
          <w:b/>
          <w:bCs/>
          <w:color w:val="2E5C8A"/>
          <w:sz w:val="25"/>
          <w:szCs w:val="25"/>
        </w:rPr>
        <w:t xml:space="preserve">4.3 Cost and scale sanity check</w:t>
      </w:r>
    </w:p>
    <w:p>
      <w:pPr>
        <w:spacing w:after="160" w:line="276"/>
      </w:pPr>
      <w:r>
        <w:rPr>
          <w:sz w:val="21"/>
          <w:szCs w:val="21"/>
        </w:rPr>
        <w:t xml:space="preserve">At XYZ's likely scale, the control-table pattern is cheap by construction, not just by intent. A few hundred active campaigns across both platforms, at 4 windows/day, is at most a few thousand (campaign, window) rows a day for fct_campaigns to potentially touch — even at 10x that campaign count, the control table itself stays small enough that scanning it every 5 minutes is a trivial, sub-second query. The real cost driver is GA4 event volume feeding the DEV materialized views, and that cost is governed by BigQuery's incremental materialized-view maintenance (billed on the bytes changed since the last maintenance pass), not by how often PROD's scheduled query runs — so raising the PROD cadence from 5 minutes to 1 minute would not meaningfully change spend, while GA4 traffic growth would, independent of cadence.</w:t>
      </w:r>
    </w:p>
    <w:p>
      <w:pPr>
        <w:spacing w:after="160" w:line="276"/>
      </w:pPr>
      <w:r>
        <w:rPr>
          <w:sz w:val="21"/>
          <w:szCs w:val="21"/>
        </w:rPr>
        <w:t xml:space="preserve">On-demand BigQuery pricing is a reasonable starting point; if GA4 volume or MV maintenance cost grows enough to matter, the standard next step is a small flat-rate/autoscaling slot reservation dedicated to this pipeline, sized against observed bytes-processed once real traffic is available — this is a tuning decision to make from Cloud Monitoring cost data, not one to lock in at design time.</w:t>
      </w:r>
    </w:p>
    <w:p>
      <w:pPr>
        <w:pStyle w:val="Heading3"/>
        <w:spacing w:after="100" w:before="200"/>
      </w:pPr>
      <w:r>
        <w:rPr>
          <w:b/>
          <w:bCs/>
          <w:color w:val="595959"/>
          <w:sz w:val="22"/>
          <w:szCs w:val="22"/>
        </w:rPr>
        <w:t xml:space="preserve">A scope assumption worth flagging</w:t>
      </w:r>
    </w:p>
    <w:p>
      <w:pPr>
        <w:spacing w:after="160" w:line="276"/>
      </w:pPr>
      <w:r>
        <w:rPr>
          <w:sz w:val="21"/>
          <w:szCs w:val="21"/>
        </w:rPr>
        <w:t xml:space="preserve">This design assumes BigQuery's materialized views support the filter/aggregate pattern described in 4.1 for each DEV table at implementation time — that feature surface has been expanding and is worth re-validating against current BigQuery documentation before building. If a specific aggregation turns out to be unsupported, the fallback is a plain scheduled query with the same MERGE-based idempotent contract described in Section 5.3; the RAW/DEV/PROD table contracts and everything downstream of DEV are unaffected either way, only the refresh mechanism for that one table changes.</w:t>
      </w:r>
    </w:p>
    <w:p>
      <w:pPr>
        <w:pStyle w:val="Heading1"/>
        <w:spacing w:after="200" w:before="400"/>
      </w:pPr>
      <w:r>
        <w:rPr>
          <w:b/>
          <w:bCs/>
          <w:color w:val="1F3864"/>
          <w:sz w:val="30"/>
          <w:szCs w:val="30"/>
        </w:rPr>
        <w:t xml:space="preserve">5. Streaming–Batch Coupling Strategy</w:t>
      </w:r>
    </w:p>
    <w:p>
      <w:pPr>
        <w:spacing w:after="160" w:line="276"/>
      </w:pPr>
      <w:r>
        <w:rPr>
          <w:sz w:val="21"/>
          <w:szCs w:val="21"/>
        </w:rPr>
        <w:t xml:space="preserve">This is the core technical challenge: GA4 is an open, continuously-updating stream and Ads is a closed, 6-hour batch. The DEV layer is where these two speeds are reconciled onto one shared grain before anything is joined.</w:t>
      </w:r>
    </w:p>
    <w:p>
      <w:pPr>
        <w:pStyle w:val="Heading2"/>
        <w:spacing w:after="140" w:before="280"/>
      </w:pPr>
      <w:r>
        <w:rPr>
          <w:b/>
          <w:bCs/>
          <w:color w:val="2E5C8A"/>
          <w:sz w:val="25"/>
          <w:szCs w:val="25"/>
        </w:rPr>
        <w:t xml:space="preserve">5.1 Aligning the grain</w:t>
      </w:r>
    </w:p>
    <w:p>
      <w:pPr>
        <w:spacing w:after="160" w:line="276"/>
      </w:pPr>
      <w:r>
        <w:rPr>
          <w:sz w:val="21"/>
          <w:szCs w:val="21"/>
        </w:rPr>
        <w:t xml:space="preserve">dev_ga4 is not event-grain — it is a rollup of raw_ga4 into the same campaign × 6-hour-window × country grain that Ads data arrives in: sessions, pageviews, conversions and revenue per campaign_id (from GA4's attribution field) bucketed into whichever of the four windows event_timestamp falls into. This is the single design choice that makes the join in Section 5.4 possible at all — without it, an event-grain stream and a window-grain batch simply cannot be reconciled cleanly.</w:t>
      </w:r>
    </w:p>
    <w:p>
      <w:pPr>
        <w:pStyle w:val="Heading2"/>
        <w:spacing w:after="140" w:before="280"/>
      </w:pPr>
      <w:r>
        <w:rPr>
          <w:b/>
          <w:bCs/>
          <w:color w:val="2E5C8A"/>
          <w:sz w:val="25"/>
          <w:szCs w:val="25"/>
        </w:rPr>
        <w:t xml:space="preserve">5.2 Watermarks and late-arriving data</w:t>
      </w:r>
    </w:p>
    <w:p>
      <w:pPr>
        <w:spacing w:after="160" w:line="276"/>
      </w:pPr>
      <w:r>
        <w:rPr>
          <w:sz w:val="21"/>
          <w:szCs w:val="21"/>
        </w:rPr>
        <w:t xml:space="preserve">Each 6h window is assigned a watermark: window_end + grace_period (default 60 minutes, configurable per source). Before the watermark passes, the window is provisional; after it passes, the window is eligible to be marked complete and promoted to PROD.</w:t>
      </w:r>
    </w:p>
    <w:p>
      <w:pPr>
        <w:pStyle w:val="ListParagraph"/>
        <w:numPr>
          <w:ilvl w:val="0"/>
          <w:numId w:val="2"/>
        </w:numPr>
        <w:spacing w:after="80" w:line="270"/>
      </w:pPr>
      <w:r>
        <w:rPr>
          <w:sz w:val="21"/>
          <w:szCs w:val="21"/>
        </w:rPr>
        <w:t xml:space="preserve">GA4 late data: events can arrive after their window has notionally closed (offline mobile sessions, delayed dispatch). Events with event_timestamp inside a window but ingestion_timestamp after the watermark still update dev_ga4 for that window via MERGE — they are not dropped, they trigger a targeted reprocess of that one window (Section 5.3), not the whole table.</w:t>
      </w:r>
    </w:p>
    <w:p>
      <w:pPr>
        <w:pStyle w:val="ListParagraph"/>
        <w:numPr>
          <w:ilvl w:val="0"/>
          <w:numId w:val="2"/>
        </w:numPr>
        <w:spacing w:after="80" w:line="270"/>
      </w:pPr>
      <w:r>
        <w:rPr>
          <w:sz w:val="21"/>
          <w:szCs w:val="21"/>
        </w:rPr>
        <w:t xml:space="preserve">Ads late data: if a batch file for a window has not arrived by the watermark, that window is marked is_window_complete = false in dev_google_ads/dev_meta_ads. PROD excludes incomplete windows from any "final" metric view by default, but a separate "preliminary" view includes them clearly labeled, so the Director can still see near-real-time signal without mistaking it for a settled number.</w:t>
      </w:r>
    </w:p>
    <w:p>
      <w:pPr>
        <w:pStyle w:val="ListParagraph"/>
        <w:numPr>
          <w:ilvl w:val="0"/>
          <w:numId w:val="2"/>
        </w:numPr>
        <w:spacing w:after="80" w:line="270"/>
      </w:pPr>
      <w:r>
        <w:rPr>
          <w:sz w:val="21"/>
          <w:szCs w:val="21"/>
        </w:rPr>
        <w:t xml:space="preserve">GA4 intraday finalization: when Google finalizes events_intraday_YYYYMMDD into events_YYYYMMDD (T+1 to T+3 days), a scheduled reconciliation job re-runs the affected windows once more and reconciles any drift between the provisional and finalized event set — this is the one late-arrival case that is expected on a schedule rather than triggered by a monitoring signal.</w:t>
      </w:r>
    </w:p>
    <w:p>
      <w:pPr>
        <w:pStyle w:val="Heading2"/>
        <w:spacing w:after="140" w:before="280"/>
      </w:pPr>
      <w:r>
        <w:rPr>
          <w:b/>
          <w:bCs/>
          <w:color w:val="2E5C8A"/>
          <w:sz w:val="25"/>
          <w:szCs w:val="25"/>
        </w:rPr>
        <w:t xml:space="preserve">5.3 Idempotent reprocessing</w:t>
      </w:r>
    </w:p>
    <w:p>
      <w:pPr>
        <w:spacing w:after="160" w:line="276"/>
      </w:pPr>
      <w:r>
        <w:rPr>
          <w:sz w:val="21"/>
          <w:szCs w:val="21"/>
        </w:rPr>
        <w:t xml:space="preserve">Every DEV/PROD model is an incremental MERGE keyed on its grain (campaign_id, window_start, country for Ads-joined models), never a blind INSERT/APPEND. This makes reprocessing safe by construction:</w:t>
      </w:r>
    </w:p>
    <w:p>
      <w:pPr>
        <w:pStyle w:val="ListParagraph"/>
        <w:numPr>
          <w:ilvl w:val="0"/>
          <w:numId w:val="2"/>
        </w:numPr>
        <w:spacing w:after="80" w:line="270"/>
      </w:pPr>
      <w:r>
        <w:rPr>
          <w:sz w:val="21"/>
          <w:szCs w:val="21"/>
        </w:rPr>
        <w:t xml:space="preserve">Re-running a window (because of late GA4 events, a redelivered Ads file, or a manual backfill) always produces the same final row for that key — reprocessing is a correction, not a duplication.</w:t>
      </w:r>
    </w:p>
    <w:p>
      <w:pPr>
        <w:pStyle w:val="ListParagraph"/>
        <w:numPr>
          <w:ilvl w:val="0"/>
          <w:numId w:val="2"/>
        </w:numPr>
        <w:spacing w:after="80" w:line="270"/>
      </w:pPr>
      <w:r>
        <w:rPr>
          <w:sz w:val="21"/>
          <w:szCs w:val="21"/>
        </w:rPr>
        <w:t xml:space="preserve">BigQuery tables are date-partitioned and campaign-clustered, so a targeted reprocess only rewrites the partitions actually affected, keeping cost and latency proportional to the size of the correction, not the size of history.</w:t>
      </w:r>
    </w:p>
    <w:p>
      <w:pPr>
        <w:pStyle w:val="ListParagraph"/>
        <w:numPr>
          <w:ilvl w:val="0"/>
          <w:numId w:val="2"/>
        </w:numPr>
        <w:spacing w:after="80" w:line="270"/>
      </w:pPr>
      <w:r>
        <w:rPr>
          <w:sz w:val="21"/>
          <w:szCs w:val="21"/>
        </w:rPr>
        <w:t xml:space="preserve">Deduplication keys: GA4 rows dedupe on (user_id, session_id, event_timestamp, event_name); Ads rows dedupe on (campaign_id, window_start, source_file), keeping the row with the latest ingestion_timestamp when the same window is redelivered with corrected figures.</w:t>
      </w:r>
    </w:p>
    <w:p>
      <w:pPr>
        <w:pStyle w:val="Heading2"/>
        <w:spacing w:after="140" w:before="280"/>
      </w:pPr>
      <w:r>
        <w:rPr>
          <w:b/>
          <w:bCs/>
          <w:color w:val="2E5C8A"/>
          <w:sz w:val="25"/>
          <w:szCs w:val="25"/>
        </w:rPr>
        <w:t xml:space="preserve">5.4 Joining GA4 to Ads</w:t>
      </w:r>
    </w:p>
    <w:p>
      <w:pPr>
        <w:spacing w:after="160" w:line="276"/>
      </w:pPr>
      <w:r>
        <w:rPr>
          <w:sz w:val="21"/>
          <w:szCs w:val="21"/>
        </w:rPr>
        <w:t xml:space="preserve">dev_ga4 and dev_google_ads/dev_meta_ads share the (campaign_id, window_start, window_end, country) grain, so the PROD join is a straightforward outer join on that key, not a fuzzy attribution exercise: campaign_id is already present on both sides (GA4's attribution field and the Ads campaign identifier, disambiguated by the GADS_ / META_ prefix). Rows on the Ads side without matching GA4 activity still surface (spend with zero on-site behavior is itself a useful signal); rows on the GA4 side without matching spend (organic/direct traffic) feed the channel-level mart in Section 8 rather than being discarded.</w:t>
      </w:r>
    </w:p>
    <w:p>
      <w:pPr>
        <w:pStyle w:val="Heading3"/>
        <w:spacing w:after="100" w:before="200"/>
      </w:pPr>
      <w:r>
        <w:rPr>
          <w:b/>
          <w:bCs/>
          <w:color w:val="595959"/>
          <w:sz w:val="22"/>
          <w:szCs w:val="22"/>
        </w:rPr>
        <w:t xml:space="preserve">Note — this attribution model only covers paid traffic</w:t>
      </w:r>
    </w:p>
    <w:p>
      <w:pPr>
        <w:spacing w:after="160" w:line="276"/>
      </w:pPr>
      <w:r>
        <w:rPr>
          <w:sz w:val="21"/>
          <w:szCs w:val="21"/>
        </w:rPr>
        <w:t xml:space="preserve">campaign_id join coverage is, by construction, limited to sessions GA4 attributes to a paid Meta or Google Ads campaign. It says nothing about the rest of the traffic reaching XYZ's site. For a reporting tool that answers Question 3 (acquisition channel analysis) completely rather than only for paid media, the remaining GA4 sessions should be classified using GA4's own channel grouping logic on session_source / session_medium / session_campaign — bucketing the rest of the traffic into Organic Search, Direct, Referral, Organic Social, Email, and similar categories. mart_channel_performance (Section 8) is where this classification lives: campaign_id-attributed sessions carry their paid channel through, and everything else is labeled by GA4 channel grouping, so paid and non-paid channels sit side by side on one comparable view instead of the paid side being the only one XYZ can see.</w:t>
      </w:r>
    </w:p>
    <w:p>
      <w:r>
        <w:br w:type="page"/>
      </w:r>
    </w:p>
    <w:p>
      <w:pPr>
        <w:pStyle w:val="Heading1"/>
        <w:spacing w:after="200" w:before="400"/>
      </w:pPr>
      <w:r>
        <w:rPr>
          <w:b/>
          <w:bCs/>
          <w:color w:val="1F3864"/>
          <w:sz w:val="30"/>
          <w:szCs w:val="30"/>
        </w:rPr>
        <w:t xml:space="preserve">6. Error Handling &amp; Observability</w:t>
      </w:r>
    </w:p>
    <w:p>
      <w:pPr>
        <w:spacing w:after="160" w:line="276"/>
      </w:pPr>
      <w:r>
        <w:rPr>
          <w:sz w:val="21"/>
          <w:szCs w:val="21"/>
        </w:rPr>
        <w:t xml:space="preserve">Cloud Monitoring watches four checkpoints end-to-end, each backed by a log-based metric and an alerting policy routed to the data engineering team (email/Slack via a notification channel). As noted in Section 2, a fifth checkpoint on Looker Studio was intentionally removed.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Checkpoint</w:t>
            </w:r>
          </w:p>
        </w:tc>
        <w:tc>
          <w:tcPr>
            <w:tcW w:type="dxa" w:w="3200"/>
            <w:shd w:fill="1F3864" w:color="auto" w:val="clear"/>
            <w:tcMar>
              <w:top w:type="dxa" w:w="80"/>
              <w:left w:type="dxa" w:w="100"/>
              <w:bottom w:type="dxa" w:w="80"/>
              <w:right w:type="dxa" w:w="100"/>
            </w:tcMar>
            <w:vAlign w:val="center"/>
          </w:tcPr>
          <w:p>
            <w:pPr>
              <w:jc w:val="left"/>
            </w:pPr>
            <w:r>
              <w:rPr>
                <w:b/>
                <w:bCs/>
                <w:color w:val="FFFFFF"/>
                <w:sz w:val="19"/>
                <w:szCs w:val="19"/>
              </w:rPr>
              <w:t xml:space="preserve">What it watches</w:t>
            </w:r>
          </w:p>
        </w:tc>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Typical trigger</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Ingestion failures (Cloud Storage / Pub/Sub)</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Files rejected at schema validation, or events stuck / dead-lettered in Pub/Sub.</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Malformed export, credential/permission drift, schema change from a source platform.</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Cloud Run errors</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Elevated latency, 5xx rates, or retry exhaustion on the ingestion service.</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Cold-start storms, downstream BigQuery quota errors, code regressions.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BigQuery data freshness (DEV)</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Time since the last successful MERGE per source, compared against the expected cadence (near-continuous for GA4, every 6h for Ads).</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 batch window that never arrived; a GA4 export stall.</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BigQuery data quality (DEV/PROD)</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Null keys, duplicate grain keys, referential mismatches (campaign_id not found in the campaign dimension), and dbt test failures (see Deliverable B).</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Upstream schema drift, a source sending corrected/duplicate data outside the expected MERGE key.</w:t>
            </w:r>
          </w:p>
        </w:tc>
      </w:tr>
    </w:tbl>
    <w:p>
      <w:pPr>
        <w:spacing w:after="160" w:line="276"/>
      </w:pPr>
      <w:r>
        <w:rPr>
          <w:sz w:val="21"/>
          <w:szCs w:val="21"/>
        </w:rPr>
        <w:t xml:space="preserve">Deliberately not alerted: Looker Studio itself. Its only two failure modes — a broken BigQuery connection or stale data — are both already caught upstream (connection failures surface as Cloud Run/BigQuery errors; staleness is caught by the freshness check). Alerting on it a second time would duplicate signal without adding new information, so instead PROD carries an explicit freshness field that renders inline on the dashboard.</w:t>
      </w:r>
    </w:p>
    <w:p>
      <w:pPr>
        <w:pStyle w:val="Heading1"/>
        <w:spacing w:after="200" w:before="400"/>
      </w:pPr>
      <w:r>
        <w:rPr>
          <w:b/>
          <w:bCs/>
          <w:color w:val="1F3864"/>
          <w:sz w:val="30"/>
          <w:szCs w:val="30"/>
        </w:rPr>
        <w:t xml:space="preserve">7. Data Model</w:t>
      </w:r>
    </w:p>
    <w:p>
      <w:pPr>
        <w:spacing w:after="160" w:line="276"/>
      </w:pPr>
      <w:r>
        <w:rPr>
          <w:sz w:val="21"/>
          <w:szCs w:val="21"/>
        </w:rPr>
        <w:t xml:space="preserve">The RAW/DEV/PROD structure maps to a small, deliberately narrow set of tables. This keeps the semantic surface small enough that metric definitions (what counts as "a conversion", how ROI is computed) live in exactly one place.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Table</w:t>
            </w:r>
          </w:p>
        </w:tc>
        <w:tc>
          <w:tcPr>
            <w:tcW w:type="dxa" w:w="3200"/>
            <w:shd w:fill="1F3864" w:color="auto" w:val="clear"/>
            <w:tcMar>
              <w:top w:type="dxa" w:w="80"/>
              <w:left w:type="dxa" w:w="100"/>
              <w:bottom w:type="dxa" w:w="80"/>
              <w:right w:type="dxa" w:w="100"/>
            </w:tcMar>
            <w:vAlign w:val="center"/>
          </w:tcPr>
          <w:p>
            <w:pPr>
              <w:jc w:val="left"/>
            </w:pPr>
            <w:r>
              <w:rPr>
                <w:b/>
                <w:bCs/>
                <w:color w:val="FFFFFF"/>
                <w:sz w:val="19"/>
                <w:szCs w:val="19"/>
              </w:rPr>
              <w:t xml:space="preserve">Grain</w:t>
            </w:r>
          </w:p>
        </w:tc>
        <w:tc>
          <w:tcPr>
            <w:tcW w:type="dxa" w:w="3600"/>
            <w:shd w:fill="1F3864" w:color="auto" w:val="clear"/>
            <w:tcMar>
              <w:top w:type="dxa" w:w="80"/>
              <w:left w:type="dxa" w:w="100"/>
              <w:bottom w:type="dxa" w:w="80"/>
              <w:right w:type="dxa" w:w="100"/>
            </w:tcMar>
            <w:vAlign w:val="center"/>
          </w:tcPr>
          <w:p>
            <w:pPr>
              <w:jc w:val="left"/>
            </w:pPr>
            <w:r>
              <w:rPr>
                <w:b/>
                <w:bCs/>
                <w:color w:val="FFFFFF"/>
                <w:sz w:val="19"/>
                <w:szCs w:val="19"/>
              </w:rPr>
              <w:t xml:space="preserve">Key columns</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raw_ga4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Event</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user_id, session_id, event_timestamp, event_name</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raw_google_ads / raw_meta_ads</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 × 6h window</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campaign_id, batch_window_start, source_file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dev_ga4</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 × 6h window × country</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campaign_id, window_start, country</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dev_google_ads / dev_meta_ads</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 × 6h window × country</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campaign_id, window_start, country, is_window_complete</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fct_campaigns</w:t>
            </w:r>
          </w:p>
        </w:tc>
        <w:tc>
          <w:tcPr>
            <w:tcW w:type="dxa" w:w="3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 × day (rolled up from 6h windows)</w:t>
            </w:r>
          </w:p>
        </w:tc>
        <w:tc>
          <w:tcPr>
            <w:tcW w:type="dxa" w:w="3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campaign_id, date, source_platform</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mart_channel_performance</w:t>
            </w:r>
          </w:p>
        </w:tc>
        <w:tc>
          <w:tcPr>
            <w:tcW w:type="dxa" w:w="32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Channel × day</w:t>
            </w:r>
          </w:p>
        </w:tc>
        <w:tc>
          <w:tcPr>
            <w:tcW w:type="dxa" w:w="3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channel_grouping, date</w:t>
            </w:r>
          </w:p>
        </w:tc>
      </w:tr>
    </w:tbl>
    <w:p>
      <w:pPr>
        <w:spacing w:after="160" w:line="276"/>
      </w:pPr>
      <w:r>
        <w:rPr>
          <w:sz w:val="21"/>
          <w:szCs w:val="21"/>
        </w:rPr>
        <w:t xml:space="preserve">channel_grouping in mart_channel_performance is paid_platform (Google Ads / Meta Ads) for campaign_id-attributed sessions, and GA4's own Organic Search / Direct / Referral / Organic Social / Email / (etc.) grouping for everything else — so the table covers the full acquisition picture, not paid channels alone.</w:t>
      </w:r>
    </w:p>
    <w:p>
      <w:pPr>
        <w:spacing w:after="160" w:line="276"/>
      </w:pPr>
      <w:r>
        <w:rPr>
          <w:sz w:val="21"/>
          <w:szCs w:val="21"/>
        </w:rPr>
        <w:t xml:space="preserve">fct_campaigns carries the computed metrics the Director asked for directly as columns, not as dashboard-side calculations, so every consumer (Looker Studio, ad-hoc SQL, a future BI tool) gets the same number:</w:t>
      </w:r>
    </w:p>
    <w:p>
      <w:pPr>
        <w:pStyle w:val="ListParagraph"/>
        <w:numPr>
          <w:ilvl w:val="0"/>
          <w:numId w:val="2"/>
        </w:numPr>
        <w:spacing w:after="80" w:line="270"/>
      </w:pPr>
      <w:r>
        <w:rPr>
          <w:sz w:val="21"/>
          <w:szCs w:val="21"/>
        </w:rPr>
        <w:t xml:space="preserve">CPC = spend / clicks</w:t>
      </w:r>
    </w:p>
    <w:p>
      <w:pPr>
        <w:pStyle w:val="ListParagraph"/>
        <w:numPr>
          <w:ilvl w:val="0"/>
          <w:numId w:val="2"/>
        </w:numPr>
        <w:spacing w:after="80" w:line="270"/>
      </w:pPr>
      <w:r>
        <w:rPr>
          <w:sz w:val="21"/>
          <w:szCs w:val="21"/>
        </w:rPr>
        <w:t xml:space="preserve">CPA = spend / conversions</w:t>
      </w:r>
    </w:p>
    <w:p>
      <w:pPr>
        <w:pStyle w:val="ListParagraph"/>
        <w:numPr>
          <w:ilvl w:val="0"/>
          <w:numId w:val="2"/>
        </w:numPr>
        <w:spacing w:after="80" w:line="270"/>
      </w:pPr>
      <w:r>
        <w:rPr>
          <w:sz w:val="21"/>
          <w:szCs w:val="21"/>
        </w:rPr>
        <w:t xml:space="preserve">ROI = (attributed_revenue − spend) / spend</w:t>
      </w:r>
    </w:p>
    <w:p>
      <w:pPr>
        <w:pStyle w:val="ListParagraph"/>
        <w:numPr>
          <w:ilvl w:val="0"/>
          <w:numId w:val="2"/>
        </w:numPr>
        <w:spacing w:after="80" w:line="270"/>
      </w:pPr>
      <w:r>
        <w:rPr>
          <w:sz w:val="21"/>
          <w:szCs w:val="21"/>
        </w:rPr>
        <w:t xml:space="preserve">Conversion rate = conversions / clicks</w:t>
      </w:r>
    </w:p>
    <w:p>
      <w:pPr>
        <w:pStyle w:val="Heading2"/>
        <w:spacing w:after="140" w:before="280"/>
      </w:pPr>
      <w:r>
        <w:rPr>
          <w:b/>
          <w:bCs/>
          <w:color w:val="2E5C8A"/>
          <w:sz w:val="25"/>
          <w:szCs w:val="25"/>
        </w:rPr>
        <w:t xml:space="preserve">7.1 mart_channel_performance, in detail</w:t>
      </w:r>
    </w:p>
    <w:p>
      <w:pPr>
        <w:spacing w:after="160" w:line="276"/>
      </w:pPr>
      <w:r>
        <w:rPr>
          <w:sz w:val="21"/>
          <w:szCs w:val="21"/>
        </w:rPr>
        <w:t xml:space="preserve">This table gets less attention in most architecture write-ups than the paid-media fact table, but it is what actually answers Question 3 in full, so it earns the same level of detail here.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6600"/>
            <w:shd w:fill="1F3864" w:color="auto"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channel_grouping</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paid_platform value ("Google Ads" / "Meta Ads") for campaign_id-attributed sessions; otherwise GA4's own grouping (Organic Search, Direct, Referral, Organic Social, Email, etc.).</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date</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Calendar day (channel performance is reported daily, not per 6h window, since organic channels have no batch cadence to align to).</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sessions / engaged_sessions</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From dev_ga4, rolled up to the day and channel_grouping grain.</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conversions / revenue</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From dev_ga4's is_conversion-flagged events, attributed to whichever channel_grouping the session belongs to.</w:t>
            </w:r>
          </w:p>
        </w:tc>
      </w:tr>
      <w:tr>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spend</w:t>
            </w:r>
          </w:p>
        </w:tc>
        <w:tc>
          <w:tcPr>
            <w:tcW w:type="dxa" w:w="6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From dev_google_ads/dev_meta_ads for paid rows; NULL for organic/direct/referral rows — spend is not zero-filled, since zero would misleadingly imply a paid channel that spent nothing rather than a channel with no media cost by definition.</w:t>
            </w:r>
          </w:p>
        </w:tc>
      </w:tr>
      <w:tr>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cpc / cpa</w:t>
            </w:r>
          </w:p>
        </w:tc>
        <w:tc>
          <w:tcPr>
            <w:tcW w:type="dxa" w:w="6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Computed only where spend is non-null; organic channels intentionally show these as NULL rather than a divide-by-zero artifact.</w:t>
            </w:r>
          </w:p>
        </w:tc>
      </w:tr>
    </w:tbl>
    <w:p>
      <w:pPr>
        <w:spacing w:after="160" w:line="276"/>
      </w:pPr>
      <w:r>
        <w:rPr>
          <w:sz w:val="21"/>
          <w:szCs w:val="21"/>
        </w:rPr>
        <w:t xml:space="preserve">Keeping spend and its derived metrics nullable (rather than coalesced to zero) is deliberate: it lets the Director filter to "paid channels only" or "all channels" in Looker Studio without silently distorting CPC/CPA averages with organic rows that were never meant to carry a cost metric.</w:t>
      </w:r>
    </w:p>
    <w:p>
      <w:r>
        <w:br w:type="page"/>
      </w:r>
    </w:p>
    <w:p>
      <w:pPr>
        <w:pStyle w:val="Heading1"/>
        <w:spacing w:after="200" w:before="400"/>
      </w:pPr>
      <w:r>
        <w:rPr>
          <w:b/>
          <w:bCs/>
          <w:color w:val="1F3864"/>
          <w:sz w:val="30"/>
          <w:szCs w:val="30"/>
        </w:rPr>
        <w:t xml:space="preserve">8. Mapping the Model to the Director's Questions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600"/>
        <w:gridCol w:w="3300"/>
      </w:tblGrid>
      <w:tr>
        <w:trPr>
          <w:tblHeader/>
        </w:trPr>
        <w:tc>
          <w:tcPr>
            <w:tcW w:type="dxa" w:w="500"/>
            <w:shd w:fill="1F3864" w:color="auto"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400"/>
            <w:shd w:fill="1F3864" w:color="auto" w:val="clear"/>
            <w:tcMar>
              <w:top w:type="dxa" w:w="80"/>
              <w:left w:type="dxa" w:w="100"/>
              <w:bottom w:type="dxa" w:w="80"/>
              <w:right w:type="dxa" w:w="100"/>
            </w:tcMar>
            <w:vAlign w:val="center"/>
          </w:tcPr>
          <w:p>
            <w:pPr>
              <w:jc w:val="left"/>
            </w:pPr>
            <w:r>
              <w:rPr>
                <w:b/>
                <w:bCs/>
                <w:color w:val="FFFFFF"/>
                <w:sz w:val="19"/>
                <w:szCs w:val="19"/>
              </w:rPr>
              <w:t xml:space="preserve">Question</w:t>
            </w:r>
          </w:p>
        </w:tc>
        <w:tc>
          <w:tcPr>
            <w:tcW w:type="dxa" w:w="2600"/>
            <w:shd w:fill="1F3864" w:color="auto" w:val="clear"/>
            <w:tcMar>
              <w:top w:type="dxa" w:w="80"/>
              <w:left w:type="dxa" w:w="100"/>
              <w:bottom w:type="dxa" w:w="80"/>
              <w:right w:type="dxa" w:w="100"/>
            </w:tcMar>
            <w:vAlign w:val="center"/>
          </w:tcPr>
          <w:p>
            <w:pPr>
              <w:jc w:val="left"/>
            </w:pPr>
            <w:r>
              <w:rPr>
                <w:b/>
                <w:bCs/>
                <w:color w:val="FFFFFF"/>
                <w:sz w:val="19"/>
                <w:szCs w:val="19"/>
              </w:rPr>
              <w:t xml:space="preserve">Table(s) used</w:t>
            </w:r>
          </w:p>
        </w:tc>
        <w:tc>
          <w:tcPr>
            <w:tcW w:type="dxa" w:w="3300"/>
            <w:shd w:fill="1F3864" w:color="auto" w:val="clear"/>
            <w:tcMar>
              <w:top w:type="dxa" w:w="80"/>
              <w:left w:type="dxa" w:w="100"/>
              <w:bottom w:type="dxa" w:w="80"/>
              <w:right w:type="dxa" w:w="100"/>
            </w:tcMar>
            <w:vAlign w:val="center"/>
          </w:tcPr>
          <w:p>
            <w:pPr>
              <w:jc w:val="left"/>
            </w:pPr>
            <w:r>
              <w:rPr>
                <w:b/>
                <w:bCs/>
                <w:color w:val="FFFFFF"/>
                <w:sz w:val="19"/>
                <w:szCs w:val="19"/>
              </w:rPr>
              <w:t xml:space="preserve">How it's answered</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Multichannel performance &amp; investment</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fct_campaigns</w:t>
            </w:r>
          </w:p>
        </w:tc>
        <w:tc>
          <w:tcPr>
            <w:tcW w:type="dxa" w:w="3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Aggregated by source_platform (Google Ads vs Meta Ads) with ROI, CPC, CPA and impressions/clicks/spend as a comparison table or bar chart in Looker Studio.</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Campaign attribution &amp; effectiveness</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fct_campaigns</w:t>
            </w:r>
          </w:p>
        </w:tc>
        <w:tc>
          <w:tcPr>
            <w:tcW w:type="dxa" w:w="3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Ranked by campaign_id / campaign_name on conversions and attributed_revenue; a top-N campaigns view surfaces the biggest drivers per platform.</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Acquisition channel analysis</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mart_channel_performance (dev_ga4 + Ads spend blended by channel_grouping)</w:t>
            </w:r>
          </w:p>
        </w:tc>
        <w:tc>
          <w:tcPr>
            <w:tcW w:type="dxa" w:w="3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Blends on-site behavior (sessions, engagement, conversions from GA4) with spend at the channel level. Paid channels come from the campaign_id join; the rest of the traffic (organic search, direct, referral, organic social, email, etc.) is classified from GA4's own channel grouping, so the comparison spans the full acquisition mix, not paid media alone.</w:t>
            </w:r>
          </w:p>
        </w:tc>
      </w:tr>
      <w:tr>
        <w:tc>
          <w:tcPr>
            <w:tcW w:type="dxa" w:w="5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24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Data model &amp; architecture design</w:t>
            </w:r>
          </w:p>
        </w:tc>
        <w:tc>
          <w:tcPr>
            <w:tcW w:type="dxa" w:w="26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This document + Section 7</w:t>
            </w:r>
          </w:p>
        </w:tc>
        <w:tc>
          <w:tcPr>
            <w:tcW w:type="dxa" w:w="3300"/>
            <w:shd w:fill="F2F2F2" w:color="auto" w:val="clear"/>
            <w:tcMar>
              <w:top w:type="dxa" w:w="80"/>
              <w:left w:type="dxa" w:w="100"/>
              <w:bottom w:type="dxa" w:w="80"/>
              <w:right w:type="dxa" w:w="100"/>
            </w:tcMar>
            <w:vAlign w:val="center"/>
          </w:tcPr>
          <w:p>
            <w:pPr>
              <w:jc w:val="left"/>
            </w:pPr>
            <w:r>
              <w:rPr>
                <w:b w:val="false"/>
                <w:bCs w:val="false"/>
                <w:color w:val="000000"/>
                <w:sz w:val="19"/>
                <w:szCs w:val="19"/>
              </w:rPr>
              <w:t xml:space="preserve">The RAW/DEV/PROD contract and the table above are the technical specification the data engineering team implements (see Deliverable B for the dbt realization).</w:t>
            </w:r>
          </w:p>
        </w:tc>
      </w:tr>
    </w:tbl>
    <w:p>
      <w:pPr>
        <w:pStyle w:val="Heading1"/>
        <w:spacing w:after="200" w:before="400"/>
      </w:pPr>
      <w:r>
        <w:rPr>
          <w:b/>
          <w:bCs/>
          <w:color w:val="1F3864"/>
          <w:sz w:val="30"/>
          <w:szCs w:val="30"/>
        </w:rPr>
        <w:t xml:space="preserve">9. Consumption Layer</w:t>
      </w:r>
    </w:p>
    <w:p>
      <w:pPr>
        <w:spacing w:after="160" w:line="276"/>
      </w:pPr>
      <w:r>
        <w:rPr>
          <w:sz w:val="21"/>
          <w:szCs w:val="21"/>
        </w:rPr>
        <w:t xml:space="preserve">Looker Studio connects to PROD directly via BigQuery's native connector (no export step, no intermediate cache service). Refresh cadence is aligned to the underlying data's real cadence rather than a fixed dashboard timer:</w:t>
      </w:r>
    </w:p>
    <w:p>
      <w:pPr>
        <w:pStyle w:val="ListParagraph"/>
        <w:numPr>
          <w:ilvl w:val="0"/>
          <w:numId w:val="2"/>
        </w:numPr>
        <w:spacing w:after="80" w:line="270"/>
      </w:pPr>
      <w:r>
        <w:rPr>
          <w:sz w:val="21"/>
          <w:szCs w:val="21"/>
        </w:rPr>
        <w:t xml:space="preserve">GA4-only widgets (e.g. on-site engagement trends) can refresh every few minutes, matching the near-continuous DEV merge cadence.</w:t>
      </w:r>
    </w:p>
    <w:p>
      <w:pPr>
        <w:pStyle w:val="ListParagraph"/>
        <w:numPr>
          <w:ilvl w:val="0"/>
          <w:numId w:val="2"/>
        </w:numPr>
        <w:spacing w:after="80" w:line="270"/>
      </w:pPr>
      <w:r>
        <w:rPr>
          <w:sz w:val="21"/>
          <w:szCs w:val="21"/>
        </w:rPr>
        <w:t xml:space="preserve">Blended widgets (anything touching fct_campaigns or mart_channel_performance) refresh on the 6-hour Ads cadence, since that is the binding constraint — refreshing faster than spend data changes would just re-render the same numbers.</w:t>
      </w:r>
    </w:p>
    <w:p>
      <w:pPr>
        <w:pStyle w:val="ListParagraph"/>
        <w:numPr>
          <w:ilvl w:val="0"/>
          <w:numId w:val="2"/>
        </w:numPr>
        <w:spacing w:after="80" w:line="270"/>
      </w:pPr>
      <w:r>
        <w:rPr>
          <w:sz w:val="21"/>
          <w:szCs w:val="21"/>
        </w:rPr>
        <w:t xml:space="preserve">A visible "data as of" timestamp, sourced from the metadata field described in Section 2, tells the Director whether they are looking at a finalized or preliminary window.</w:t>
      </w:r>
    </w:p>
    <w:p>
      <w:pPr>
        <w:pStyle w:val="Heading1"/>
        <w:spacing w:after="200" w:before="400"/>
      </w:pPr>
      <w:r>
        <w:rPr>
          <w:b/>
          <w:bCs/>
          <w:color w:val="1F3864"/>
          <w:sz w:val="30"/>
          <w:szCs w:val="30"/>
        </w:rPr>
        <w:t xml:space="preserve">10. Security &amp; Governance</w:t>
      </w:r>
    </w:p>
    <w:p>
      <w:pPr>
        <w:pStyle w:val="ListParagraph"/>
        <w:numPr>
          <w:ilvl w:val="0"/>
          <w:numId w:val="2"/>
        </w:numPr>
        <w:spacing w:after="80" w:line="270"/>
      </w:pPr>
      <w:r>
        <w:rPr>
          <w:sz w:val="21"/>
          <w:szCs w:val="21"/>
        </w:rPr>
        <w:t xml:space="preserve">Dedicated service accounts per component (Cloud Run ingestion, scheduled BigQuery jobs, Looker Studio's BigQuery connection) following least-privilege IAM — no component holds broader project-level access than it needs.</w:t>
      </w:r>
    </w:p>
    <w:p>
      <w:pPr>
        <w:pStyle w:val="ListParagraph"/>
        <w:numPr>
          <w:ilvl w:val="0"/>
          <w:numId w:val="2"/>
        </w:numPr>
        <w:spacing w:after="80" w:line="270"/>
      </w:pPr>
      <w:r>
        <w:rPr>
          <w:sz w:val="21"/>
          <w:szCs w:val="21"/>
        </w:rPr>
        <w:t xml:space="preserve">Cloud Storage buckets and BigQuery datasets encrypted at rest by default (Google-managed keys, with CMEK available if XYZ's compliance requirements call for it).</w:t>
      </w:r>
    </w:p>
    <w:p>
      <w:pPr>
        <w:pStyle w:val="ListParagraph"/>
        <w:numPr>
          <w:ilvl w:val="0"/>
          <w:numId w:val="2"/>
        </w:numPr>
        <w:spacing w:after="80" w:line="270"/>
      </w:pPr>
      <w:r>
        <w:rPr>
          <w:sz w:val="21"/>
          <w:szCs w:val="21"/>
        </w:rPr>
        <w:t xml:space="preserve">PII exposure is limited by design: user_id/session_id stay in RAW/DEV for join and dedup purposes but are excluded from PROD/consumption tables, which operate at campaign/channel grain only.</w:t>
      </w:r>
    </w:p>
    <w:p>
      <w:pPr>
        <w:pStyle w:val="ListParagraph"/>
        <w:numPr>
          <w:ilvl w:val="0"/>
          <w:numId w:val="2"/>
        </w:numPr>
        <w:spacing w:after="80" w:line="270"/>
      </w:pPr>
      <w:r>
        <w:rPr>
          <w:sz w:val="21"/>
          <w:szCs w:val="21"/>
        </w:rPr>
        <w:t xml:space="preserve">Audit logging enabled on BigQuery datasets and Cloud Storage buckets to support the reprocessing/replay guarantees described in Section 5.</w:t>
      </w:r>
    </w:p>
    <w:p>
      <w:pPr>
        <w:pStyle w:val="Heading1"/>
        <w:spacing w:after="200" w:before="400"/>
      </w:pPr>
      <w:r>
        <w:rPr>
          <w:b/>
          <w:bCs/>
          <w:color w:val="1F3864"/>
          <w:sz w:val="30"/>
          <w:szCs w:val="30"/>
        </w:rPr>
        <w:t xml:space="preserve">11. Assumptions &amp; Trade-offs</w:t>
      </w:r>
    </w:p>
    <w:p>
      <w:pPr>
        <w:pStyle w:val="ListParagraph"/>
        <w:numPr>
          <w:ilvl w:val="0"/>
          <w:numId w:val="2"/>
        </w:numPr>
        <w:spacing w:after="80" w:line="270"/>
      </w:pPr>
      <w:r>
        <w:rPr>
          <w:sz w:val="21"/>
          <w:szCs w:val="21"/>
        </w:rPr>
        <w:t xml:space="preserve">Platform delivery SLAs are assumed, not guaranteed: this design assumes Google Ads and Meta Ads deliver each 6h batch within the window's watermark (window_end + grace period) the large majority of the time, and that a redelivered/corrected window arrives as a distinguishable, re-mergeable file rather than a silent overwrite. Real-world behavior should be observed for a few weeks post-launch and the watermark/grace-period constants in Section 5.2 retuned against it — a platform that routinely corrects a window days later would need a longer reprocessing tolerance than the 60-minute default assumed here.</w:t>
      </w:r>
    </w:p>
    <w:p>
      <w:pPr>
        <w:pStyle w:val="ListParagraph"/>
        <w:numPr>
          <w:ilvl w:val="0"/>
          <w:numId w:val="2"/>
        </w:numPr>
        <w:spacing w:after="80" w:line="270"/>
      </w:pPr>
      <w:r>
        <w:rPr>
          <w:sz w:val="21"/>
          <w:szCs w:val="21"/>
        </w:rPr>
        <w:t xml:space="preserve">This design assumes BigQuery's materialized views support the filter/aggregate pattern each DEV table needs (Section 4.1/4.3) at implementation time; if a specific case is unsupported, the fallback (a scheduled query with the same MERGE contract) preserves every other guarantee in this document — see the callout in Section 4.3.</w:t>
      </w:r>
    </w:p>
    <w:p>
      <w:pPr>
        <w:pStyle w:val="ListParagraph"/>
        <w:numPr>
          <w:ilvl w:val="0"/>
          <w:numId w:val="2"/>
        </w:numPr>
        <w:spacing w:after="80" w:line="270"/>
      </w:pPr>
      <w:r>
        <w:rPr>
          <w:sz w:val="21"/>
          <w:szCs w:val="21"/>
        </w:rPr>
        <w:t xml:space="preserve">Assumes GA4's campaign_id attribution field is populated consistently enough to join to Ads campaign_id (post GADS_/META_ prefix normalization); if attribution coverage is low, Section 8's Question 3 leans more heavily on channel_grouping than on a direct campaign join.</w:t>
      </w:r>
    </w:p>
    <w:p>
      <w:pPr>
        <w:pStyle w:val="ListParagraph"/>
        <w:numPr>
          <w:ilvl w:val="0"/>
          <w:numId w:val="2"/>
        </w:numPr>
        <w:spacing w:after="80" w:line="270"/>
      </w:pPr>
      <w:r>
        <w:rPr>
          <w:sz w:val="21"/>
          <w:szCs w:val="21"/>
        </w:rPr>
        <w:t xml:space="preserve">The 60-minute watermark grace period is a starting point, not a fixed constant — it should be tuned against observed GA4 late-arrival distribution once real traffic is available.</w:t>
      </w:r>
    </w:p>
    <w:p>
      <w:pPr>
        <w:pStyle w:val="ListParagraph"/>
        <w:numPr>
          <w:ilvl w:val="0"/>
          <w:numId w:val="2"/>
        </w:numPr>
        <w:spacing w:after="80" w:line="270"/>
      </w:pPr>
      <w:r>
        <w:rPr>
          <w:sz w:val="21"/>
          <w:szCs w:val="21"/>
        </w:rPr>
        <w:t xml:space="preserve">Cloud Run was chosen over Dataflow for batch ingestion because the workload is small (4 files per campaign per day) and bursty rather than continuous; if the campaign count grows by an order of magnitude, a Dataflow batch pipeline becomes the better cost/latency trade-off.</w:t>
      </w:r>
    </w:p>
    <w:p>
      <w:pPr>
        <w:pStyle w:val="ListParagraph"/>
        <w:numPr>
          <w:ilvl w:val="0"/>
          <w:numId w:val="2"/>
        </w:numPr>
        <w:spacing w:after="80" w:line="270"/>
      </w:pPr>
      <w:r>
        <w:rPr>
          <w:sz w:val="21"/>
          <w:szCs w:val="21"/>
        </w:rPr>
        <w:t xml:space="preserve">This design assumes BigQuery scheduled queries / Cloud Composer (not dbt) orchestrate the GCP-side transformations, since Deliverable B is where dbt is evaluated; the DEV/PROD table contracts above are written so that a dbt implementation on BigQuery would be a drop-in replacement for the scheduled-query approach if XYZ standardizes on dbt across environments.</w:t>
      </w:r>
    </w:p>
    <w:p>
      <w:pPr>
        <w:pStyle w:val="Heading1"/>
        <w:spacing w:after="200" w:before="400"/>
      </w:pPr>
      <w:r>
        <w:rPr>
          <w:b/>
          <w:bCs/>
          <w:color w:val="1F3864"/>
          <w:sz w:val="30"/>
          <w:szCs w:val="30"/>
        </w:rPr>
        <w:t xml:space="preserve">12. Conclusion</w:t>
      </w:r>
    </w:p>
    <w:p>
      <w:pPr>
        <w:spacing w:after="160" w:line="276"/>
      </w:pPr>
      <w:r>
        <w:rPr>
          <w:sz w:val="21"/>
          <w:szCs w:val="21"/>
        </w:rPr>
        <w:t xml:space="preserve">This architecture gives XYZ one governed path from three sources of truth to one dashboard-ready table, without forcing the fast-moving GA4 stream to wait for Ads batches or forcing Ads spend to be reported before it is complete. The RAW/DEV/PROD contract, the shared 6h-window grain, and idempotent MERGE-based reprocessing are the three mechanisms that make the streaming/batch reconciliation safe and repeatable — and they are the same mechanisms carried forward into the dbt-on-Postgres implementation in Deliverable 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XYZ × .Monks — Deliverable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a0dc6b4ec180fe22a7ada3c5e36f5b393769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2026-09-09T00:46:22.199Z</dcterms:created>
  <dcterms:modified xsi:type="dcterms:W3CDTF">2026-09-09T00:46:22.211Z</dcterms:modified>
</cp:coreProperties>
</file>

<file path=docProps/custom.xml><?xml version="1.0" encoding="utf-8"?>
<Properties xmlns="http://schemas.openxmlformats.org/officeDocument/2006/custom-properties" xmlns:vt="http://schemas.openxmlformats.org/officeDocument/2006/docPropsVTypes"/>
</file>