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Proposal: National Heat Resilience Framework</w:t>
      </w:r>
    </w:p>
    <w:p>
      <w:r>
        <w:t>Draft for inter-agency consultation — for discussion only</w:t>
      </w:r>
    </w:p>
    <w:p>
      <w:pPr>
        <w:pStyle w:val="Heading1"/>
      </w:pPr>
      <w:r>
        <w:t>1. Background</w:t>
      </w:r>
    </w:p>
    <w:p>
      <w:r>
        <w:t>Singapore is warming at roughly twice the global average rate. Days above 35°C, once rare, are projected to occur on up to 41 days a year by 2045. The urban heat island effect adds a further 2–4°C in dense districts such as Ang Mo Kio, Jurong East and the CBD.</w:t>
      </w:r>
    </w:p>
    <w:p>
      <w:r>
        <w:t>Heat stress is already affecting health and productivity. Heat-related emergency department visits rose by about 30% between 2019 and 2025. Outdoor workers in construction, marine, landscaping and delivery work bear most of the risk; many are migrant workers housed in dormitories without air-conditioning.</w:t>
      </w:r>
    </w:p>
    <w:p>
      <w:pPr>
        <w:pStyle w:val="Heading1"/>
      </w:pPr>
      <w:r>
        <w:t>2. Objectives</w:t>
      </w:r>
    </w:p>
    <w:p>
      <w:r>
        <w:t>(a) Cut heat-related illness among outdoor workers by 50% by 2030.</w:t>
      </w:r>
    </w:p>
    <w:p>
      <w:r>
        <w:t>(b) Lower peak daytime surface temperatures in the ten hottest HDB towns by 2°C by 2035.</w:t>
      </w:r>
    </w:p>
    <w:p>
      <w:r>
        <w:t>(c) Protect productivity and keep major infrastructure projects on schedule despite rising temperatures.</w:t>
      </w:r>
    </w:p>
    <w:p>
      <w:pPr>
        <w:pStyle w:val="Heading1"/>
      </w:pPr>
      <w:r>
        <w:t>3. Key Measures</w:t>
      </w:r>
    </w:p>
    <w:p>
      <w:pPr>
        <w:pStyle w:val="Heading2"/>
      </w:pPr>
      <w:r>
        <w:t>Measure A — Mandatory Work-Rest Cycles</w:t>
      </w:r>
    </w:p>
    <w:p>
      <w:r>
        <w:t>When the Wet Bulb Globe Temperature (WBGT) reaches 33°C, employers of outdoor workers must provide a 15-minute rest in shade every hour, and heavy physical work must stop between 12pm and 3pm.</w:t>
      </w:r>
    </w:p>
    <w:p>
      <w:r>
        <w:t>NEA's sensor network will issue WBGT readings for each district, and employers must check them. Breaches will carry fines of up to $20,000 per offence, and repeat offenders will lose eligibility for work permits.</w:t>
      </w:r>
    </w:p>
    <w:p>
      <w:r>
        <w:t>MOM estimates the measure will cut working hours in construction by 5–8% during the hottest months (April–September).</w:t>
      </w:r>
    </w:p>
    <w:p>
      <w:pPr>
        <w:pStyle w:val="Heading2"/>
      </w:pPr>
      <w:r>
        <w:t>Measure B — Dormitory Cooling Standard</w:t>
      </w:r>
    </w:p>
    <w:p>
      <w:r>
        <w:t>All purpose-built dormitories must keep indoor night-time temperatures at or below 28°C by 2028, using air-conditioning, improved ventilation or passive cooling. Operators may pass up to 40% of the cost on to employers through higher bed rates.</w:t>
      </w:r>
    </w:p>
    <w:p>
      <w:pPr>
        <w:pStyle w:val="Heading2"/>
      </w:pPr>
      <w:r>
        <w:t>Measure C — Urban Cooling Levy</w:t>
      </w:r>
    </w:p>
    <w:p>
      <w:r>
        <w:t>New commercial developments above 20,000 sqm GFA will pay a one-off Urban Cooling Levy of $15 per sqm unless they meet a Cool Building Standard (reflective roofs, vertical greenery, shaded walkways).</w:t>
      </w:r>
    </w:p>
    <w:p>
      <w:r>
        <w:t>The levy is expected to raise about $180 million a year, ring-fenced for a Cooling Fund that pays for tree planting, shaded linkways and cool-paint retrofits in HDB estates.</w:t>
      </w:r>
    </w:p>
    <w:p>
      <w:pPr>
        <w:pStyle w:val="Heading2"/>
      </w:pPr>
      <w:r>
        <w:t>Measure D — Heat Alert System for Vulnerable Residents</w:t>
      </w:r>
    </w:p>
    <w:p>
      <w:r>
        <w:t>A tiered public heat-alert system (Advisory / Warning / Emergency) delivered via SGSecure, LifeSG and SMS. During Emergency alerts, community centres will become cooling centres open until 10pm.</w:t>
      </w:r>
    </w:p>
    <w:p>
      <w:r>
        <w:t>Through a voluntary register, seniors living alone (around 79,000 people) will receive check-in calls from Active Ageing Centres. The register will draw on existing data held by MSF, MOH and the People's Association.</w:t>
      </w:r>
    </w:p>
    <w:p>
      <w:pPr>
        <w:pStyle w:val="Heading2"/>
      </w:pPr>
      <w:r>
        <w:t>Measure E — Shifted Hours Pilot</w:t>
      </w:r>
    </w:p>
    <w:p>
      <w:r>
        <w:t>A two-year pilot letting public-sector outdoor teams (e.g., NParks, town councils) start at 6am and finish by 2pm. Public bus timetables on selected routes would add early-morning frequency to match.</w:t>
      </w:r>
    </w:p>
    <w:p>
      <w:r>
        <w:t>Schools will review outdoor PE and CCA timing, and NAPFA testing will move to the cooler months.</w:t>
      </w:r>
    </w:p>
    <w:p>
      <w:pPr>
        <w:pStyle w:val="Heading1"/>
      </w:pPr>
      <w:r>
        <w:t>4. Costs and Funding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Est. annual cost</w:t>
            </w:r>
          </w:p>
        </w:tc>
        <w:tc>
          <w:tcPr>
            <w:tcW w:type="dxa" w:w="2880"/>
          </w:tcPr>
          <w:p>
            <w:r>
              <w:t>Funding source</w:t>
            </w:r>
          </w:p>
        </w:tc>
      </w:tr>
      <w:tr>
        <w:tc>
          <w:tcPr>
            <w:tcW w:type="dxa" w:w="2880"/>
          </w:tcPr>
          <w:p>
            <w:r>
              <w:t>Dormitory cooling (gov't share)</w:t>
            </w:r>
          </w:p>
        </w:tc>
        <w:tc>
          <w:tcPr>
            <w:tcW w:type="dxa" w:w="2880"/>
          </w:tcPr>
          <w:p>
            <w:r>
              <w:t>$60m</w:t>
            </w:r>
          </w:p>
        </w:tc>
        <w:tc>
          <w:tcPr>
            <w:tcW w:type="dxa" w:w="2880"/>
          </w:tcPr>
          <w:p>
            <w:r>
              <w:t>Budget / MOM</w:t>
            </w:r>
          </w:p>
        </w:tc>
      </w:tr>
      <w:tr>
        <w:tc>
          <w:tcPr>
            <w:tcW w:type="dxa" w:w="2880"/>
          </w:tcPr>
          <w:p>
            <w:r>
              <w:t>Cooling Fund projects</w:t>
            </w:r>
          </w:p>
        </w:tc>
        <w:tc>
          <w:tcPr>
            <w:tcW w:type="dxa" w:w="2880"/>
          </w:tcPr>
          <w:p>
            <w:r>
              <w:t>$180m</w:t>
            </w:r>
          </w:p>
        </w:tc>
        <w:tc>
          <w:tcPr>
            <w:tcW w:type="dxa" w:w="2880"/>
          </w:tcPr>
          <w:p>
            <w:r>
              <w:t>Urban Cooling Levy</w:t>
            </w:r>
          </w:p>
        </w:tc>
      </w:tr>
      <w:tr>
        <w:tc>
          <w:tcPr>
            <w:tcW w:type="dxa" w:w="2880"/>
          </w:tcPr>
          <w:p>
            <w:r>
              <w:t>Heat alert system &amp; cooling centres</w:t>
            </w:r>
          </w:p>
        </w:tc>
        <w:tc>
          <w:tcPr>
            <w:tcW w:type="dxa" w:w="2880"/>
          </w:tcPr>
          <w:p>
            <w:r>
              <w:t>$25m</w:t>
            </w:r>
          </w:p>
        </w:tc>
        <w:tc>
          <w:tcPr>
            <w:tcW w:type="dxa" w:w="2880"/>
          </w:tcPr>
          <w:p>
            <w:r>
              <w:t>Budget / MSF, PA</w:t>
            </w:r>
          </w:p>
        </w:tc>
      </w:tr>
      <w:tr>
        <w:tc>
          <w:tcPr>
            <w:tcW w:type="dxa" w:w="2880"/>
          </w:tcPr>
          <w:p>
            <w:r>
              <w:t>Enforcement &amp; WBGT network</w:t>
            </w:r>
          </w:p>
        </w:tc>
        <w:tc>
          <w:tcPr>
            <w:tcW w:type="dxa" w:w="2880"/>
          </w:tcPr>
          <w:p>
            <w:r>
              <w:t>$15m</w:t>
            </w:r>
          </w:p>
        </w:tc>
        <w:tc>
          <w:tcPr>
            <w:tcW w:type="dxa" w:w="2880"/>
          </w:tcPr>
          <w:p>
            <w:r>
              <w:t>Budget / MOM, NEA</w:t>
            </w:r>
          </w:p>
        </w:tc>
      </w:tr>
      <w:tr>
        <w:tc>
          <w:tcPr>
            <w:tcW w:type="dxa" w:w="2880"/>
          </w:tcPr>
          <w:p>
            <w:r>
              <w:t>Productivity support grant for SMEs</w:t>
            </w:r>
          </w:p>
        </w:tc>
        <w:tc>
          <w:tcPr>
            <w:tcW w:type="dxa" w:w="2880"/>
          </w:tcPr>
          <w:p>
            <w:r>
              <w:t>$90m</w:t>
            </w:r>
          </w:p>
        </w:tc>
        <w:tc>
          <w:tcPr>
            <w:tcW w:type="dxa" w:w="2880"/>
          </w:tcPr>
          <w:p>
            <w:r>
              <w:t>Budget / MTI (3-year sunset)</w:t>
            </w:r>
          </w:p>
        </w:tc>
      </w:tr>
    </w:tbl>
    <w:p>
      <w:r>
        <w:t>Total estimated net cost to Government: about $190 million a year, once the levy's revenue is counted.</w:t>
      </w:r>
    </w:p>
    <w:p>
      <w:pPr>
        <w:pStyle w:val="Heading1"/>
      </w:pPr>
      <w:r>
        <w:t>5. Known Risks and Open Questions</w:t>
      </w:r>
    </w:p>
    <w:p>
      <w:pPr>
        <w:pStyle w:val="ListBullet"/>
      </w:pPr>
      <w:r>
        <w:t>Construction industry groups warn of project delays and cost increases of 3–6%, which may push up BTO prices.</w:t>
      </w:r>
    </w:p>
    <w:p>
      <w:pPr>
        <w:pStyle w:val="ListBullet"/>
      </w:pPr>
      <w:r>
        <w:t>Dormitory operators argue the 2028 deadline is unrealistic given grid-capacity limits and supply-chain constraints.</w:t>
      </w:r>
    </w:p>
    <w:p>
      <w:pPr>
        <w:pStyle w:val="ListBullet"/>
      </w:pPr>
      <w:r>
        <w:t>Developers may argue the Cooling Levy harms Singapore's competitiveness compared with regional hubs.</w:t>
      </w:r>
    </w:p>
    <w:p>
      <w:pPr>
        <w:pStyle w:val="ListBullet"/>
      </w:pPr>
      <w:r>
        <w:t>Using data from several agencies for the vulnerable-residents register raises consent and data-governance questions under the PDPA framework for public agencies.</w:t>
      </w:r>
    </w:p>
    <w:p>
      <w:pPr>
        <w:pStyle w:val="ListBullet"/>
      </w:pPr>
      <w:r>
        <w:t>More air-conditioning will raise electricity demand and carbon emissions, which works against Green Plan 2030 targets.</w:t>
      </w:r>
    </w:p>
    <w:p>
      <w:pPr>
        <w:pStyle w:val="ListBullet"/>
      </w:pPr>
      <w:r>
        <w:t>Gig-economy delivery riders are not employees, so Measure A may not cover them.</w:t>
      </w:r>
    </w:p>
    <w:p>
      <w:pPr>
        <w:pStyle w:val="Heading1"/>
      </w:pPr>
      <w:r>
        <w:t>6. Implementation Timeline</w:t>
      </w:r>
    </w:p>
    <w:p>
      <w:pPr>
        <w:pStyle w:val="ListBullet"/>
      </w:pPr>
      <w:r>
        <w:t>Q1 2027 — Public consultation; legislative amendments to the Workplace Safety and Health Act</w:t>
      </w:r>
    </w:p>
    <w:p>
      <w:pPr>
        <w:pStyle w:val="ListBullet"/>
      </w:pPr>
      <w:r>
        <w:t>Q3 2027 — Measures A and D begin</w:t>
      </w:r>
    </w:p>
    <w:p>
      <w:pPr>
        <w:pStyle w:val="ListBullet"/>
      </w:pPr>
      <w:r>
        <w:t>2028 — Dormitory Cooling Standard deadline; Urban Cooling Levy begins</w:t>
      </w:r>
    </w:p>
    <w:p>
      <w:pPr>
        <w:pStyle w:val="ListBullet"/>
      </w:pPr>
      <w:r>
        <w:t>2027–2029 — Shifted Hours Pilot, then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