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МВД России от 14.06.2018 N 370</w:t>
              <w:br/>
              <w:t xml:space="preserve">(ред. от 23.12.2022)</w:t>
              <w:br/>
              <w:t xml:space="preserve">"Об утверждении Инструкции по организации деятельности военно-врачебных комиссий в системе Министерства внутренних дел Российской Федерации"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2"/>
        <w:outlineLvl w:val="0"/>
        <w:jc w:val="center"/>
      </w:pPr>
      <w:r>
        <w:rPr>
          <w:sz w:val="20"/>
        </w:rPr>
        <w:t xml:space="preserve">МИНИСТЕРСТВО ВНУТРЕННИХ ДЕЛ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14 июня 2018 г. N 370</w:t>
      </w:r>
    </w:p>
    <w:p>
      <w:pPr>
        <w:pStyle w:val="2"/>
        <w:jc w:val="center"/>
      </w:pPr>
      <w:r>
        <w:rPr>
          <w:sz w:val="20"/>
        </w:rPr>
      </w:r>
    </w:p>
    <w:p>
      <w:pPr>
        <w:pStyle w:val="2"/>
        <w:jc w:val="center"/>
      </w:pPr>
      <w:r>
        <w:rPr>
          <w:sz w:val="20"/>
        </w:rPr>
        <w:t xml:space="preserve">ОБ УТВЕРЖДЕНИИ ИНСТРУКЦИИ</w:t>
      </w:r>
    </w:p>
    <w:p>
      <w:pPr>
        <w:pStyle w:val="2"/>
        <w:jc w:val="center"/>
      </w:pPr>
      <w:r>
        <w:rPr>
          <w:sz w:val="20"/>
        </w:rPr>
        <w:t xml:space="preserve">ПО ОРГАНИЗАЦИИ ДЕЯТЕЛЬНОСТИ ВОЕННО-ВРАЧЕБНЫХ КОМИССИЙ</w:t>
      </w:r>
    </w:p>
    <w:p>
      <w:pPr>
        <w:pStyle w:val="2"/>
        <w:jc w:val="center"/>
      </w:pPr>
      <w:r>
        <w:rPr>
          <w:sz w:val="20"/>
        </w:rPr>
        <w:t xml:space="preserve">В СИСТЕМЕ МИНИСТЕРСТВА ВНУТРЕННИХ ДЕЛ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8"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Приказа</w:t>
              </w:r>
            </w:hyperlink>
            <w:r>
              <w:rPr>
                <w:sz w:val="20"/>
                <w:color w:val="392c69"/>
              </w:rPr>
              <w:t xml:space="preserve"> МВД России от 23.12.2022 N 989)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В целях совершенствования деятельности военно-врачебных комиссий в системе Министерства внутренних дел Российской Федерации, а также в соответствии с </w:t>
      </w:r>
      <w:hyperlink w:history="0" r:id="rId9"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Положением</w:t>
        </w:r>
      </w:hyperlink>
      <w:r>
        <w:rPr>
          <w:sz w:val="20"/>
        </w:rPr>
        <w:t xml:space="preserve"> о военно-врачебной экспертизе, утвержденным постановлением Правительства Российской Федерации от 4 июля 2013 г. N 565 &lt;1&gt;, приказываю:</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Собрание законодательства Российской Федерации, 2013, N 28, ст. 3831; 2015, N 21, ст. 3115; 2017, N 15, ст. 2196; 2018, N 14, ст. 1969.</w:t>
      </w:r>
    </w:p>
    <w:p>
      <w:pPr>
        <w:pStyle w:val="0"/>
        <w:jc w:val="both"/>
      </w:pPr>
      <w:r>
        <w:rPr>
          <w:sz w:val="20"/>
        </w:rPr>
      </w:r>
    </w:p>
    <w:p>
      <w:pPr>
        <w:pStyle w:val="0"/>
        <w:ind w:firstLine="540"/>
        <w:jc w:val="both"/>
      </w:pPr>
      <w:r>
        <w:rPr>
          <w:sz w:val="20"/>
        </w:rPr>
        <w:t xml:space="preserve">Утвердить прилагаемую </w:t>
      </w:r>
      <w:hyperlink w:history="0" w:anchor="P31" w:tooltip="ИНСТРУКЦИЯ">
        <w:r>
          <w:rPr>
            <w:sz w:val="20"/>
            <w:color w:val="0000ff"/>
          </w:rPr>
          <w:t xml:space="preserve">Инструкцию</w:t>
        </w:r>
      </w:hyperlink>
      <w:r>
        <w:rPr>
          <w:sz w:val="20"/>
        </w:rPr>
        <w:t xml:space="preserve"> по организации деятельности военно-врачебных комиссий в системе Министерства внутренних дел Российской Федерации.</w:t>
      </w:r>
    </w:p>
    <w:p>
      <w:pPr>
        <w:pStyle w:val="0"/>
        <w:jc w:val="both"/>
      </w:pPr>
      <w:r>
        <w:rPr>
          <w:sz w:val="20"/>
        </w:rPr>
      </w:r>
    </w:p>
    <w:p>
      <w:pPr>
        <w:pStyle w:val="0"/>
        <w:jc w:val="right"/>
      </w:pPr>
      <w:r>
        <w:rPr>
          <w:sz w:val="20"/>
        </w:rPr>
        <w:t xml:space="preserve">Министр</w:t>
      </w:r>
    </w:p>
    <w:p>
      <w:pPr>
        <w:pStyle w:val="0"/>
        <w:jc w:val="right"/>
      </w:pPr>
      <w:r>
        <w:rPr>
          <w:sz w:val="20"/>
        </w:rPr>
        <w:t xml:space="preserve">генерал полиции</w:t>
      </w:r>
    </w:p>
    <w:p>
      <w:pPr>
        <w:pStyle w:val="0"/>
        <w:jc w:val="right"/>
      </w:pPr>
      <w:r>
        <w:rPr>
          <w:sz w:val="20"/>
        </w:rPr>
        <w:t xml:space="preserve">Российской Федерации</w:t>
      </w:r>
    </w:p>
    <w:p>
      <w:pPr>
        <w:pStyle w:val="0"/>
        <w:jc w:val="right"/>
      </w:pPr>
      <w:r>
        <w:rPr>
          <w:sz w:val="20"/>
        </w:rPr>
        <w:t xml:space="preserve">В.КОЛОКОЛЬЦЕВ</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w:t>
      </w:r>
    </w:p>
    <w:p>
      <w:pPr>
        <w:pStyle w:val="0"/>
        <w:jc w:val="right"/>
      </w:pPr>
      <w:r>
        <w:rPr>
          <w:sz w:val="20"/>
        </w:rPr>
        <w:t xml:space="preserve">к приказу МВД России</w:t>
      </w:r>
    </w:p>
    <w:p>
      <w:pPr>
        <w:pStyle w:val="0"/>
        <w:jc w:val="right"/>
      </w:pPr>
      <w:r>
        <w:rPr>
          <w:sz w:val="20"/>
        </w:rPr>
        <w:t xml:space="preserve">от 14.06.2018 N 370</w:t>
      </w:r>
    </w:p>
    <w:p>
      <w:pPr>
        <w:pStyle w:val="0"/>
        <w:jc w:val="both"/>
      </w:pPr>
      <w:r>
        <w:rPr>
          <w:sz w:val="20"/>
        </w:rPr>
      </w:r>
    </w:p>
    <w:bookmarkStart w:id="31" w:name="P31"/>
    <w:bookmarkEnd w:id="31"/>
    <w:p>
      <w:pPr>
        <w:pStyle w:val="2"/>
        <w:jc w:val="center"/>
      </w:pPr>
      <w:r>
        <w:rPr>
          <w:sz w:val="20"/>
        </w:rPr>
        <w:t xml:space="preserve">ИНСТРУКЦИЯ</w:t>
      </w:r>
    </w:p>
    <w:p>
      <w:pPr>
        <w:pStyle w:val="2"/>
        <w:jc w:val="center"/>
      </w:pPr>
      <w:r>
        <w:rPr>
          <w:sz w:val="20"/>
        </w:rPr>
        <w:t xml:space="preserve">ПО ОРГАНИЗАЦИИ ДЕЯТЕЛЬНОСТИ ВОЕННО-ВРАЧЕБНЫХ КОМИССИЙ</w:t>
      </w:r>
    </w:p>
    <w:p>
      <w:pPr>
        <w:pStyle w:val="2"/>
        <w:jc w:val="center"/>
      </w:pPr>
      <w:r>
        <w:rPr>
          <w:sz w:val="20"/>
        </w:rPr>
        <w:t xml:space="preserve">В СИСТЕМЕ МИНИСТЕРСТВА ВНУТРЕННИХ ДЕЛ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0"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Приказа</w:t>
              </w:r>
            </w:hyperlink>
            <w:r>
              <w:rPr>
                <w:sz w:val="20"/>
                <w:color w:val="392c69"/>
              </w:rPr>
              <w:t xml:space="preserve"> МВД России от 23.12.2022 N 989)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Настоящая Инструкция определяет организацию деятельности военно-врачебных комиссий в системе Министерства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"МВД России".</w:t>
      </w:r>
    </w:p>
    <w:p>
      <w:pPr>
        <w:pStyle w:val="0"/>
        <w:jc w:val="both"/>
      </w:pPr>
      <w:r>
        <w:rPr>
          <w:sz w:val="20"/>
        </w:rPr>
      </w:r>
    </w:p>
    <w:p>
      <w:pPr>
        <w:pStyle w:val="0"/>
        <w:ind w:firstLine="540"/>
        <w:jc w:val="both"/>
      </w:pPr>
      <w:r>
        <w:rPr>
          <w:sz w:val="20"/>
        </w:rPr>
        <w:t xml:space="preserve">2. Для проведения военно-врачебной экспертизы &lt;2&gt; в системе МВД России создаются: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"ВВЭ".</w:t>
      </w:r>
    </w:p>
    <w:p>
      <w:pPr>
        <w:pStyle w:val="0"/>
        <w:jc w:val="both"/>
      </w:pPr>
      <w:r>
        <w:rPr>
          <w:sz w:val="20"/>
        </w:rPr>
      </w:r>
    </w:p>
    <w:p>
      <w:pPr>
        <w:pStyle w:val="0"/>
        <w:ind w:firstLine="540"/>
        <w:jc w:val="both"/>
      </w:pPr>
      <w:r>
        <w:rPr>
          <w:sz w:val="20"/>
        </w:rPr>
        <w:t xml:space="preserve">2.1. Центральная военно-врачебная комиссия федерального казенного учреждения здравоохранения "Центральная медико-санитарная часть Министерства внутренних дел Российской Федерации"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"ЦВВК ФКУЗ "ЦМСЧ МВД России".</w:t>
      </w:r>
    </w:p>
    <w:p>
      <w:pPr>
        <w:pStyle w:val="0"/>
        <w:jc w:val="both"/>
      </w:pPr>
      <w:r>
        <w:rPr>
          <w:sz w:val="20"/>
        </w:rPr>
      </w:r>
    </w:p>
    <w:p>
      <w:pPr>
        <w:pStyle w:val="0"/>
        <w:ind w:firstLine="540"/>
        <w:jc w:val="both"/>
      </w:pPr>
      <w:r>
        <w:rPr>
          <w:sz w:val="20"/>
        </w:rPr>
        <w:t xml:space="preserve">2.2. Военно-врачебные комиссии федеральных казенных учреждений здравоохранения медико-санитарных частей Министерства внутренних дел Российской Федерации по субъектам Российской Федерации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"ВВК МСЧ МВД России".</w:t>
      </w:r>
    </w:p>
    <w:p>
      <w:pPr>
        <w:pStyle w:val="0"/>
        <w:jc w:val="both"/>
      </w:pPr>
      <w:r>
        <w:rPr>
          <w:sz w:val="20"/>
        </w:rPr>
      </w:r>
    </w:p>
    <w:p>
      <w:pPr>
        <w:pStyle w:val="0"/>
        <w:ind w:firstLine="540"/>
        <w:jc w:val="both"/>
      </w:pPr>
      <w:r>
        <w:rPr>
          <w:sz w:val="20"/>
        </w:rPr>
        <w:t xml:space="preserve">2.3. Военно-врачебные комиссии структурных подразделений федеральных казенных учреждений здравоохранения медико-санитарных частей Министерства внутренних дел Российской Федерации по субъектам Российской Федерации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Далее - "ВВК структурного подразделения МСЧ МВД России".</w:t>
      </w:r>
    </w:p>
    <w:p>
      <w:pPr>
        <w:pStyle w:val="0"/>
        <w:jc w:val="both"/>
      </w:pPr>
      <w:r>
        <w:rPr>
          <w:sz w:val="20"/>
        </w:rPr>
      </w:r>
    </w:p>
    <w:p>
      <w:pPr>
        <w:pStyle w:val="0"/>
        <w:ind w:firstLine="540"/>
        <w:jc w:val="both"/>
      </w:pPr>
      <w:r>
        <w:rPr>
          <w:sz w:val="20"/>
        </w:rPr>
        <w:t xml:space="preserve">2.4. Военно-врачебная комиссия федерального казенного учреждения здравоохранения "Главный клинический госпиталь Министерства внутренних дел Российской Федерации" и военно-врачебная комиссия федерального казенного учреждения здравоохранения "Центральная клиническая больница Министерства внутренних дел Российской Федерации"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Далее - "госпитальная ВВК".</w:t>
      </w:r>
    </w:p>
    <w:p>
      <w:pPr>
        <w:pStyle w:val="0"/>
        <w:jc w:val="both"/>
      </w:pPr>
      <w:r>
        <w:rPr>
          <w:sz w:val="20"/>
        </w:rPr>
      </w:r>
    </w:p>
    <w:p>
      <w:pPr>
        <w:pStyle w:val="0"/>
        <w:ind w:firstLine="540"/>
        <w:jc w:val="both"/>
      </w:pPr>
      <w:r>
        <w:rPr>
          <w:sz w:val="20"/>
        </w:rPr>
        <w:t xml:space="preserve">2.5. Ежегодно (на определенный период) для проведения окончательного медицинского освидетельствования &lt;7&gt; граждан, поступающих в образовательные организации, находящиеся в ведении МВД России &lt;8&gt;: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&lt;7&gt; Далее - "освидетельствование".</w:t>
      </w:r>
    </w:p>
    <w:p>
      <w:pPr>
        <w:pStyle w:val="0"/>
        <w:spacing w:before="200" w:lineRule="auto"/>
        <w:ind w:firstLine="540"/>
        <w:jc w:val="both"/>
      </w:pPr>
      <w:r>
        <w:rPr>
          <w:sz w:val="20"/>
        </w:rPr>
        <w:t xml:space="preserve">&lt;8&gt; Далее - "образовательная организация".</w:t>
      </w:r>
    </w:p>
    <w:p>
      <w:pPr>
        <w:pStyle w:val="0"/>
        <w:jc w:val="both"/>
      </w:pPr>
      <w:r>
        <w:rPr>
          <w:sz w:val="20"/>
        </w:rPr>
      </w:r>
    </w:p>
    <w:p>
      <w:pPr>
        <w:pStyle w:val="0"/>
        <w:ind w:firstLine="540"/>
        <w:jc w:val="both"/>
      </w:pPr>
      <w:r>
        <w:rPr>
          <w:sz w:val="20"/>
        </w:rPr>
        <w:t xml:space="preserve">2.5.1. Военно-врачебные комиссии образовательных организаций и их филиалов &lt;9&gt;.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&lt;9&gt; Далее - "ВВК образовательной организации (филиала)".</w:t>
      </w:r>
    </w:p>
    <w:p>
      <w:pPr>
        <w:pStyle w:val="0"/>
        <w:jc w:val="both"/>
      </w:pPr>
      <w:r>
        <w:rPr>
          <w:sz w:val="20"/>
        </w:rPr>
      </w:r>
    </w:p>
    <w:p>
      <w:pPr>
        <w:pStyle w:val="0"/>
        <w:ind w:firstLine="540"/>
        <w:jc w:val="both"/>
      </w:pPr>
      <w:r>
        <w:rPr>
          <w:sz w:val="20"/>
        </w:rPr>
        <w:t xml:space="preserve">2.5.2. Военно-врачебная комиссия федерального государственного казенного образовательного учреждения высшего образования "Московский университет Министерства внутренних дел Российской Федерации имени В.Я. Кикотя" &lt;1&gt; (за исключением филиалов МосУ МВД России имени В.Я. Кикотя).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"ВВК МосУ МВД России имени В.Я. Кикотя".</w:t>
      </w:r>
    </w:p>
    <w:p>
      <w:pPr>
        <w:pStyle w:val="0"/>
        <w:jc w:val="both"/>
      </w:pPr>
      <w:r>
        <w:rPr>
          <w:sz w:val="20"/>
        </w:rPr>
      </w:r>
    </w:p>
    <w:p>
      <w:pPr>
        <w:pStyle w:val="0"/>
        <w:ind w:firstLine="540"/>
        <w:jc w:val="both"/>
      </w:pPr>
      <w:r>
        <w:rPr>
          <w:sz w:val="20"/>
        </w:rPr>
        <w:t xml:space="preserve">3. Состав врачей-специалистов, включаемых в состав военно-врачебных комиссий &lt;2&gt; для проведения освидетельствования, определяется в соответствии с </w:t>
      </w:r>
      <w:hyperlink w:history="0" r:id="rId11"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пунктами 28</w:t>
        </w:r>
      </w:hyperlink>
      <w:r>
        <w:rPr>
          <w:sz w:val="20"/>
        </w:rPr>
        <w:t xml:space="preserve"> и </w:t>
      </w:r>
      <w:hyperlink w:history="0" r:id="rId12"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41</w:t>
        </w:r>
      </w:hyperlink>
      <w:r>
        <w:rPr>
          <w:sz w:val="20"/>
        </w:rPr>
        <w:t xml:space="preserve"> Положения о военно-врачебной экспертизе, утвержденного постановлением Правительства Российской Федерации от 4 июля 2013 г. N 565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"ВВК".</w:t>
      </w:r>
    </w:p>
    <w:p>
      <w:pPr>
        <w:pStyle w:val="0"/>
        <w:spacing w:before="200" w:lineRule="auto"/>
        <w:ind w:firstLine="540"/>
        <w:jc w:val="both"/>
      </w:pPr>
      <w:r>
        <w:rPr>
          <w:sz w:val="20"/>
        </w:rPr>
        <w:t xml:space="preserve">&lt;3&gt; Собрание законодательства Российской Федерации, 2013, N 28, ст. 3831; 2014, N 41, ст. 5537; 2016, N 31, ст. 5016. Далее - "Положение".</w:t>
      </w:r>
    </w:p>
    <w:p>
      <w:pPr>
        <w:pStyle w:val="0"/>
        <w:jc w:val="both"/>
      </w:pPr>
      <w:r>
        <w:rPr>
          <w:sz w:val="20"/>
        </w:rPr>
      </w:r>
    </w:p>
    <w:p>
      <w:pPr>
        <w:pStyle w:val="0"/>
        <w:ind w:firstLine="540"/>
        <w:jc w:val="both"/>
      </w:pPr>
      <w:r>
        <w:rPr>
          <w:sz w:val="20"/>
        </w:rPr>
        <w:t xml:space="preserve">4. Персональный состав ВВК, в том числе перечень должностных лиц, имеющих право председательствовать на заседании ВВК, утверждается:</w:t>
      </w:r>
    </w:p>
    <w:p>
      <w:pPr>
        <w:pStyle w:val="0"/>
        <w:spacing w:before="200" w:lineRule="auto"/>
        <w:ind w:firstLine="540"/>
        <w:jc w:val="both"/>
      </w:pPr>
      <w:r>
        <w:rPr>
          <w:sz w:val="20"/>
        </w:rPr>
        <w:t xml:space="preserve">4.1. ЦВВК ФКУЗ "ЦМСЧ МВД России" - приказом руководителя (начальника) федерального казенного учреждения здравоохранения "Центральная медико-санитарная часть Министерства внутренних дел Российской Федерации"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"ФКУЗ "ЦМСЧ МВД России".</w:t>
      </w:r>
    </w:p>
    <w:p>
      <w:pPr>
        <w:pStyle w:val="0"/>
        <w:jc w:val="both"/>
      </w:pPr>
      <w:r>
        <w:rPr>
          <w:sz w:val="20"/>
        </w:rPr>
      </w:r>
    </w:p>
    <w:p>
      <w:pPr>
        <w:pStyle w:val="0"/>
        <w:ind w:firstLine="540"/>
        <w:jc w:val="both"/>
      </w:pPr>
      <w:r>
        <w:rPr>
          <w:sz w:val="20"/>
        </w:rPr>
        <w:t xml:space="preserve">4.2. ВВК МСЧ МВД России, предусмотренной штатным расписанием МСЧ МВД России, - приказом руководителя (начальника) федерального казенного учреждения здравоохранения медико-санитарной части Министерства внутренних дел Российской Федерации по субъекту Российской Федерации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Далее - "МСЧ МВД России".</w:t>
      </w:r>
    </w:p>
    <w:p>
      <w:pPr>
        <w:pStyle w:val="0"/>
        <w:jc w:val="both"/>
      </w:pPr>
      <w:r>
        <w:rPr>
          <w:sz w:val="20"/>
        </w:rPr>
      </w:r>
    </w:p>
    <w:p>
      <w:pPr>
        <w:pStyle w:val="0"/>
        <w:ind w:firstLine="540"/>
        <w:jc w:val="both"/>
      </w:pPr>
      <w:r>
        <w:rPr>
          <w:sz w:val="20"/>
        </w:rPr>
        <w:t xml:space="preserve">4.3. ВВК МСЧ МВД России, не предусмотренной штатным расписанием МСЧ МВД России, - приказом руководителя (начальника) МСЧ МВД России по согласованию с Департаментом по материально-техническому и медицинскому обеспечению Министерства внутренних дел Российской Федерации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Далее - "ДТ МВД России".</w:t>
      </w:r>
    </w:p>
    <w:p>
      <w:pPr>
        <w:pStyle w:val="0"/>
        <w:jc w:val="both"/>
      </w:pPr>
      <w:r>
        <w:rPr>
          <w:sz w:val="20"/>
        </w:rPr>
      </w:r>
    </w:p>
    <w:p>
      <w:pPr>
        <w:pStyle w:val="0"/>
        <w:ind w:firstLine="540"/>
        <w:jc w:val="both"/>
      </w:pPr>
      <w:r>
        <w:rPr>
          <w:sz w:val="20"/>
        </w:rPr>
        <w:t xml:space="preserve">4.4. ВВК структурного подразделения МСЧ МВД России, предусмотренной штатным расписанием МСЧ МВД России, - приказом начальника (руководителя) МСЧ МВД России.</w:t>
      </w:r>
    </w:p>
    <w:p>
      <w:pPr>
        <w:pStyle w:val="0"/>
        <w:spacing w:before="200" w:lineRule="auto"/>
        <w:ind w:firstLine="540"/>
        <w:jc w:val="both"/>
      </w:pPr>
      <w:r>
        <w:rPr>
          <w:sz w:val="20"/>
        </w:rPr>
        <w:t xml:space="preserve">4.5. ВВК структурного подразделения МСЧ МВД России, не предусмотренной штатным расписанием МСЧ МВД России, - приказом руководителя (начальника) МСЧ МВД России по представлению руководителя (начальника) ВВК МСЧ МВД России.</w:t>
      </w:r>
    </w:p>
    <w:p>
      <w:pPr>
        <w:pStyle w:val="0"/>
        <w:spacing w:before="200" w:lineRule="auto"/>
        <w:ind w:firstLine="540"/>
        <w:jc w:val="both"/>
      </w:pPr>
      <w:r>
        <w:rPr>
          <w:sz w:val="20"/>
        </w:rPr>
        <w:t xml:space="preserve">4.6. Госпитальной ВВК - приказом руководителя (начальника) соответствующей медицинской организации по согласованию с ДТ МВД России.</w:t>
      </w:r>
    </w:p>
    <w:p>
      <w:pPr>
        <w:pStyle w:val="0"/>
        <w:spacing w:before="200" w:lineRule="auto"/>
        <w:ind w:firstLine="540"/>
        <w:jc w:val="both"/>
      </w:pPr>
      <w:r>
        <w:rPr>
          <w:sz w:val="20"/>
        </w:rPr>
        <w:t xml:space="preserve">4.7. ВВК образовательной организации (филиала) - совместным приказом начальника МСЧ МВД России и начальника образовательной организации (филиала).</w:t>
      </w:r>
    </w:p>
    <w:p>
      <w:pPr>
        <w:pStyle w:val="0"/>
        <w:spacing w:before="200" w:lineRule="auto"/>
        <w:ind w:firstLine="540"/>
        <w:jc w:val="both"/>
      </w:pPr>
      <w:r>
        <w:rPr>
          <w:sz w:val="20"/>
        </w:rPr>
        <w:t xml:space="preserve">4.8. ВВК МосУ МВД России имени В.Я. Кикотя - совместным приказом начальника федерального казенного учреждения здравоохранения "Центральная поликлиника N 2 Министерства внутренних дел Российской Федерации" &lt;1&gt; и начальника федерального государственного казенного образовательного учреждения высшего образования "Московский университет Министерства внутренних дел Российской Федерации имени В.Я. Кикотя"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"ФКУЗ "ЦП N 2 МВД России".</w:t>
      </w:r>
    </w:p>
    <w:p>
      <w:pPr>
        <w:pStyle w:val="0"/>
        <w:spacing w:before="200" w:lineRule="auto"/>
        <w:ind w:firstLine="540"/>
        <w:jc w:val="both"/>
      </w:pPr>
      <w:r>
        <w:rPr>
          <w:sz w:val="20"/>
        </w:rPr>
        <w:t xml:space="preserve">&lt;2&gt; Далее - "МосУ МВД России имени В.Я. Кикотя".</w:t>
      </w:r>
    </w:p>
    <w:p>
      <w:pPr>
        <w:pStyle w:val="0"/>
        <w:jc w:val="both"/>
      </w:pPr>
      <w:r>
        <w:rPr>
          <w:sz w:val="20"/>
        </w:rPr>
      </w:r>
    </w:p>
    <w:p>
      <w:pPr>
        <w:pStyle w:val="0"/>
        <w:ind w:firstLine="540"/>
        <w:jc w:val="both"/>
      </w:pPr>
      <w:r>
        <w:rPr>
          <w:sz w:val="20"/>
        </w:rPr>
        <w:t xml:space="preserve">5. Председателем ВВК является включенный в состав соответствующей ВВК:</w:t>
      </w:r>
    </w:p>
    <w:p>
      <w:pPr>
        <w:pStyle w:val="0"/>
        <w:spacing w:before="200" w:lineRule="auto"/>
        <w:ind w:firstLine="540"/>
        <w:jc w:val="both"/>
      </w:pPr>
      <w:r>
        <w:rPr>
          <w:sz w:val="20"/>
        </w:rPr>
        <w:t xml:space="preserve">5.1. В ЦВВК ФКУЗ "ЦМСЧ МВД России" - начальник (руководитель) ЦВВК ФКУЗ "ЦМСЧ МВД России". В случае его отсутствия на заседании ЦВВК ФКУЗ "ЦМСЧ МВД России" - заместитель начальника ЦВВК ФКУЗ "ЦМСЧ МВД России", а в случае отсутствия на заседании ЦВВК ФКУЗ "ЦМСЧ МВД России" начальника ЦВВК ФКУЗ "ЦМСЧ МВД России" и его заместителя - врач-специалист ЦВВК ФКУЗ "ЦМСЧ МВД России", уполномоченный начальником (руководителем) ФКУЗ "ЦМСЧ МВД России".</w:t>
      </w:r>
    </w:p>
    <w:p>
      <w:pPr>
        <w:pStyle w:val="0"/>
        <w:spacing w:before="200" w:lineRule="auto"/>
        <w:ind w:firstLine="540"/>
        <w:jc w:val="both"/>
      </w:pPr>
      <w:r>
        <w:rPr>
          <w:sz w:val="20"/>
        </w:rPr>
        <w:t xml:space="preserve">5.2. В ВВК МСЧ МВД России - начальник ВВК МСЧ МВД России. В случае его отсутствия на заседании ВВК МСЧ МВД России - заместитель начальника ВВК МСЧ МВД России или врач-специалист ВВК МСЧ МВД России, уполномоченный начальником (руководителем) МСЧ МВД России. В случае отсутствия в штатном расписании МСЧ МВД России должности начальника ВВК - руководитель (начальник) МСЧ МВД России или его заместитель, имеющий высшее медицинское образование.</w:t>
      </w:r>
    </w:p>
    <w:p>
      <w:pPr>
        <w:pStyle w:val="0"/>
        <w:spacing w:before="200" w:lineRule="auto"/>
        <w:ind w:firstLine="540"/>
        <w:jc w:val="both"/>
      </w:pPr>
      <w:r>
        <w:rPr>
          <w:sz w:val="20"/>
        </w:rPr>
        <w:t xml:space="preserve">5.3. В ВВК структурного подразделения МСЧ МВД России, госпитальной ВВК - врач-специалист, уполномоченный руководителем (начальником) соответствующей медицинской организации.</w:t>
      </w:r>
    </w:p>
    <w:p>
      <w:pPr>
        <w:pStyle w:val="0"/>
        <w:spacing w:before="200" w:lineRule="auto"/>
        <w:ind w:firstLine="540"/>
        <w:jc w:val="both"/>
      </w:pPr>
      <w:r>
        <w:rPr>
          <w:sz w:val="20"/>
        </w:rPr>
        <w:t xml:space="preserve">5.4. В ВВК образовательной организации (филиала) - начальник (руководитель) МСЧ МВД России, его заместитель или начальник (руководитель) структурного подразделения МСЧ МВД России, имеющий высшее медицинское образование.</w:t>
      </w:r>
    </w:p>
    <w:p>
      <w:pPr>
        <w:pStyle w:val="0"/>
        <w:spacing w:before="200" w:lineRule="auto"/>
        <w:ind w:firstLine="540"/>
        <w:jc w:val="both"/>
      </w:pPr>
      <w:r>
        <w:rPr>
          <w:sz w:val="20"/>
        </w:rPr>
        <w:t xml:space="preserve">5.5. В МосУ МВД России имени В.Я. Кикотя - руководитель (начальник) ФКУЗ "ЦП N 2 МВД России" или его заместитель, имеющий высшее медицинское образование.</w:t>
      </w:r>
    </w:p>
    <w:p>
      <w:pPr>
        <w:pStyle w:val="0"/>
        <w:spacing w:before="200" w:lineRule="auto"/>
        <w:ind w:firstLine="540"/>
        <w:jc w:val="both"/>
      </w:pPr>
      <w:r>
        <w:rPr>
          <w:sz w:val="20"/>
        </w:rPr>
        <w:t xml:space="preserve">6. Вышестоящими ВВК в системе МВД России являются:</w:t>
      </w:r>
    </w:p>
    <w:p>
      <w:pPr>
        <w:pStyle w:val="0"/>
        <w:spacing w:before="200" w:lineRule="auto"/>
        <w:ind w:firstLine="540"/>
        <w:jc w:val="both"/>
      </w:pPr>
      <w:r>
        <w:rPr>
          <w:sz w:val="20"/>
        </w:rPr>
        <w:t xml:space="preserve">6.1. ЦВВК ФКУЗ "ЦМСЧ МВД России" - по отношению ко всем ВВК, созданным в системе МВД России.</w:t>
      </w:r>
    </w:p>
    <w:p>
      <w:pPr>
        <w:pStyle w:val="0"/>
        <w:spacing w:before="200" w:lineRule="auto"/>
        <w:ind w:firstLine="540"/>
        <w:jc w:val="both"/>
      </w:pPr>
      <w:r>
        <w:rPr>
          <w:sz w:val="20"/>
        </w:rPr>
        <w:t xml:space="preserve">6.2. ВВК МСЧ МВД России - по отношению к ВВК структурного подразделения МСЧ МВД России, ВВК образовательных организаций (филиала), созданных на территории соответствующего субъекта Российской Федерации (кроме ВВК МосУ МВД России имени В.Я. Кикотя).</w:t>
      </w:r>
    </w:p>
    <w:p>
      <w:pPr>
        <w:pStyle w:val="0"/>
        <w:spacing w:before="200" w:lineRule="auto"/>
        <w:ind w:firstLine="540"/>
        <w:jc w:val="both"/>
      </w:pPr>
      <w:r>
        <w:rPr>
          <w:sz w:val="20"/>
        </w:rPr>
        <w:t xml:space="preserve">7. На вышестоящие ВВК возлагается:</w:t>
      </w:r>
    </w:p>
    <w:p>
      <w:pPr>
        <w:pStyle w:val="0"/>
        <w:spacing w:before="200" w:lineRule="auto"/>
        <w:ind w:firstLine="540"/>
        <w:jc w:val="both"/>
      </w:pPr>
      <w:r>
        <w:rPr>
          <w:sz w:val="20"/>
        </w:rPr>
        <w:t xml:space="preserve">7.1. Осуществление методического руководства ВВЭ в отношении нижестоящих ВВК.</w:t>
      </w:r>
    </w:p>
    <w:p>
      <w:pPr>
        <w:pStyle w:val="0"/>
        <w:spacing w:before="200" w:lineRule="auto"/>
        <w:ind w:firstLine="540"/>
        <w:jc w:val="both"/>
      </w:pPr>
      <w:r>
        <w:rPr>
          <w:sz w:val="20"/>
        </w:rPr>
        <w:t xml:space="preserve">7.2. Проверка обоснованности заключений нижестоящих ВВК, отмена заключений нижестоящих ВВК в случае выявления нарушений порядка освидетельствования, повлиявших на заключение нижестоящей ВВК.</w:t>
      </w:r>
    </w:p>
    <w:bookmarkStart w:id="113" w:name="P113"/>
    <w:bookmarkEnd w:id="113"/>
    <w:p>
      <w:pPr>
        <w:pStyle w:val="0"/>
        <w:spacing w:before="200" w:lineRule="auto"/>
        <w:ind w:firstLine="540"/>
        <w:jc w:val="both"/>
      </w:pPr>
      <w:r>
        <w:rPr>
          <w:sz w:val="20"/>
        </w:rPr>
        <w:t xml:space="preserve">8. Проверку обоснованности заключений осуществляют:</w:t>
      </w:r>
    </w:p>
    <w:p>
      <w:pPr>
        <w:pStyle w:val="0"/>
        <w:spacing w:before="200" w:lineRule="auto"/>
        <w:ind w:firstLine="540"/>
        <w:jc w:val="both"/>
      </w:pPr>
      <w:r>
        <w:rPr>
          <w:sz w:val="20"/>
        </w:rPr>
        <w:t xml:space="preserve">8.1. ЦВВК ФКУЗ "ЦМСЧ МВД России" в отношении:</w:t>
      </w:r>
    </w:p>
    <w:p>
      <w:pPr>
        <w:pStyle w:val="0"/>
        <w:spacing w:before="200" w:lineRule="auto"/>
        <w:ind w:firstLine="540"/>
        <w:jc w:val="both"/>
      </w:pPr>
      <w:r>
        <w:rPr>
          <w:sz w:val="20"/>
        </w:rPr>
        <w:t xml:space="preserve">8.1.1. Заключений, составленных на лиц, замещающих должности (претендующих на замещение должностей) высшего начальствующего состава органов внутренних дел Российской Федерации, иные должности, назначение на которые осуществляется Министром внутренних дел Российской Федерации (по представлению Министра внутренних дел Российской Федерации) и членов их семей, руководителей (начальников) МСЧ МВД России, - кроме заключений о степени тяжести увечий (ранений, травм, контузий)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"увечья".</w:t>
      </w:r>
    </w:p>
    <w:p>
      <w:pPr>
        <w:pStyle w:val="0"/>
        <w:jc w:val="both"/>
      </w:pPr>
      <w:r>
        <w:rPr>
          <w:sz w:val="20"/>
        </w:rPr>
      </w:r>
    </w:p>
    <w:p>
      <w:pPr>
        <w:pStyle w:val="0"/>
        <w:ind w:firstLine="540"/>
        <w:jc w:val="both"/>
      </w:pPr>
      <w:r>
        <w:rPr>
          <w:sz w:val="20"/>
        </w:rPr>
        <w:t xml:space="preserve">8.1.2. Заключений госпитальных ВВК.</w:t>
      </w:r>
    </w:p>
    <w:p>
      <w:pPr>
        <w:pStyle w:val="0"/>
        <w:spacing w:before="200" w:lineRule="auto"/>
        <w:ind w:firstLine="540"/>
        <w:jc w:val="both"/>
      </w:pPr>
      <w:r>
        <w:rPr>
          <w:sz w:val="20"/>
        </w:rPr>
        <w:t xml:space="preserve">8.1.3. Заключений ВВК МосУ МВД России имени В.Я. Кикотя на лиц, признанных при окончательном освидетельствовании негодными к поступлению в МосУ МВД России имени В.Я. Кикотя.</w:t>
      </w:r>
    </w:p>
    <w:p>
      <w:pPr>
        <w:pStyle w:val="0"/>
        <w:spacing w:before="200" w:lineRule="auto"/>
        <w:ind w:firstLine="540"/>
        <w:jc w:val="both"/>
      </w:pPr>
      <w:r>
        <w:rPr>
          <w:sz w:val="20"/>
        </w:rPr>
        <w:t xml:space="preserve">8.1.4. Заключения нижестоящей ВВК в рамках рассмотрения обращения гражданина, в отношении которого вынесено заключение, о несогласии с данным заключением.</w:t>
      </w:r>
    </w:p>
    <w:p>
      <w:pPr>
        <w:pStyle w:val="0"/>
        <w:jc w:val="both"/>
      </w:pPr>
      <w:r>
        <w:rPr>
          <w:sz w:val="20"/>
        </w:rPr>
        <w:t xml:space="preserve">(пп. 8.1.4 введен </w:t>
      </w:r>
      <w:hyperlink w:history="0" r:id="rId13"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Приказом</w:t>
        </w:r>
      </w:hyperlink>
      <w:r>
        <w:rPr>
          <w:sz w:val="20"/>
        </w:rPr>
        <w:t xml:space="preserve"> МВД России от 23.12.2022 N 989)</w:t>
      </w:r>
    </w:p>
    <w:p>
      <w:pPr>
        <w:pStyle w:val="0"/>
        <w:spacing w:before="200" w:lineRule="auto"/>
        <w:ind w:firstLine="540"/>
        <w:jc w:val="both"/>
      </w:pPr>
      <w:r>
        <w:rPr>
          <w:sz w:val="20"/>
        </w:rPr>
        <w:t xml:space="preserve">8.2. ВВК МСЧ МВД России в отношении заключений ВВК образовательных организаций (филиала) соответствующего субъекта Российской Федерации (кроме ВВК МосУ МВД России имени В.Я. Кикотя) на лиц, признанных при окончательном освидетельствовании негодными к поступлению в образовательную организацию, заключений ВВК структурного подразделения МСЧ МВД России.</w:t>
      </w:r>
    </w:p>
    <w:p>
      <w:pPr>
        <w:pStyle w:val="0"/>
        <w:spacing w:before="200" w:lineRule="auto"/>
        <w:ind w:firstLine="540"/>
        <w:jc w:val="both"/>
      </w:pPr>
      <w:r>
        <w:rPr>
          <w:sz w:val="20"/>
        </w:rPr>
        <w:t xml:space="preserve">9. Заключения ВВК заверяются:</w:t>
      </w:r>
    </w:p>
    <w:p>
      <w:pPr>
        <w:pStyle w:val="0"/>
        <w:spacing w:before="200" w:lineRule="auto"/>
        <w:ind w:firstLine="540"/>
        <w:jc w:val="both"/>
      </w:pPr>
      <w:r>
        <w:rPr>
          <w:sz w:val="20"/>
        </w:rPr>
        <w:t xml:space="preserve">9.1. ЦВВК ФКУЗ "ЦМСЧ МВД России" - гербовой печатью ФКУЗ "ЦМСЧ МВД России".</w:t>
      </w:r>
    </w:p>
    <w:p>
      <w:pPr>
        <w:pStyle w:val="0"/>
        <w:spacing w:before="200" w:lineRule="auto"/>
        <w:ind w:firstLine="540"/>
        <w:jc w:val="both"/>
      </w:pPr>
      <w:r>
        <w:rPr>
          <w:sz w:val="20"/>
        </w:rPr>
        <w:t xml:space="preserve">9.2. ВВК МСЧ МВД России - гербовой печатью МСЧ МВД России.</w:t>
      </w:r>
    </w:p>
    <w:p>
      <w:pPr>
        <w:pStyle w:val="0"/>
        <w:spacing w:before="200" w:lineRule="auto"/>
        <w:ind w:firstLine="540"/>
        <w:jc w:val="both"/>
      </w:pPr>
      <w:r>
        <w:rPr>
          <w:sz w:val="20"/>
        </w:rPr>
        <w:t xml:space="preserve">9.3. Госпитальной ВВК - гербовой печатью медицинской организации, при которой ВВК создана.</w:t>
      </w:r>
    </w:p>
    <w:p>
      <w:pPr>
        <w:pStyle w:val="0"/>
        <w:spacing w:before="200" w:lineRule="auto"/>
        <w:ind w:firstLine="540"/>
        <w:jc w:val="both"/>
      </w:pPr>
      <w:r>
        <w:rPr>
          <w:sz w:val="20"/>
        </w:rPr>
        <w:t xml:space="preserve">9.4. ВВК МосУ МВД России имени В.Я. Кикотя - гербовой печатью ФКУЗ "ЦП N 2 МВД России".</w:t>
      </w:r>
    </w:p>
    <w:p>
      <w:pPr>
        <w:pStyle w:val="0"/>
        <w:spacing w:before="200" w:lineRule="auto"/>
        <w:ind w:firstLine="540"/>
        <w:jc w:val="both"/>
      </w:pPr>
      <w:r>
        <w:rPr>
          <w:sz w:val="20"/>
        </w:rPr>
        <w:t xml:space="preserve">9.5. ВВК структурного подразделения МСЧ МВД России, ВВК образовательной организации (филиала) - гербовой печатью медицинской организации, ВВК которой является вышестоящей по отношению к данной ВВК.</w:t>
      </w:r>
    </w:p>
    <w:p>
      <w:pPr>
        <w:pStyle w:val="0"/>
        <w:spacing w:before="200" w:lineRule="auto"/>
        <w:ind w:firstLine="540"/>
        <w:jc w:val="both"/>
      </w:pPr>
      <w:r>
        <w:rPr>
          <w:sz w:val="20"/>
        </w:rPr>
        <w:t xml:space="preserve">10. Организация подготовки руководителей (начальников) и врачей-специалистов ВВК по вопросам организации и проведения ВВЭ (направление на обучение по дополнительным профессиональным программам - программам повышения квалификации, программам профессиональной переподготовки) возлагается на ЦВВК ФКУЗ "ЦМСЧ МВД России" и осуществляется согласно Плану-графику повышения квалификации и переподготовки сотрудников (федеральных государственных гражданских служащих и работников) МВД России.</w:t>
      </w:r>
    </w:p>
    <w:p>
      <w:pPr>
        <w:pStyle w:val="0"/>
        <w:jc w:val="both"/>
      </w:pPr>
      <w:r>
        <w:rPr>
          <w:sz w:val="20"/>
        </w:rPr>
        <w:t xml:space="preserve">(в ред. </w:t>
      </w:r>
      <w:hyperlink w:history="0" r:id="rId14"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Приказа</w:t>
        </w:r>
      </w:hyperlink>
      <w:r>
        <w:rPr>
          <w:sz w:val="20"/>
        </w:rPr>
        <w:t xml:space="preserve"> МВД России от 23.12.2022 N 989)</w:t>
      </w:r>
    </w:p>
    <w:p>
      <w:pPr>
        <w:pStyle w:val="0"/>
        <w:spacing w:before="200" w:lineRule="auto"/>
        <w:ind w:firstLine="540"/>
        <w:jc w:val="both"/>
      </w:pPr>
      <w:r>
        <w:rPr>
          <w:sz w:val="20"/>
        </w:rPr>
        <w:t xml:space="preserve">11. Освидетельствование проводится в соответствии с </w:t>
      </w:r>
      <w:hyperlink w:history="0" r:id="rId15"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Требованиями</w:t>
        </w:r>
      </w:hyperlink>
      <w:r>
        <w:rPr>
          <w:sz w:val="20"/>
        </w:rPr>
        <w:t xml:space="preserve">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в зависимости от должностей и особенностей прохождения службы на отдельных должностях, включающими в себя </w:t>
      </w:r>
      <w:hyperlink w:history="0" r:id="rId16"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расписание</w:t>
        </w:r>
      </w:hyperlink>
      <w:r>
        <w:rPr>
          <w:sz w:val="20"/>
        </w:rPr>
        <w:t xml:space="preserve"> болезней и дополнительные </w:t>
      </w:r>
      <w:hyperlink w:history="0" r:id="rId17"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требования</w:t>
        </w:r>
      </w:hyperlink>
      <w:r>
        <w:rPr>
          <w:sz w:val="20"/>
        </w:rPr>
        <w:t xml:space="preserve"> к состоянию здоровья &lt;1&gt; (приложение N 1 к приказу МВД России от 2 апреля 2018 г. N 190 "О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признании утратившими силу некоторых нормативных правовых актов"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"ДТ".</w:t>
      </w:r>
    </w:p>
    <w:p>
      <w:pPr>
        <w:pStyle w:val="0"/>
        <w:spacing w:before="200" w:lineRule="auto"/>
        <w:ind w:firstLine="540"/>
        <w:jc w:val="both"/>
      </w:pPr>
      <w:r>
        <w:rPr>
          <w:sz w:val="20"/>
        </w:rPr>
        <w:t xml:space="preserve">&lt;2&gt; Зарегистрирован в Минюсте России 3 мая 2018 года, регистрационный N 50952, с изменениями, внесенными приказом МВД России от 19 августа 2020 г. N 579 (зарегистрирован в Минюсте России 21 сентября 2020 года, регистрационный N 59959). Далее - "приказ о военно-врачебной экспертизе".</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1555"/>
        <w:gridCol w:w="4661"/>
        <w:gridCol w:w="2268"/>
      </w:tblGrid>
      <w:tr>
        <w:tc>
          <w:tcPr>
            <w:tcW w:w="567" w:type="dxa"/>
          </w:tcPr>
          <w:p>
            <w:pPr>
              <w:pStyle w:val="0"/>
              <w:jc w:val="center"/>
            </w:pPr>
            <w:r>
              <w:rPr>
                <w:sz w:val="20"/>
              </w:rPr>
              <w:t xml:space="preserve">N п/п</w:t>
            </w:r>
          </w:p>
        </w:tc>
        <w:tc>
          <w:tcPr>
            <w:tcW w:w="1555" w:type="dxa"/>
          </w:tcPr>
          <w:p>
            <w:pPr>
              <w:pStyle w:val="0"/>
              <w:jc w:val="center"/>
            </w:pPr>
            <w:r>
              <w:rPr>
                <w:sz w:val="20"/>
              </w:rPr>
              <w:t xml:space="preserve">ВВК, проводящие освидетельствование</w:t>
            </w:r>
          </w:p>
        </w:tc>
        <w:tc>
          <w:tcPr>
            <w:tcW w:w="4661" w:type="dxa"/>
          </w:tcPr>
          <w:p>
            <w:pPr>
              <w:pStyle w:val="0"/>
              <w:jc w:val="center"/>
            </w:pPr>
            <w:r>
              <w:rPr>
                <w:sz w:val="20"/>
              </w:rPr>
              <w:t xml:space="preserve">Категории граждан, подлежащие освидетельствованию</w:t>
            </w:r>
          </w:p>
        </w:tc>
        <w:tc>
          <w:tcPr>
            <w:tcW w:w="2268" w:type="dxa"/>
          </w:tcPr>
          <w:p>
            <w:pPr>
              <w:pStyle w:val="0"/>
              <w:jc w:val="center"/>
            </w:pPr>
            <w:r>
              <w:rPr>
                <w:sz w:val="20"/>
              </w:rPr>
              <w:t xml:space="preserve">Графа </w:t>
            </w:r>
            <w:hyperlink w:history="0" r:id="rId18"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расписания</w:t>
              </w:r>
            </w:hyperlink>
            <w:r>
              <w:rPr>
                <w:sz w:val="20"/>
              </w:rPr>
              <w:t xml:space="preserve"> болезней и раздел </w:t>
            </w:r>
            <w:hyperlink w:history="0" r:id="rId19"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ДТ</w:t>
              </w:r>
            </w:hyperlink>
            <w:r>
              <w:rPr>
                <w:sz w:val="20"/>
              </w:rPr>
              <w:t xml:space="preserve">, по которым проводится освидетельствование</w:t>
            </w:r>
          </w:p>
        </w:tc>
      </w:tr>
      <w:tr>
        <w:tc>
          <w:tcPr>
            <w:tcW w:w="567" w:type="dxa"/>
            <w:vMerge w:val="restart"/>
          </w:tcPr>
          <w:p>
            <w:pPr>
              <w:pStyle w:val="0"/>
              <w:jc w:val="center"/>
            </w:pPr>
            <w:r>
              <w:rPr>
                <w:sz w:val="20"/>
              </w:rPr>
              <w:t xml:space="preserve">1.</w:t>
            </w:r>
          </w:p>
        </w:tc>
        <w:tc>
          <w:tcPr>
            <w:tcW w:w="1555" w:type="dxa"/>
            <w:vMerge w:val="restart"/>
          </w:tcPr>
          <w:p>
            <w:pPr>
              <w:pStyle w:val="0"/>
            </w:pPr>
            <w:r>
              <w:rPr>
                <w:sz w:val="20"/>
              </w:rPr>
              <w:t xml:space="preserve">ЦВВК ФКУЗ "ЦМСЧ МВД России", ВВК МСЧ МВД России</w:t>
            </w:r>
          </w:p>
        </w:tc>
        <w:tc>
          <w:tcPr>
            <w:tcW w:w="4661" w:type="dxa"/>
          </w:tcPr>
          <w:p>
            <w:pPr>
              <w:pStyle w:val="0"/>
            </w:pPr>
            <w:r>
              <w:rPr>
                <w:sz w:val="20"/>
              </w:rPr>
              <w:t xml:space="preserve">Граждане, ранее не проходившие службу в федеральных органах исполнительной власти на должностях, по которым предусмотрено присвоение специальных (воинских) званий, для определения годности к службе в органах внутренних дел Российской Федерации </w:t>
            </w:r>
            <w:hyperlink w:history="0" w:anchor="P200" w:tooltip="&lt;3&gt; Далее - &quot;служба&quot;.">
              <w:r>
                <w:rPr>
                  <w:sz w:val="20"/>
                  <w:color w:val="0000ff"/>
                </w:rPr>
                <w:t xml:space="preserve">&lt;3&gt;</w:t>
              </w:r>
            </w:hyperlink>
          </w:p>
          <w:p>
            <w:pPr>
              <w:pStyle w:val="0"/>
            </w:pPr>
            <w:r>
              <w:rPr>
                <w:sz w:val="20"/>
              </w:rPr>
              <w:t xml:space="preserve">в том числе:</w:t>
            </w:r>
          </w:p>
        </w:tc>
        <w:tc>
          <w:tcPr>
            <w:tcW w:w="2268" w:type="dxa"/>
          </w:tcPr>
          <w:p>
            <w:pPr>
              <w:pStyle w:val="0"/>
            </w:pPr>
            <w:r>
              <w:rPr>
                <w:sz w:val="20"/>
              </w:rPr>
              <w:t xml:space="preserve">I</w:t>
            </w:r>
          </w:p>
        </w:tc>
      </w:tr>
      <w:tr>
        <w:tc>
          <w:tcPr>
            <w:vMerge w:val="continue"/>
          </w:tcPr>
          <w:p/>
        </w:tc>
        <w:tc>
          <w:tcPr>
            <w:vMerge w:val="continue"/>
          </w:tcPr>
          <w:p/>
        </w:tc>
        <w:tc>
          <w:tcPr>
            <w:tcW w:w="4661" w:type="dxa"/>
          </w:tcPr>
          <w:p>
            <w:pPr>
              <w:pStyle w:val="0"/>
            </w:pPr>
            <w:r>
              <w:rPr>
                <w:sz w:val="20"/>
              </w:rPr>
              <w:t xml:space="preserve">Отбираемые для работы с радиоактивными веществами </w:t>
            </w:r>
            <w:hyperlink w:history="0" w:anchor="P201" w:tooltip="&lt;4&gt; Далее - &quot;РВ&quot;.">
              <w:r>
                <w:rPr>
                  <w:sz w:val="20"/>
                  <w:color w:val="0000ff"/>
                </w:rPr>
                <w:t xml:space="preserve">&lt;4&gt;</w:t>
              </w:r>
            </w:hyperlink>
            <w:r>
              <w:rPr>
                <w:sz w:val="20"/>
              </w:rPr>
              <w:t xml:space="preserve">, источниками ионизирующего излучения </w:t>
            </w:r>
            <w:hyperlink w:history="0" w:anchor="P202" w:tooltip="&lt;5&gt; Далее - &quot;ИИИ&quot;.">
              <w:r>
                <w:rPr>
                  <w:sz w:val="20"/>
                  <w:color w:val="0000ff"/>
                </w:rPr>
                <w:t xml:space="preserve">&lt;5&gt;</w:t>
              </w:r>
            </w:hyperlink>
            <w:r>
              <w:rPr>
                <w:sz w:val="20"/>
              </w:rPr>
              <w:t xml:space="preserve">, компонентами ракетных топлив и иными высокотоксичными веществами, токсичными химикатами, относящимися к химическому оружию </w:t>
            </w:r>
            <w:hyperlink w:history="0" w:anchor="P203" w:tooltip="&lt;6&gt; Далее - &quot;КРТ&quot;.">
              <w:r>
                <w:rPr>
                  <w:sz w:val="20"/>
                  <w:color w:val="0000ff"/>
                </w:rPr>
                <w:t xml:space="preserve">&lt;6&gt;</w:t>
              </w:r>
            </w:hyperlink>
            <w:r>
              <w:rPr>
                <w:sz w:val="20"/>
              </w:rPr>
              <w:t xml:space="preserve">, источниками, создающими электромагнитные поля в диапазоне частот от 30 кГц до 300 ГГц </w:t>
            </w:r>
            <w:hyperlink w:history="0" w:anchor="P204" w:tooltip="&lt;7&gt; Далее - &quot;ЭМП&quot;.">
              <w:r>
                <w:rPr>
                  <w:sz w:val="20"/>
                  <w:color w:val="0000ff"/>
                </w:rPr>
                <w:t xml:space="preserve">&lt;7&gt;</w:t>
              </w:r>
            </w:hyperlink>
            <w:r>
              <w:rPr>
                <w:sz w:val="20"/>
              </w:rPr>
              <w:t xml:space="preserve">, и оптическими квантовыми генераторами </w:t>
            </w:r>
            <w:hyperlink w:history="0" w:anchor="P205" w:tooltip="&lt;8&gt; Далее - &quot;ОКГ&quot;.">
              <w:r>
                <w:rPr>
                  <w:sz w:val="20"/>
                  <w:color w:val="0000ff"/>
                </w:rPr>
                <w:t xml:space="preserve">&lt;8&gt;</w:t>
              </w:r>
            </w:hyperlink>
            <w:r>
              <w:rPr>
                <w:sz w:val="20"/>
              </w:rPr>
              <w:t xml:space="preserve">, микроорганизмами I - II групп патогенности </w:t>
            </w:r>
            <w:hyperlink w:history="0" w:anchor="P206" w:tooltip="&lt;9&gt; Далее - &quot;МО&quot;.">
              <w:r>
                <w:rPr>
                  <w:sz w:val="20"/>
                  <w:color w:val="0000ff"/>
                </w:rPr>
                <w:t xml:space="preserve">&lt;9&gt;</w:t>
              </w:r>
            </w:hyperlink>
          </w:p>
        </w:tc>
        <w:tc>
          <w:tcPr>
            <w:tcW w:w="2268" w:type="dxa"/>
          </w:tcPr>
          <w:p>
            <w:pPr>
              <w:pStyle w:val="0"/>
            </w:pPr>
            <w:r>
              <w:rPr>
                <w:sz w:val="20"/>
              </w:rPr>
              <w:t xml:space="preserve">I</w:t>
            </w:r>
          </w:p>
        </w:tc>
      </w:tr>
      <w:tr>
        <w:tc>
          <w:tcPr>
            <w:vMerge w:val="continue"/>
          </w:tcPr>
          <w:p/>
        </w:tc>
        <w:tc>
          <w:tcPr>
            <w:vMerge w:val="continue"/>
          </w:tcPr>
          <w:p/>
        </w:tc>
        <w:tc>
          <w:tcPr>
            <w:tcW w:w="4661" w:type="dxa"/>
          </w:tcPr>
          <w:p>
            <w:pPr>
              <w:pStyle w:val="0"/>
            </w:pPr>
            <w:r>
              <w:rPr>
                <w:sz w:val="20"/>
              </w:rPr>
              <w:t xml:space="preserve">В зависимости от должностей и особенностей прохождения службы на отдельных должностях</w:t>
            </w:r>
          </w:p>
        </w:tc>
        <w:tc>
          <w:tcPr>
            <w:tcW w:w="2268" w:type="dxa"/>
          </w:tcPr>
          <w:p>
            <w:pPr>
              <w:pStyle w:val="0"/>
            </w:pPr>
            <w:r>
              <w:rPr>
                <w:sz w:val="20"/>
              </w:rPr>
              <w:t xml:space="preserve">I, </w:t>
            </w:r>
            <w:hyperlink w:history="0" r:id="rId20"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подпункт 3.3</w:t>
              </w:r>
            </w:hyperlink>
            <w:r>
              <w:rPr>
                <w:sz w:val="20"/>
              </w:rPr>
              <w:t xml:space="preserve"> ДТ</w:t>
            </w:r>
          </w:p>
        </w:tc>
      </w:tr>
      <w:tr>
        <w:tc>
          <w:tcPr>
            <w:vMerge w:val="continue"/>
          </w:tcPr>
          <w:p/>
        </w:tc>
        <w:tc>
          <w:tcPr>
            <w:vMerge w:val="continue"/>
          </w:tcPr>
          <w:p/>
        </w:tc>
        <w:tc>
          <w:tcPr>
            <w:tcW w:w="4661" w:type="dxa"/>
          </w:tcPr>
          <w:p>
            <w:pPr>
              <w:pStyle w:val="0"/>
            </w:pPr>
            <w:r>
              <w:rPr>
                <w:sz w:val="20"/>
              </w:rPr>
              <w:t xml:space="preserve">Граждане, изъявившие желание на участие в конкурсе на заключение договора на обучение в профессиональной образовательной организации или образовательной организации высшего образования, не входящей в систему МВД России, предусматривающего обязательство последующего прохождения службы </w:t>
            </w:r>
            <w:hyperlink w:history="0" w:anchor="P207" w:tooltip="&lt;10&gt; Далее - &quot;граждане, поступающие на учебу по договору&quot;.">
              <w:r>
                <w:rPr>
                  <w:sz w:val="20"/>
                  <w:color w:val="0000ff"/>
                </w:rPr>
                <w:t xml:space="preserve">&lt;10&gt;</w:t>
              </w:r>
            </w:hyperlink>
          </w:p>
        </w:tc>
        <w:tc>
          <w:tcPr>
            <w:tcW w:w="2268" w:type="dxa"/>
          </w:tcPr>
          <w:p>
            <w:pPr>
              <w:pStyle w:val="0"/>
            </w:pPr>
            <w:r>
              <w:rPr>
                <w:sz w:val="20"/>
              </w:rPr>
              <w:t xml:space="preserve">I</w:t>
            </w:r>
          </w:p>
        </w:tc>
      </w:tr>
      <w:tr>
        <w:tc>
          <w:tcPr>
            <w:vMerge w:val="continue"/>
          </w:tcPr>
          <w:p/>
        </w:tc>
        <w:tc>
          <w:tcPr>
            <w:vMerge w:val="continue"/>
          </w:tcPr>
          <w:p/>
        </w:tc>
        <w:tc>
          <w:tcPr>
            <w:tcW w:w="4661" w:type="dxa"/>
          </w:tcPr>
          <w:p>
            <w:pPr>
              <w:pStyle w:val="0"/>
            </w:pPr>
            <w:r>
              <w:rPr>
                <w:sz w:val="20"/>
              </w:rPr>
              <w:t xml:space="preserve">Граждане, поступающие на службу, из числа лиц, ранее проходивших службу в федеральных органах исполнительной власти на должностях, по которым предусмотрено присвоение специальных (воинских) званий, в том числе:</w:t>
            </w:r>
          </w:p>
        </w:tc>
        <w:tc>
          <w:tcPr>
            <w:tcW w:w="2268" w:type="dxa"/>
          </w:tcPr>
          <w:p>
            <w:pPr>
              <w:pStyle w:val="0"/>
            </w:pPr>
            <w:r>
              <w:rPr>
                <w:sz w:val="20"/>
              </w:rPr>
              <w:t xml:space="preserve">III</w:t>
            </w:r>
          </w:p>
        </w:tc>
      </w:tr>
      <w:tr>
        <w:tc>
          <w:tcPr>
            <w:vMerge w:val="continue"/>
          </w:tcPr>
          <w:p/>
        </w:tc>
        <w:tc>
          <w:tcPr>
            <w:vMerge w:val="continue"/>
          </w:tcPr>
          <w:p/>
        </w:tc>
        <w:tc>
          <w:tcPr>
            <w:tcW w:w="4661" w:type="dxa"/>
          </w:tcPr>
          <w:p>
            <w:pPr>
              <w:pStyle w:val="0"/>
            </w:pPr>
            <w:r>
              <w:rPr>
                <w:sz w:val="20"/>
              </w:rPr>
              <w:t xml:space="preserve">Отбираемые для работы с РВ, ИИИ, КРТ, ЭМП, ОКГ, МО</w:t>
            </w:r>
          </w:p>
        </w:tc>
        <w:tc>
          <w:tcPr>
            <w:tcW w:w="2268" w:type="dxa"/>
          </w:tcPr>
          <w:p>
            <w:pPr>
              <w:pStyle w:val="0"/>
            </w:pPr>
            <w:r>
              <w:rPr>
                <w:sz w:val="20"/>
              </w:rPr>
              <w:t xml:space="preserve">III </w:t>
            </w:r>
            <w:hyperlink w:history="0" r:id="rId21"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подпункт 3.2</w:t>
              </w:r>
            </w:hyperlink>
            <w:r>
              <w:rPr>
                <w:sz w:val="20"/>
              </w:rPr>
              <w:t xml:space="preserve"> ДТ</w:t>
            </w:r>
          </w:p>
        </w:tc>
      </w:tr>
      <w:tr>
        <w:tc>
          <w:tcPr>
            <w:vMerge w:val="continue"/>
          </w:tcPr>
          <w:p/>
        </w:tc>
        <w:tc>
          <w:tcPr>
            <w:vMerge w:val="continue"/>
          </w:tcPr>
          <w:p/>
        </w:tc>
        <w:tc>
          <w:tcPr>
            <w:tcW w:w="4661" w:type="dxa"/>
          </w:tcPr>
          <w:p>
            <w:pPr>
              <w:pStyle w:val="0"/>
            </w:pPr>
            <w:r>
              <w:rPr>
                <w:sz w:val="20"/>
              </w:rPr>
              <w:t xml:space="preserve">В зависимости от должностей и особенностей прохождения службы на отдельных должностях</w:t>
            </w:r>
          </w:p>
        </w:tc>
        <w:tc>
          <w:tcPr>
            <w:tcW w:w="2268" w:type="dxa"/>
          </w:tcPr>
          <w:p>
            <w:pPr>
              <w:pStyle w:val="0"/>
            </w:pPr>
            <w:r>
              <w:rPr>
                <w:sz w:val="20"/>
              </w:rPr>
              <w:t xml:space="preserve">III </w:t>
            </w:r>
            <w:hyperlink w:history="0" r:id="rId22"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подпункт 3.3</w:t>
              </w:r>
            </w:hyperlink>
            <w:r>
              <w:rPr>
                <w:sz w:val="20"/>
              </w:rPr>
              <w:t xml:space="preserve"> ДТ</w:t>
            </w:r>
          </w:p>
        </w:tc>
      </w:tr>
      <w:tr>
        <w:tc>
          <w:tcPr>
            <w:vMerge w:val="continue"/>
          </w:tcPr>
          <w:p/>
        </w:tc>
        <w:tc>
          <w:tcPr>
            <w:vMerge w:val="continue"/>
          </w:tcPr>
          <w:p/>
        </w:tc>
        <w:tc>
          <w:tcPr>
            <w:tcW w:w="4661" w:type="dxa"/>
          </w:tcPr>
          <w:p>
            <w:pPr>
              <w:pStyle w:val="0"/>
            </w:pPr>
            <w:r>
              <w:rPr>
                <w:sz w:val="20"/>
              </w:rPr>
              <w:t xml:space="preserve">Сотрудники органов внутренних дел Российской Федерации </w:t>
            </w:r>
            <w:hyperlink w:history="0" w:anchor="P208" w:tooltip="&lt;11&gt; Далее - &quot;сотрудники&quot;.">
              <w:r>
                <w:rPr>
                  <w:sz w:val="20"/>
                  <w:color w:val="0000ff"/>
                </w:rPr>
                <w:t xml:space="preserve">&lt;11&gt;</w:t>
              </w:r>
            </w:hyperlink>
            <w:r>
              <w:rPr>
                <w:sz w:val="20"/>
              </w:rPr>
              <w:t xml:space="preserve"> при перемещении по службе или в целях определения годности к продолжению службы, в том числе:</w:t>
            </w:r>
          </w:p>
        </w:tc>
        <w:tc>
          <w:tcPr>
            <w:tcW w:w="2268" w:type="dxa"/>
          </w:tcPr>
          <w:p>
            <w:pPr>
              <w:pStyle w:val="0"/>
            </w:pPr>
            <w:r>
              <w:rPr>
                <w:sz w:val="20"/>
              </w:rPr>
              <w:t xml:space="preserve">III</w:t>
            </w:r>
          </w:p>
        </w:tc>
      </w:tr>
      <w:tr>
        <w:tc>
          <w:tcPr>
            <w:vMerge w:val="continue"/>
          </w:tcPr>
          <w:p/>
        </w:tc>
        <w:tc>
          <w:tcPr>
            <w:vMerge w:val="continue"/>
          </w:tcPr>
          <w:p/>
        </w:tc>
        <w:tc>
          <w:tcPr>
            <w:tcW w:w="4661" w:type="dxa"/>
          </w:tcPr>
          <w:p>
            <w:pPr>
              <w:pStyle w:val="0"/>
            </w:pPr>
            <w:r>
              <w:rPr>
                <w:sz w:val="20"/>
              </w:rPr>
              <w:t xml:space="preserve">Отбираемые для работы (работающие) с РВ, ИИИ, КРТ, ЭМП, ОКГ, МО</w:t>
            </w:r>
          </w:p>
        </w:tc>
        <w:tc>
          <w:tcPr>
            <w:tcW w:w="2268" w:type="dxa"/>
          </w:tcPr>
          <w:p>
            <w:pPr>
              <w:pStyle w:val="0"/>
            </w:pPr>
            <w:r>
              <w:rPr>
                <w:sz w:val="20"/>
              </w:rPr>
              <w:t xml:space="preserve">III, </w:t>
            </w:r>
            <w:hyperlink w:history="0" r:id="rId23"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подпункт 3.2</w:t>
              </w:r>
            </w:hyperlink>
            <w:r>
              <w:rPr>
                <w:sz w:val="20"/>
              </w:rPr>
              <w:t xml:space="preserve"> ДТ</w:t>
            </w:r>
          </w:p>
        </w:tc>
      </w:tr>
      <w:tr>
        <w:tc>
          <w:tcPr>
            <w:vMerge w:val="continue"/>
          </w:tcPr>
          <w:p/>
        </w:tc>
        <w:tc>
          <w:tcPr>
            <w:vMerge w:val="continue"/>
          </w:tcPr>
          <w:p/>
        </w:tc>
        <w:tc>
          <w:tcPr>
            <w:tcW w:w="4661" w:type="dxa"/>
          </w:tcPr>
          <w:p>
            <w:pPr>
              <w:pStyle w:val="0"/>
            </w:pPr>
            <w:r>
              <w:rPr>
                <w:sz w:val="20"/>
              </w:rPr>
              <w:t xml:space="preserve">В зависимости от должностей и особенностей прохождения службы на отдельных должностях</w:t>
            </w:r>
          </w:p>
        </w:tc>
        <w:tc>
          <w:tcPr>
            <w:tcW w:w="2268" w:type="dxa"/>
          </w:tcPr>
          <w:p>
            <w:pPr>
              <w:pStyle w:val="0"/>
            </w:pPr>
            <w:r>
              <w:rPr>
                <w:sz w:val="20"/>
              </w:rPr>
              <w:t xml:space="preserve">III, </w:t>
            </w:r>
            <w:hyperlink w:history="0" r:id="rId24"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подпункт 3.3</w:t>
              </w:r>
            </w:hyperlink>
            <w:r>
              <w:rPr>
                <w:sz w:val="20"/>
              </w:rPr>
              <w:t xml:space="preserve"> ДТ</w:t>
            </w:r>
          </w:p>
        </w:tc>
      </w:tr>
      <w:tr>
        <w:tc>
          <w:tcPr>
            <w:vMerge w:val="continue"/>
          </w:tcPr>
          <w:p/>
        </w:tc>
        <w:tc>
          <w:tcPr>
            <w:vMerge w:val="continue"/>
          </w:tcPr>
          <w:p/>
        </w:tc>
        <w:tc>
          <w:tcPr>
            <w:tcW w:w="4661" w:type="dxa"/>
          </w:tcPr>
          <w:p>
            <w:pPr>
              <w:pStyle w:val="0"/>
            </w:pPr>
            <w:r>
              <w:rPr>
                <w:sz w:val="20"/>
              </w:rPr>
              <w:t xml:space="preserve">Направляемые с целью получения профессионального и дополнительного профессионального образования продолжительностью обучения свыше 6 месяцев</w:t>
            </w:r>
          </w:p>
        </w:tc>
        <w:tc>
          <w:tcPr>
            <w:tcW w:w="2268" w:type="dxa"/>
          </w:tcPr>
          <w:p>
            <w:pPr>
              <w:pStyle w:val="0"/>
            </w:pPr>
            <w:r>
              <w:rPr>
                <w:sz w:val="20"/>
              </w:rPr>
              <w:t xml:space="preserve">III</w:t>
            </w:r>
          </w:p>
        </w:tc>
      </w:tr>
      <w:tr>
        <w:tc>
          <w:tcPr>
            <w:vMerge w:val="continue"/>
          </w:tcPr>
          <w:p/>
        </w:tc>
        <w:tc>
          <w:tcPr>
            <w:vMerge w:val="continue"/>
          </w:tcPr>
          <w:p/>
        </w:tc>
        <w:tc>
          <w:tcPr>
            <w:tcW w:w="4661" w:type="dxa"/>
          </w:tcPr>
          <w:p>
            <w:pPr>
              <w:pStyle w:val="0"/>
            </w:pPr>
            <w:r>
              <w:rPr>
                <w:sz w:val="20"/>
              </w:rPr>
              <w:t xml:space="preserve">Курсанты, слушатели и адъюнкты образовательных организаций высшего образования, находящихся в ведении МВД России </w:t>
            </w:r>
            <w:hyperlink w:history="0" w:anchor="P209" w:tooltip="&lt;12&gt; Далее - &quot;образовательные организации высшего образования&quot;.">
              <w:r>
                <w:rPr>
                  <w:sz w:val="20"/>
                  <w:color w:val="0000ff"/>
                </w:rPr>
                <w:t xml:space="preserve">&lt;12&gt;</w:t>
              </w:r>
            </w:hyperlink>
          </w:p>
        </w:tc>
        <w:tc>
          <w:tcPr>
            <w:tcW w:w="2268" w:type="dxa"/>
          </w:tcPr>
          <w:p>
            <w:pPr>
              <w:pStyle w:val="0"/>
            </w:pPr>
            <w:r>
              <w:rPr>
                <w:sz w:val="20"/>
              </w:rPr>
              <w:t xml:space="preserve">III</w:t>
            </w:r>
          </w:p>
        </w:tc>
      </w:tr>
      <w:tr>
        <w:tc>
          <w:tcPr>
            <w:vMerge w:val="continue"/>
          </w:tcPr>
          <w:p/>
        </w:tc>
        <w:tc>
          <w:tcPr>
            <w:vMerge w:val="continue"/>
          </w:tcPr>
          <w:p/>
        </w:tc>
        <w:tc>
          <w:tcPr>
            <w:tcW w:w="4661" w:type="dxa"/>
          </w:tcPr>
          <w:p>
            <w:pPr>
              <w:pStyle w:val="0"/>
            </w:pPr>
            <w:r>
              <w:rPr>
                <w:sz w:val="20"/>
              </w:rPr>
              <w:t xml:space="preserve">Лица, поступающие в образовательные организации для обучения по очной форме </w:t>
            </w:r>
            <w:hyperlink w:history="0" w:anchor="P210" w:tooltip="&lt;13&gt; Предварительное освидетельствование.">
              <w:r>
                <w:rPr>
                  <w:sz w:val="20"/>
                  <w:color w:val="0000ff"/>
                </w:rPr>
                <w:t xml:space="preserve">&lt;13&gt;</w:t>
              </w:r>
            </w:hyperlink>
            <w:r>
              <w:rPr>
                <w:sz w:val="20"/>
              </w:rPr>
              <w:t xml:space="preserve">, в том числе:</w:t>
            </w:r>
          </w:p>
        </w:tc>
        <w:tc>
          <w:tcPr>
            <w:tcW w:w="2268" w:type="dxa"/>
          </w:tcPr>
          <w:p>
            <w:pPr>
              <w:pStyle w:val="0"/>
            </w:pPr>
            <w:r>
              <w:rPr>
                <w:sz w:val="20"/>
              </w:rPr>
            </w:r>
          </w:p>
        </w:tc>
      </w:tr>
      <w:tr>
        <w:tc>
          <w:tcPr>
            <w:vMerge w:val="continue"/>
          </w:tcPr>
          <w:p/>
        </w:tc>
        <w:tc>
          <w:tcPr>
            <w:vMerge w:val="continue"/>
          </w:tcPr>
          <w:p/>
        </w:tc>
        <w:tc>
          <w:tcPr>
            <w:tcW w:w="4661" w:type="dxa"/>
          </w:tcPr>
          <w:p>
            <w:pPr>
              <w:pStyle w:val="0"/>
            </w:pPr>
            <w:r>
              <w:rPr>
                <w:sz w:val="20"/>
              </w:rPr>
              <w:t xml:space="preserve">Не проходящие службу и не проходившие ранее службу в федеральных органах исполнительной власти на должностях, по которым предусмотрено присвоение специальных (воинских) званий, и поступающие в образовательные организации высшего образования</w:t>
            </w:r>
          </w:p>
        </w:tc>
        <w:tc>
          <w:tcPr>
            <w:tcW w:w="2268" w:type="dxa"/>
          </w:tcPr>
          <w:p>
            <w:pPr>
              <w:pStyle w:val="0"/>
            </w:pPr>
            <w:r>
              <w:rPr>
                <w:sz w:val="20"/>
              </w:rPr>
              <w:t xml:space="preserve">I, II</w:t>
            </w:r>
          </w:p>
        </w:tc>
      </w:tr>
      <w:tr>
        <w:tc>
          <w:tcPr>
            <w:vMerge w:val="continue"/>
          </w:tcPr>
          <w:p/>
        </w:tc>
        <w:tc>
          <w:tcPr>
            <w:vMerge w:val="continue"/>
          </w:tcPr>
          <w:p/>
        </w:tc>
        <w:tc>
          <w:tcPr>
            <w:tcW w:w="4661" w:type="dxa"/>
          </w:tcPr>
          <w:p>
            <w:pPr>
              <w:pStyle w:val="0"/>
            </w:pPr>
            <w:r>
              <w:rPr>
                <w:sz w:val="20"/>
              </w:rPr>
              <w:t xml:space="preserve">Не проходящие службу и проходившие ранее службу в федеральных органах исполнительной власти на должностях, по которым предусмотрено присвоение специальных (воинских) званий, и поступающие в образовательные организации высшего образования</w:t>
            </w:r>
          </w:p>
        </w:tc>
        <w:tc>
          <w:tcPr>
            <w:tcW w:w="2268" w:type="dxa"/>
          </w:tcPr>
          <w:p>
            <w:pPr>
              <w:pStyle w:val="0"/>
            </w:pPr>
            <w:r>
              <w:rPr>
                <w:sz w:val="20"/>
              </w:rPr>
              <w:t xml:space="preserve">II, III</w:t>
            </w:r>
          </w:p>
        </w:tc>
      </w:tr>
      <w:tr>
        <w:tc>
          <w:tcPr>
            <w:vMerge w:val="continue"/>
          </w:tcPr>
          <w:p/>
        </w:tc>
        <w:tc>
          <w:tcPr>
            <w:vMerge w:val="continue"/>
          </w:tcPr>
          <w:p/>
        </w:tc>
        <w:tc>
          <w:tcPr>
            <w:tcW w:w="4661" w:type="dxa"/>
          </w:tcPr>
          <w:p>
            <w:pPr>
              <w:pStyle w:val="0"/>
            </w:pPr>
            <w:r>
              <w:rPr>
                <w:sz w:val="20"/>
              </w:rPr>
              <w:t xml:space="preserve">Не проходящие службу и поступающие в федеральные государственные образовательные организации со специальным наименованием "суворовское военное училище", находящиеся в ведении МВД России </w:t>
            </w:r>
            <w:hyperlink w:history="0" w:anchor="P211" w:tooltip="&lt;14&gt; Далее - &quot;суворовское училище&quot;.">
              <w:r>
                <w:rPr>
                  <w:sz w:val="20"/>
                  <w:color w:val="0000ff"/>
                </w:rPr>
                <w:t xml:space="preserve">&lt;14&gt;</w:t>
              </w:r>
            </w:hyperlink>
          </w:p>
        </w:tc>
        <w:tc>
          <w:tcPr>
            <w:tcW w:w="2268" w:type="dxa"/>
          </w:tcPr>
          <w:p>
            <w:pPr>
              <w:pStyle w:val="0"/>
            </w:pPr>
            <w:r>
              <w:rPr>
                <w:sz w:val="20"/>
              </w:rPr>
              <w:t xml:space="preserve">I</w:t>
            </w:r>
          </w:p>
        </w:tc>
      </w:tr>
      <w:tr>
        <w:tc>
          <w:tcPr>
            <w:tcW w:w="567" w:type="dxa"/>
          </w:tcPr>
          <w:p>
            <w:pPr>
              <w:pStyle w:val="0"/>
              <w:jc w:val="center"/>
            </w:pPr>
            <w:r>
              <w:rPr>
                <w:sz w:val="20"/>
              </w:rPr>
              <w:t xml:space="preserve">2.</w:t>
            </w:r>
          </w:p>
        </w:tc>
        <w:tc>
          <w:tcPr>
            <w:tcW w:w="1555" w:type="dxa"/>
          </w:tcPr>
          <w:p>
            <w:pPr>
              <w:pStyle w:val="0"/>
            </w:pPr>
            <w:r>
              <w:rPr>
                <w:sz w:val="20"/>
              </w:rPr>
              <w:t xml:space="preserve">ВВК структурного подразделения МСЧ МВД России</w:t>
            </w:r>
          </w:p>
        </w:tc>
        <w:tc>
          <w:tcPr>
            <w:tcW w:w="4661" w:type="dxa"/>
          </w:tcPr>
          <w:p>
            <w:pPr>
              <w:pStyle w:val="0"/>
            </w:pPr>
            <w:r>
              <w:rPr>
                <w:sz w:val="20"/>
              </w:rPr>
              <w:t xml:space="preserve">Категории лиц, определяемые приказом начальника (руководителя) МСЧ МВД России по представлению начальника (руководителя) ВВК МСЧ МВД России</w:t>
            </w:r>
          </w:p>
        </w:tc>
        <w:tc>
          <w:tcPr>
            <w:tcW w:w="2268" w:type="dxa"/>
          </w:tcPr>
          <w:p>
            <w:pPr>
              <w:pStyle w:val="0"/>
            </w:pPr>
            <w:r>
              <w:rPr>
                <w:sz w:val="20"/>
              </w:rPr>
              <w:t xml:space="preserve">Требования к состоянию здоровья, установленные для данной категории лиц</w:t>
            </w:r>
          </w:p>
        </w:tc>
      </w:tr>
      <w:tr>
        <w:tc>
          <w:tcPr>
            <w:tcW w:w="567" w:type="dxa"/>
          </w:tcPr>
          <w:p>
            <w:pPr>
              <w:pStyle w:val="0"/>
              <w:jc w:val="center"/>
            </w:pPr>
            <w:r>
              <w:rPr>
                <w:sz w:val="20"/>
              </w:rPr>
              <w:t xml:space="preserve">3.</w:t>
            </w:r>
          </w:p>
        </w:tc>
        <w:tc>
          <w:tcPr>
            <w:tcW w:w="1555" w:type="dxa"/>
          </w:tcPr>
          <w:p>
            <w:pPr>
              <w:pStyle w:val="0"/>
            </w:pPr>
            <w:r>
              <w:rPr>
                <w:sz w:val="20"/>
              </w:rPr>
              <w:t xml:space="preserve">Госпитальные ВВК</w:t>
            </w:r>
          </w:p>
        </w:tc>
        <w:tc>
          <w:tcPr>
            <w:tcW w:w="4661" w:type="dxa"/>
          </w:tcPr>
          <w:p>
            <w:pPr>
              <w:pStyle w:val="0"/>
            </w:pPr>
            <w:r>
              <w:rPr>
                <w:sz w:val="20"/>
              </w:rPr>
              <w:t xml:space="preserve">Категории лиц, определяемые приказом соответствующего начальника (руководителя) медицинской организации по согласованию с ДТ МВД России</w:t>
            </w:r>
          </w:p>
        </w:tc>
        <w:tc>
          <w:tcPr>
            <w:tcW w:w="2268" w:type="dxa"/>
          </w:tcPr>
          <w:p>
            <w:pPr>
              <w:pStyle w:val="0"/>
            </w:pPr>
            <w:r>
              <w:rPr>
                <w:sz w:val="20"/>
              </w:rPr>
              <w:t xml:space="preserve">Требования к состоянию здоровья, установленные для данной категории лиц</w:t>
            </w:r>
          </w:p>
        </w:tc>
      </w:tr>
      <w:tr>
        <w:tc>
          <w:tcPr>
            <w:tcW w:w="567" w:type="dxa"/>
            <w:vMerge w:val="restart"/>
          </w:tcPr>
          <w:p>
            <w:pPr>
              <w:pStyle w:val="0"/>
              <w:jc w:val="center"/>
            </w:pPr>
            <w:r>
              <w:rPr>
                <w:sz w:val="20"/>
              </w:rPr>
              <w:t xml:space="preserve">4.</w:t>
            </w:r>
          </w:p>
        </w:tc>
        <w:tc>
          <w:tcPr>
            <w:tcW w:w="1555" w:type="dxa"/>
            <w:vMerge w:val="restart"/>
          </w:tcPr>
          <w:p>
            <w:pPr>
              <w:pStyle w:val="0"/>
            </w:pPr>
            <w:r>
              <w:rPr>
                <w:sz w:val="20"/>
              </w:rPr>
              <w:t xml:space="preserve">ВВК образовательной организации, ВВК МосУ МВД России имени В.Я. Кикотя</w:t>
            </w:r>
          </w:p>
        </w:tc>
        <w:tc>
          <w:tcPr>
            <w:tcW w:w="4661" w:type="dxa"/>
          </w:tcPr>
          <w:p>
            <w:pPr>
              <w:pStyle w:val="0"/>
            </w:pPr>
            <w:r>
              <w:rPr>
                <w:sz w:val="20"/>
              </w:rPr>
              <w:t xml:space="preserve">Лица, поступающие в образовательные организации для обучения по очной форме </w:t>
            </w:r>
            <w:hyperlink w:history="0" w:anchor="P212" w:tooltip="&lt;15&gt; Окончательное освидетельствование.">
              <w:r>
                <w:rPr>
                  <w:sz w:val="20"/>
                  <w:color w:val="0000ff"/>
                </w:rPr>
                <w:t xml:space="preserve">&lt;15&gt;</w:t>
              </w:r>
            </w:hyperlink>
            <w:r>
              <w:rPr>
                <w:sz w:val="20"/>
              </w:rPr>
              <w:t xml:space="preserve"> в том числе:</w:t>
            </w:r>
          </w:p>
        </w:tc>
        <w:tc>
          <w:tcPr>
            <w:tcW w:w="2268" w:type="dxa"/>
          </w:tcPr>
          <w:p>
            <w:pPr>
              <w:pStyle w:val="0"/>
            </w:pPr>
            <w:r>
              <w:rPr>
                <w:sz w:val="20"/>
              </w:rPr>
            </w:r>
          </w:p>
        </w:tc>
      </w:tr>
      <w:tr>
        <w:tc>
          <w:tcPr>
            <w:vMerge w:val="continue"/>
          </w:tcPr>
          <w:p/>
        </w:tc>
        <w:tc>
          <w:tcPr>
            <w:vMerge w:val="continue"/>
          </w:tcPr>
          <w:p/>
        </w:tc>
        <w:tc>
          <w:tcPr>
            <w:tcW w:w="4661" w:type="dxa"/>
          </w:tcPr>
          <w:p>
            <w:pPr>
              <w:pStyle w:val="0"/>
            </w:pPr>
            <w:r>
              <w:rPr>
                <w:sz w:val="20"/>
              </w:rPr>
              <w:t xml:space="preserve">Не проходящие службу и не проходившие ранее службу в федеральных органах исполнительной власти на должностях, по которым предусмотрено присвоение специальных (воинских) званий, и поступающие в образовательные организации высшего образования</w:t>
            </w:r>
          </w:p>
        </w:tc>
        <w:tc>
          <w:tcPr>
            <w:tcW w:w="2268" w:type="dxa"/>
          </w:tcPr>
          <w:p>
            <w:pPr>
              <w:pStyle w:val="0"/>
            </w:pPr>
            <w:r>
              <w:rPr>
                <w:sz w:val="20"/>
              </w:rPr>
              <w:t xml:space="preserve">I, II</w:t>
            </w:r>
          </w:p>
        </w:tc>
      </w:tr>
      <w:tr>
        <w:tc>
          <w:tcPr>
            <w:vMerge w:val="continue"/>
          </w:tcPr>
          <w:p/>
        </w:tc>
        <w:tc>
          <w:tcPr>
            <w:vMerge w:val="continue"/>
          </w:tcPr>
          <w:p/>
        </w:tc>
        <w:tc>
          <w:tcPr>
            <w:tcW w:w="4661" w:type="dxa"/>
          </w:tcPr>
          <w:p>
            <w:pPr>
              <w:pStyle w:val="0"/>
            </w:pPr>
            <w:r>
              <w:rPr>
                <w:sz w:val="20"/>
              </w:rPr>
              <w:t xml:space="preserve">Не проходящие службу и проходившие ранее службу в федеральных органах исполнительной власти на должностях, по которым предусмотрено присвоение специальных (воинских) званий, и поступающие в образовательные организации высшего образования</w:t>
            </w:r>
          </w:p>
        </w:tc>
        <w:tc>
          <w:tcPr>
            <w:tcW w:w="2268" w:type="dxa"/>
          </w:tcPr>
          <w:p>
            <w:pPr>
              <w:pStyle w:val="0"/>
            </w:pPr>
            <w:r>
              <w:rPr>
                <w:sz w:val="20"/>
              </w:rPr>
              <w:t xml:space="preserve">II, III</w:t>
            </w:r>
          </w:p>
        </w:tc>
      </w:tr>
      <w:tr>
        <w:tc>
          <w:tcPr>
            <w:vMerge w:val="continue"/>
          </w:tcPr>
          <w:p/>
        </w:tc>
        <w:tc>
          <w:tcPr>
            <w:vMerge w:val="continue"/>
          </w:tcPr>
          <w:p/>
        </w:tc>
        <w:tc>
          <w:tcPr>
            <w:tcW w:w="4661" w:type="dxa"/>
          </w:tcPr>
          <w:p>
            <w:pPr>
              <w:pStyle w:val="0"/>
            </w:pPr>
            <w:r>
              <w:rPr>
                <w:sz w:val="20"/>
              </w:rPr>
              <w:t xml:space="preserve">Не проходящие службу и поступающие в федеральные государственные образовательные организации со специальным наименованием "суворовское военное училище", находящиеся в ведении МВД России</w:t>
            </w:r>
          </w:p>
        </w:tc>
        <w:tc>
          <w:tcPr>
            <w:tcW w:w="2268" w:type="dxa"/>
          </w:tcPr>
          <w:p>
            <w:pPr>
              <w:pStyle w:val="0"/>
            </w:pPr>
            <w:r>
              <w:rPr>
                <w:sz w:val="20"/>
              </w:rPr>
              <w:t xml:space="preserve">I</w:t>
            </w:r>
          </w:p>
        </w:tc>
      </w:tr>
      <w:tr>
        <w:tc>
          <w:tcPr>
            <w:vMerge w:val="continue"/>
          </w:tcPr>
          <w:p/>
        </w:tc>
        <w:tc>
          <w:tcPr>
            <w:vMerge w:val="continue"/>
          </w:tcPr>
          <w:p/>
        </w:tc>
        <w:tc>
          <w:tcPr>
            <w:tcW w:w="4661" w:type="dxa"/>
          </w:tcPr>
          <w:p>
            <w:pPr>
              <w:pStyle w:val="0"/>
            </w:pPr>
            <w:r>
              <w:rPr>
                <w:sz w:val="20"/>
              </w:rPr>
              <w:t xml:space="preserve">Сотрудники</w:t>
            </w:r>
          </w:p>
        </w:tc>
        <w:tc>
          <w:tcPr>
            <w:tcW w:w="2268" w:type="dxa"/>
          </w:tcPr>
          <w:p>
            <w:pPr>
              <w:pStyle w:val="0"/>
            </w:pPr>
            <w:r>
              <w:rPr>
                <w:sz w:val="20"/>
              </w:rPr>
              <w:t xml:space="preserve">III</w:t>
            </w:r>
          </w:p>
        </w:tc>
      </w:tr>
    </w:tbl>
    <w:p>
      <w:pPr>
        <w:pStyle w:val="0"/>
        <w:jc w:val="both"/>
      </w:pPr>
      <w:r>
        <w:rPr>
          <w:sz w:val="20"/>
        </w:rPr>
      </w:r>
    </w:p>
    <w:p>
      <w:pPr>
        <w:pStyle w:val="0"/>
        <w:jc w:val="both"/>
      </w:pPr>
      <w:r>
        <w:rPr>
          <w:sz w:val="20"/>
        </w:rPr>
        <w:t xml:space="preserve">(п. 11 в ред. </w:t>
      </w:r>
      <w:hyperlink w:history="0" r:id="rId25"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Приказа</w:t>
        </w:r>
      </w:hyperlink>
      <w:r>
        <w:rPr>
          <w:sz w:val="20"/>
        </w:rPr>
        <w:t xml:space="preserve"> МВД России от 23.12.2022 N 989)</w:t>
      </w:r>
    </w:p>
    <w:p>
      <w:pPr>
        <w:pStyle w:val="0"/>
        <w:jc w:val="both"/>
      </w:pPr>
      <w:r>
        <w:rPr>
          <w:sz w:val="20"/>
        </w:rPr>
      </w:r>
    </w:p>
    <w:p>
      <w:pPr>
        <w:pStyle w:val="0"/>
        <w:ind w:firstLine="540"/>
        <w:jc w:val="both"/>
      </w:pPr>
      <w:r>
        <w:rPr>
          <w:sz w:val="20"/>
        </w:rPr>
        <w:t xml:space="preserve">--------------------------------</w:t>
      </w:r>
    </w:p>
    <w:bookmarkStart w:id="200" w:name="P200"/>
    <w:bookmarkEnd w:id="200"/>
    <w:p>
      <w:pPr>
        <w:pStyle w:val="0"/>
        <w:spacing w:before="200" w:lineRule="auto"/>
        <w:ind w:firstLine="540"/>
        <w:jc w:val="both"/>
      </w:pPr>
      <w:r>
        <w:rPr>
          <w:sz w:val="20"/>
        </w:rPr>
        <w:t xml:space="preserve">&lt;3&gt; Далее - "служба".</w:t>
      </w:r>
    </w:p>
    <w:bookmarkStart w:id="201" w:name="P201"/>
    <w:bookmarkEnd w:id="201"/>
    <w:p>
      <w:pPr>
        <w:pStyle w:val="0"/>
        <w:spacing w:before="200" w:lineRule="auto"/>
        <w:ind w:firstLine="540"/>
        <w:jc w:val="both"/>
      </w:pPr>
      <w:r>
        <w:rPr>
          <w:sz w:val="20"/>
        </w:rPr>
        <w:t xml:space="preserve">&lt;4&gt; Далее - "РВ".</w:t>
      </w:r>
    </w:p>
    <w:bookmarkStart w:id="202" w:name="P202"/>
    <w:bookmarkEnd w:id="202"/>
    <w:p>
      <w:pPr>
        <w:pStyle w:val="0"/>
        <w:spacing w:before="200" w:lineRule="auto"/>
        <w:ind w:firstLine="540"/>
        <w:jc w:val="both"/>
      </w:pPr>
      <w:r>
        <w:rPr>
          <w:sz w:val="20"/>
        </w:rPr>
        <w:t xml:space="preserve">&lt;5&gt; Далее - "ИИИ".</w:t>
      </w:r>
    </w:p>
    <w:bookmarkStart w:id="203" w:name="P203"/>
    <w:bookmarkEnd w:id="203"/>
    <w:p>
      <w:pPr>
        <w:pStyle w:val="0"/>
        <w:spacing w:before="200" w:lineRule="auto"/>
        <w:ind w:firstLine="540"/>
        <w:jc w:val="both"/>
      </w:pPr>
      <w:r>
        <w:rPr>
          <w:sz w:val="20"/>
        </w:rPr>
        <w:t xml:space="preserve">&lt;6&gt; Далее - "КРТ".</w:t>
      </w:r>
    </w:p>
    <w:bookmarkStart w:id="204" w:name="P204"/>
    <w:bookmarkEnd w:id="204"/>
    <w:p>
      <w:pPr>
        <w:pStyle w:val="0"/>
        <w:spacing w:before="200" w:lineRule="auto"/>
        <w:ind w:firstLine="540"/>
        <w:jc w:val="both"/>
      </w:pPr>
      <w:r>
        <w:rPr>
          <w:sz w:val="20"/>
        </w:rPr>
        <w:t xml:space="preserve">&lt;7&gt; Далее - "ЭМП".</w:t>
      </w:r>
    </w:p>
    <w:bookmarkStart w:id="205" w:name="P205"/>
    <w:bookmarkEnd w:id="205"/>
    <w:p>
      <w:pPr>
        <w:pStyle w:val="0"/>
        <w:spacing w:before="200" w:lineRule="auto"/>
        <w:ind w:firstLine="540"/>
        <w:jc w:val="both"/>
      </w:pPr>
      <w:r>
        <w:rPr>
          <w:sz w:val="20"/>
        </w:rPr>
        <w:t xml:space="preserve">&lt;8&gt; Далее - "ОКГ".</w:t>
      </w:r>
    </w:p>
    <w:bookmarkStart w:id="206" w:name="P206"/>
    <w:bookmarkEnd w:id="206"/>
    <w:p>
      <w:pPr>
        <w:pStyle w:val="0"/>
        <w:spacing w:before="200" w:lineRule="auto"/>
        <w:ind w:firstLine="540"/>
        <w:jc w:val="both"/>
      </w:pPr>
      <w:r>
        <w:rPr>
          <w:sz w:val="20"/>
        </w:rPr>
        <w:t xml:space="preserve">&lt;9&gt; Далее - "МО".</w:t>
      </w:r>
    </w:p>
    <w:bookmarkStart w:id="207" w:name="P207"/>
    <w:bookmarkEnd w:id="207"/>
    <w:p>
      <w:pPr>
        <w:pStyle w:val="0"/>
        <w:spacing w:before="200" w:lineRule="auto"/>
        <w:ind w:firstLine="540"/>
        <w:jc w:val="both"/>
      </w:pPr>
      <w:r>
        <w:rPr>
          <w:sz w:val="20"/>
        </w:rPr>
        <w:t xml:space="preserve">&lt;10&gt; Далее - "граждане, поступающие на учебу по договору".</w:t>
      </w:r>
    </w:p>
    <w:bookmarkStart w:id="208" w:name="P208"/>
    <w:bookmarkEnd w:id="208"/>
    <w:p>
      <w:pPr>
        <w:pStyle w:val="0"/>
        <w:spacing w:before="200" w:lineRule="auto"/>
        <w:ind w:firstLine="540"/>
        <w:jc w:val="both"/>
      </w:pPr>
      <w:r>
        <w:rPr>
          <w:sz w:val="20"/>
        </w:rPr>
        <w:t xml:space="preserve">&lt;11&gt; Далее - "сотрудники".</w:t>
      </w:r>
    </w:p>
    <w:bookmarkStart w:id="209" w:name="P209"/>
    <w:bookmarkEnd w:id="209"/>
    <w:p>
      <w:pPr>
        <w:pStyle w:val="0"/>
        <w:spacing w:before="200" w:lineRule="auto"/>
        <w:ind w:firstLine="540"/>
        <w:jc w:val="both"/>
      </w:pPr>
      <w:r>
        <w:rPr>
          <w:sz w:val="20"/>
        </w:rPr>
        <w:t xml:space="preserve">&lt;12&gt; Далее - "образовательные организации высшего образования".</w:t>
      </w:r>
    </w:p>
    <w:bookmarkStart w:id="210" w:name="P210"/>
    <w:bookmarkEnd w:id="210"/>
    <w:p>
      <w:pPr>
        <w:pStyle w:val="0"/>
        <w:spacing w:before="200" w:lineRule="auto"/>
        <w:ind w:firstLine="540"/>
        <w:jc w:val="both"/>
      </w:pPr>
      <w:r>
        <w:rPr>
          <w:sz w:val="20"/>
        </w:rPr>
        <w:t xml:space="preserve">&lt;13&gt; Предварительное освидетельствование.</w:t>
      </w:r>
    </w:p>
    <w:bookmarkStart w:id="211" w:name="P211"/>
    <w:bookmarkEnd w:id="211"/>
    <w:p>
      <w:pPr>
        <w:pStyle w:val="0"/>
        <w:spacing w:before="200" w:lineRule="auto"/>
        <w:ind w:firstLine="540"/>
        <w:jc w:val="both"/>
      </w:pPr>
      <w:r>
        <w:rPr>
          <w:sz w:val="20"/>
        </w:rPr>
        <w:t xml:space="preserve">&lt;14&gt; Далее - "суворовское училище".</w:t>
      </w:r>
    </w:p>
    <w:bookmarkStart w:id="212" w:name="P212"/>
    <w:bookmarkEnd w:id="212"/>
    <w:p>
      <w:pPr>
        <w:pStyle w:val="0"/>
        <w:spacing w:before="200" w:lineRule="auto"/>
        <w:ind w:firstLine="540"/>
        <w:jc w:val="both"/>
      </w:pPr>
      <w:r>
        <w:rPr>
          <w:sz w:val="20"/>
        </w:rPr>
        <w:t xml:space="preserve">&lt;15&gt; Окончательное освидетельствование.</w:t>
      </w:r>
    </w:p>
    <w:p>
      <w:pPr>
        <w:pStyle w:val="0"/>
        <w:jc w:val="both"/>
      </w:pPr>
      <w:r>
        <w:rPr>
          <w:sz w:val="20"/>
        </w:rPr>
      </w:r>
    </w:p>
    <w:p>
      <w:pPr>
        <w:pStyle w:val="0"/>
        <w:ind w:firstLine="540"/>
        <w:jc w:val="both"/>
      </w:pPr>
      <w:r>
        <w:rPr>
          <w:sz w:val="20"/>
        </w:rPr>
        <w:t xml:space="preserve">12. Освидетельствование (за исключением случаев, когда нормативными правовыми актами Российской Федерации предусмотрены иные основания освидетельствования) проводится на основании направления на освидетельствование по </w:t>
      </w:r>
      <w:hyperlink w:history="0" r:id="rId26"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1</w:t>
        </w:r>
      </w:hyperlink>
      <w:r>
        <w:rPr>
          <w:sz w:val="20"/>
        </w:rPr>
        <w:t xml:space="preserve">, указанной в приложении N 3 к приказу о военно-врачебной экспертизе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"направление".</w:t>
      </w:r>
    </w:p>
    <w:p>
      <w:pPr>
        <w:pStyle w:val="0"/>
        <w:jc w:val="both"/>
      </w:pPr>
      <w:r>
        <w:rPr>
          <w:sz w:val="20"/>
        </w:rPr>
      </w:r>
    </w:p>
    <w:p>
      <w:pPr>
        <w:pStyle w:val="0"/>
        <w:ind w:firstLine="540"/>
        <w:jc w:val="both"/>
      </w:pPr>
      <w:r>
        <w:rPr>
          <w:sz w:val="20"/>
        </w:rPr>
        <w:t xml:space="preserve">13. Направление подписывается Министром внутренних дел Российской Федерации либо руководителем (начальником), имеющим право назначения на соответствующую должность.</w:t>
      </w:r>
    </w:p>
    <w:p>
      <w:pPr>
        <w:pStyle w:val="0"/>
        <w:spacing w:before="200" w:lineRule="auto"/>
        <w:ind w:firstLine="540"/>
        <w:jc w:val="both"/>
      </w:pPr>
      <w:r>
        <w:rPr>
          <w:sz w:val="20"/>
        </w:rPr>
        <w:t xml:space="preserve">14. Утратил силу. - </w:t>
      </w:r>
      <w:hyperlink w:history="0" r:id="rId27"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w:t>
        </w:r>
      </w:hyperlink>
      <w:r>
        <w:rPr>
          <w:sz w:val="20"/>
        </w:rPr>
        <w:t xml:space="preserve"> МВД России от 23.12.2022 N 989.</w:t>
      </w:r>
    </w:p>
    <w:p>
      <w:pPr>
        <w:pStyle w:val="0"/>
        <w:spacing w:before="200" w:lineRule="auto"/>
        <w:ind w:firstLine="540"/>
        <w:jc w:val="both"/>
      </w:pPr>
      <w:r>
        <w:rPr>
          <w:sz w:val="20"/>
        </w:rPr>
        <w:t xml:space="preserve">15. Одновременно с направлением подразделениями по работе с личным составом выдается:</w:t>
      </w:r>
    </w:p>
    <w:bookmarkStart w:id="221" w:name="P221"/>
    <w:bookmarkEnd w:id="221"/>
    <w:p>
      <w:pPr>
        <w:pStyle w:val="0"/>
        <w:spacing w:before="200" w:lineRule="auto"/>
        <w:ind w:firstLine="540"/>
        <w:jc w:val="both"/>
      </w:pPr>
      <w:r>
        <w:rPr>
          <w:sz w:val="20"/>
        </w:rPr>
        <w:t xml:space="preserve">15.1. Гражданам, поступающим на службу:</w:t>
      </w:r>
    </w:p>
    <w:p>
      <w:pPr>
        <w:pStyle w:val="0"/>
        <w:spacing w:before="200" w:lineRule="auto"/>
        <w:ind w:firstLine="540"/>
        <w:jc w:val="both"/>
      </w:pPr>
      <w:r>
        <w:rPr>
          <w:sz w:val="20"/>
        </w:rPr>
        <w:t xml:space="preserve">15.1.1. Список обязательных диагностических исследований, которые проводятся до освидетельствования в медицинских, организациях государственной или муниципальной системы здравоохранения (</w:t>
      </w:r>
      <w:hyperlink w:history="0" r:id="rId28"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пункты 26</w:t>
        </w:r>
      </w:hyperlink>
      <w:r>
        <w:rPr>
          <w:sz w:val="20"/>
        </w:rPr>
        <w:t xml:space="preserve"> и </w:t>
      </w:r>
      <w:hyperlink w:history="0" r:id="rId29"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43</w:t>
        </w:r>
      </w:hyperlink>
      <w:r>
        <w:rPr>
          <w:sz w:val="20"/>
        </w:rPr>
        <w:t xml:space="preserve"> Положения, </w:t>
      </w:r>
      <w:hyperlink w:history="0" r:id="rId30"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Перечень</w:t>
        </w:r>
      </w:hyperlink>
      <w:r>
        <w:rPr>
          <w:sz w:val="20"/>
        </w:rPr>
        <w:t xml:space="preserve"> дополнительных обязательных диагностических исследований, проводимых до начала медицинского освидетельствования граждан, поступающих на службу в органы внутренних дел Российской Федерации (приложение N 2 к приказу о военно-врачебной экспертизе).</w:t>
      </w:r>
    </w:p>
    <w:p>
      <w:pPr>
        <w:pStyle w:val="0"/>
        <w:spacing w:before="200" w:lineRule="auto"/>
        <w:ind w:firstLine="540"/>
        <w:jc w:val="both"/>
      </w:pPr>
      <w:r>
        <w:rPr>
          <w:sz w:val="20"/>
        </w:rPr>
        <w:t xml:space="preserve">15.1.2. Запросы в соответствующие медицинские организации для представления в ВВК медицинской карты пациента, получающего медицинскую помощь в амбулаторных условиях (характеризующей состояние здоровья не менее чем за последние 5 лет), сведений о состоянии на учете (наблюдении) по поводу психических расстройств, наркомании, алкоголизма, токсикомании, злоупотребления наркотическими средствами и другими токсическими веществами, инфицирования вирусом иммунодефицита человека, о состоянии на диспансерном наблюдении по поводу других заболеваний.</w:t>
      </w:r>
    </w:p>
    <w:bookmarkStart w:id="224" w:name="P224"/>
    <w:bookmarkEnd w:id="224"/>
    <w:p>
      <w:pPr>
        <w:pStyle w:val="0"/>
        <w:spacing w:before="200" w:lineRule="auto"/>
        <w:ind w:firstLine="540"/>
        <w:jc w:val="both"/>
      </w:pPr>
      <w:r>
        <w:rPr>
          <w:sz w:val="20"/>
        </w:rPr>
        <w:t xml:space="preserve">15.2. Гражданам, поступающим в образовательные организации, гражданам, поступающим на учебу по договору:</w:t>
      </w:r>
    </w:p>
    <w:p>
      <w:pPr>
        <w:pStyle w:val="0"/>
        <w:spacing w:before="200" w:lineRule="auto"/>
        <w:ind w:firstLine="540"/>
        <w:jc w:val="both"/>
      </w:pPr>
      <w:r>
        <w:rPr>
          <w:sz w:val="20"/>
        </w:rPr>
        <w:t xml:space="preserve">15.2.1. Список обязательных диагностических исследований, которые проводятся до освидетельствования в медицинских организациях государственной или муниципальной системы здравоохранения (</w:t>
      </w:r>
      <w:hyperlink w:history="0" r:id="rId31"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пункты 26</w:t>
        </w:r>
      </w:hyperlink>
      <w:r>
        <w:rPr>
          <w:sz w:val="20"/>
        </w:rPr>
        <w:t xml:space="preserve"> и </w:t>
      </w:r>
      <w:hyperlink w:history="0" r:id="rId32"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43</w:t>
        </w:r>
      </w:hyperlink>
      <w:r>
        <w:rPr>
          <w:sz w:val="20"/>
        </w:rPr>
        <w:t xml:space="preserve"> Положения).</w:t>
      </w:r>
    </w:p>
    <w:p>
      <w:pPr>
        <w:pStyle w:val="0"/>
        <w:spacing w:before="200" w:lineRule="auto"/>
        <w:ind w:firstLine="540"/>
        <w:jc w:val="both"/>
      </w:pPr>
      <w:r>
        <w:rPr>
          <w:sz w:val="20"/>
        </w:rPr>
        <w:t xml:space="preserve">15.2.2. Запросы в соответствующие медицинские организации для представления в ВВК медицинской карты пациента, получающего медицинскую помощь в амбулаторных условиях (характеризующей состояние здоровья с момента рождения гражданина), сведений о состоянии на учете (наблюдении) по поводу психических расстройств, наркомании, алкоголизма, токсикомании, злоупотребления наркотическими средствами и другими токсическими веществами, инфицирования вирусом иммунодефицита человека, о состоянии на диспансерном наблюдении по поводу других заболеваний, карты профилактических прививок (или выписки из нее) с указанием сведений о профилактических прививках, проведенных и планируемых в год освидетельствования (для детей в возрасте до 15 лет).</w:t>
      </w:r>
    </w:p>
    <w:p>
      <w:pPr>
        <w:pStyle w:val="0"/>
        <w:spacing w:before="200" w:lineRule="auto"/>
        <w:ind w:firstLine="540"/>
        <w:jc w:val="both"/>
      </w:pPr>
      <w:r>
        <w:rPr>
          <w:sz w:val="20"/>
        </w:rPr>
        <w:t xml:space="preserve">15.3. Сотрудникам, за исключением сотрудников, направляемых на освидетельствование для определения степени тяжести полученных ими увечий (ранений, травм, контузий):</w:t>
      </w:r>
    </w:p>
    <w:p>
      <w:pPr>
        <w:pStyle w:val="0"/>
        <w:spacing w:before="200" w:lineRule="auto"/>
        <w:ind w:firstLine="540"/>
        <w:jc w:val="both"/>
      </w:pPr>
      <w:r>
        <w:rPr>
          <w:sz w:val="20"/>
        </w:rPr>
        <w:t xml:space="preserve">15.3.1. Список обязательных диагностических исследований, которые проводятся до освидетельствования в медицинской организации, к которой сотрудник прикреплен на медицинское обслуживание (</w:t>
      </w:r>
      <w:hyperlink w:history="0" r:id="rId33"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пункт 76</w:t>
        </w:r>
      </w:hyperlink>
      <w:r>
        <w:rPr>
          <w:sz w:val="20"/>
        </w:rPr>
        <w:t xml:space="preserve"> Положения, </w:t>
      </w:r>
      <w:hyperlink w:history="0" r:id="rId34"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Перечень</w:t>
        </w:r>
      </w:hyperlink>
      <w:r>
        <w:rPr>
          <w:sz w:val="20"/>
        </w:rPr>
        <w:t xml:space="preserve"> дополнительных обязательных диагностических исследований, проводимых до начала медицинского освидетельствования сотрудников органов внутренних дел Российской Федерации (приложение N 2 к приказу о военно-врачебной экспертизе).</w:t>
      </w:r>
    </w:p>
    <w:p>
      <w:pPr>
        <w:pStyle w:val="0"/>
        <w:spacing w:before="200" w:lineRule="auto"/>
        <w:ind w:firstLine="540"/>
        <w:jc w:val="both"/>
      </w:pPr>
      <w:r>
        <w:rPr>
          <w:sz w:val="20"/>
        </w:rPr>
        <w:t xml:space="preserve">15.3.2. Запрос в медицинскую организацию, к которой сотрудник прикреплен на медицинское обслуживание, для представления в ВВК медицинской характеристики по </w:t>
      </w:r>
      <w:hyperlink w:history="0" r:id="rId35"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2</w:t>
        </w:r>
      </w:hyperlink>
      <w:r>
        <w:rPr>
          <w:sz w:val="20"/>
        </w:rPr>
        <w:t xml:space="preserve">, указанной в приложении N 3 к приказу о военно-врачебной экспертизе, и медицинской карты пациента, получающего медицинскую помощь в амбулаторных условиях.</w:t>
      </w:r>
    </w:p>
    <w:p>
      <w:pPr>
        <w:pStyle w:val="0"/>
        <w:spacing w:before="200" w:lineRule="auto"/>
        <w:ind w:firstLine="540"/>
        <w:jc w:val="both"/>
      </w:pPr>
      <w:r>
        <w:rPr>
          <w:sz w:val="20"/>
        </w:rPr>
        <w:t xml:space="preserve">15.4. Сотрудникам (гражданам, проходившим службу), направленным для определения степени тяжести увечья, полученного в период службы:</w:t>
      </w:r>
    </w:p>
    <w:p>
      <w:pPr>
        <w:pStyle w:val="0"/>
        <w:spacing w:before="200" w:lineRule="auto"/>
        <w:ind w:firstLine="540"/>
        <w:jc w:val="both"/>
      </w:pPr>
      <w:r>
        <w:rPr>
          <w:sz w:val="20"/>
        </w:rPr>
        <w:t xml:space="preserve">15.4.1. Заключение проверки обстоятельств получения увечья.</w:t>
      </w:r>
    </w:p>
    <w:p>
      <w:pPr>
        <w:pStyle w:val="0"/>
        <w:spacing w:before="200" w:lineRule="auto"/>
        <w:ind w:firstLine="540"/>
        <w:jc w:val="both"/>
      </w:pPr>
      <w:r>
        <w:rPr>
          <w:sz w:val="20"/>
        </w:rPr>
        <w:t xml:space="preserve">15.4.2. Запрос в медицинскую организацию, к которой сотрудник (гражданин, проходивший службу) прикреплен на медицинское обслуживание (был прикреплен на медицинское обслуживание в период прохождения службы), для представления в ВВК медицинской карты пациента, получающего медицинскую помощь в амбулаторных условиях.</w:t>
      </w:r>
    </w:p>
    <w:p>
      <w:pPr>
        <w:pStyle w:val="0"/>
        <w:spacing w:before="200" w:lineRule="auto"/>
        <w:ind w:firstLine="540"/>
        <w:jc w:val="both"/>
      </w:pPr>
      <w:r>
        <w:rPr>
          <w:sz w:val="20"/>
        </w:rPr>
        <w:t xml:space="preserve">15.5. Гражданам, проходившим службу, направленным для определения категории годности к службе на момент увольнения со службы:</w:t>
      </w:r>
    </w:p>
    <w:p>
      <w:pPr>
        <w:pStyle w:val="0"/>
        <w:spacing w:before="200" w:lineRule="auto"/>
        <w:ind w:firstLine="540"/>
        <w:jc w:val="both"/>
      </w:pPr>
      <w:r>
        <w:rPr>
          <w:sz w:val="20"/>
        </w:rPr>
        <w:t xml:space="preserve">15.5.1. Документы о сроках прохождения гражданином службы.</w:t>
      </w:r>
    </w:p>
    <w:p>
      <w:pPr>
        <w:pStyle w:val="0"/>
        <w:spacing w:before="200" w:lineRule="auto"/>
        <w:ind w:firstLine="540"/>
        <w:jc w:val="both"/>
      </w:pPr>
      <w:r>
        <w:rPr>
          <w:sz w:val="20"/>
        </w:rPr>
        <w:t xml:space="preserve">15.5.2. Выписка из приказа об увольнении со службы.</w:t>
      </w:r>
    </w:p>
    <w:p>
      <w:pPr>
        <w:pStyle w:val="0"/>
        <w:spacing w:before="200" w:lineRule="auto"/>
        <w:ind w:firstLine="540"/>
        <w:jc w:val="both"/>
      </w:pPr>
      <w:r>
        <w:rPr>
          <w:sz w:val="20"/>
        </w:rPr>
        <w:t xml:space="preserve">15.5.3. Запрос в медицинскую организацию, к которой гражданин, проходивший службу, был прикреплен на медицинское обслуживание в период прохождения службы, для представления в ВВК медицинской карты пациента, получающего медицинскую помощь в амбулаторных условиях.</w:t>
      </w:r>
    </w:p>
    <w:p>
      <w:pPr>
        <w:pStyle w:val="0"/>
        <w:spacing w:before="200" w:lineRule="auto"/>
        <w:ind w:firstLine="540"/>
        <w:jc w:val="both"/>
      </w:pPr>
      <w:r>
        <w:rPr>
          <w:sz w:val="20"/>
        </w:rPr>
        <w:t xml:space="preserve">15.6. Гражданам, проходившим службу, направленным для определения причинной связи со службой &lt;1&gt; увечий, заболеваний:</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"причинная связь".</w:t>
      </w:r>
    </w:p>
    <w:p>
      <w:pPr>
        <w:pStyle w:val="0"/>
        <w:jc w:val="both"/>
      </w:pPr>
      <w:r>
        <w:rPr>
          <w:sz w:val="20"/>
        </w:rPr>
      </w:r>
    </w:p>
    <w:p>
      <w:pPr>
        <w:pStyle w:val="0"/>
        <w:ind w:firstLine="540"/>
        <w:jc w:val="both"/>
      </w:pPr>
      <w:r>
        <w:rPr>
          <w:sz w:val="20"/>
        </w:rPr>
        <w:t xml:space="preserve">15.6.1. Документы о сроках прохождения гражданином службы.</w:t>
      </w:r>
    </w:p>
    <w:p>
      <w:pPr>
        <w:pStyle w:val="0"/>
        <w:spacing w:before="200" w:lineRule="auto"/>
        <w:ind w:firstLine="540"/>
        <w:jc w:val="both"/>
      </w:pPr>
      <w:r>
        <w:rPr>
          <w:sz w:val="20"/>
        </w:rPr>
        <w:t xml:space="preserve">15.6.2. Запрос в медицинскую организацию, к которой гражданин, проходивший службу, был прикреплен на медицинское обслуживание в период прохождения службы, для представления в ВВК медицинской карты пациента, получающего медицинскую помощь в амбулаторных условиях.</w:t>
      </w:r>
    </w:p>
    <w:p>
      <w:pPr>
        <w:pStyle w:val="0"/>
        <w:spacing w:before="200" w:lineRule="auto"/>
        <w:ind w:firstLine="540"/>
        <w:jc w:val="both"/>
      </w:pPr>
      <w:r>
        <w:rPr>
          <w:sz w:val="20"/>
        </w:rPr>
        <w:t xml:space="preserve">15.7. Членам семьи сотрудника (гражданина, проходившего службу), для определения причинной связи увечий, заболеваний, приведших к смерти сотрудника (гражданина, проходившего службу):</w:t>
      </w:r>
    </w:p>
    <w:p>
      <w:pPr>
        <w:pStyle w:val="0"/>
        <w:spacing w:before="200" w:lineRule="auto"/>
        <w:ind w:firstLine="540"/>
        <w:jc w:val="both"/>
      </w:pPr>
      <w:r>
        <w:rPr>
          <w:sz w:val="20"/>
        </w:rPr>
        <w:t xml:space="preserve">15.7.1. Заключение проверки об обстоятельствах смерти сотрудника, гражданина, проходившего службу (если такая проверка проводилась).</w:t>
      </w:r>
    </w:p>
    <w:p>
      <w:pPr>
        <w:pStyle w:val="0"/>
        <w:spacing w:before="200" w:lineRule="auto"/>
        <w:ind w:firstLine="540"/>
        <w:jc w:val="both"/>
      </w:pPr>
      <w:r>
        <w:rPr>
          <w:sz w:val="20"/>
        </w:rPr>
        <w:t xml:space="preserve">15.7.2. Документы о сроках прохождения гражданином службы.</w:t>
      </w:r>
    </w:p>
    <w:p>
      <w:pPr>
        <w:pStyle w:val="0"/>
        <w:spacing w:before="200" w:lineRule="auto"/>
        <w:ind w:firstLine="540"/>
        <w:jc w:val="both"/>
      </w:pPr>
      <w:r>
        <w:rPr>
          <w:sz w:val="20"/>
        </w:rPr>
        <w:t xml:space="preserve">15.7.3. Копия свидетельства о смерти гражданина.</w:t>
      </w:r>
    </w:p>
    <w:p>
      <w:pPr>
        <w:pStyle w:val="0"/>
        <w:spacing w:before="200" w:lineRule="auto"/>
        <w:ind w:firstLine="540"/>
        <w:jc w:val="both"/>
      </w:pPr>
      <w:r>
        <w:rPr>
          <w:sz w:val="20"/>
        </w:rPr>
        <w:t xml:space="preserve">15.7.4. Медицинские документы гражданина, в том числе акт патолого-анатомического (судебно-медицинского) исследования трупа гражданина, а в случае если оно не проводилось - медицинское свидетельство о смерти.</w:t>
      </w:r>
    </w:p>
    <w:p>
      <w:pPr>
        <w:pStyle w:val="0"/>
        <w:spacing w:before="200" w:lineRule="auto"/>
        <w:ind w:firstLine="540"/>
        <w:jc w:val="both"/>
      </w:pPr>
      <w:r>
        <w:rPr>
          <w:sz w:val="20"/>
        </w:rPr>
        <w:t xml:space="preserve">15(1). В случае если граждане, указанные в </w:t>
      </w:r>
      <w:hyperlink w:history="0" w:anchor="P221" w:tooltip="15.1. Гражданам, поступающим на службу:">
        <w:r>
          <w:rPr>
            <w:sz w:val="20"/>
            <w:color w:val="0000ff"/>
          </w:rPr>
          <w:t xml:space="preserve">подпунктах 15.1</w:t>
        </w:r>
      </w:hyperlink>
      <w:r>
        <w:rPr>
          <w:sz w:val="20"/>
        </w:rPr>
        <w:t xml:space="preserve"> и </w:t>
      </w:r>
      <w:hyperlink w:history="0" w:anchor="P224" w:tooltip="15.2. Гражданам, поступающим в образовательные организации, гражданам, поступающим на учебу по договору:">
        <w:r>
          <w:rPr>
            <w:sz w:val="20"/>
            <w:color w:val="0000ff"/>
          </w:rPr>
          <w:t xml:space="preserve">15.2</w:t>
        </w:r>
      </w:hyperlink>
      <w:r>
        <w:rPr>
          <w:sz w:val="20"/>
        </w:rPr>
        <w:t xml:space="preserve"> настоящей Инструкции, в течение последних 5 лет меняли место жительства, подразделение по работе с личным составом оказывает содействие в истребовании указанных сведений и документов путем направления запросов в соответствующие медицинские организации по прежнему месту жительства.</w:t>
      </w:r>
    </w:p>
    <w:p>
      <w:pPr>
        <w:pStyle w:val="0"/>
        <w:jc w:val="both"/>
      </w:pPr>
      <w:r>
        <w:rPr>
          <w:sz w:val="20"/>
        </w:rPr>
        <w:t xml:space="preserve">(п. 15(1) введен </w:t>
      </w:r>
      <w:hyperlink w:history="0" r:id="rId36"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Приказом</w:t>
        </w:r>
      </w:hyperlink>
      <w:r>
        <w:rPr>
          <w:sz w:val="20"/>
        </w:rPr>
        <w:t xml:space="preserve"> МВД России от 23.12.2022 N 989)</w:t>
      </w:r>
    </w:p>
    <w:p>
      <w:pPr>
        <w:pStyle w:val="0"/>
        <w:spacing w:before="200" w:lineRule="auto"/>
        <w:ind w:firstLine="540"/>
        <w:jc w:val="both"/>
      </w:pPr>
      <w:r>
        <w:rPr>
          <w:sz w:val="20"/>
        </w:rPr>
        <w:t xml:space="preserve">15(2). Прием лиц, направленных на освидетельствование, осуществляется ВВК по записи. Запись на освидетельствование с определением конкретной даты явки осуществляется при условии наличия у освидетельствуемого результатов обязательных диагностических исследований, которые проводятся до начала освидетельствования (</w:t>
      </w:r>
      <w:hyperlink w:history="0" r:id="rId37"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пункты 26</w:t>
        </w:r>
      </w:hyperlink>
      <w:r>
        <w:rPr>
          <w:sz w:val="20"/>
        </w:rPr>
        <w:t xml:space="preserve">, </w:t>
      </w:r>
      <w:hyperlink w:history="0" r:id="rId38"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43</w:t>
        </w:r>
      </w:hyperlink>
      <w:r>
        <w:rPr>
          <w:sz w:val="20"/>
        </w:rPr>
        <w:t xml:space="preserve"> и </w:t>
      </w:r>
      <w:hyperlink w:history="0" r:id="rId39"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76</w:t>
        </w:r>
      </w:hyperlink>
      <w:r>
        <w:rPr>
          <w:sz w:val="20"/>
        </w:rPr>
        <w:t xml:space="preserve"> Положения, </w:t>
      </w:r>
      <w:hyperlink w:history="0" r:id="rId40"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Перечень</w:t>
        </w:r>
      </w:hyperlink>
      <w:r>
        <w:rPr>
          <w:sz w:val="20"/>
        </w:rPr>
        <w:t xml:space="preserve"> дополнительных обязательных диагностических исследований, проводимых до начала медицинского освидетельствования граждан, поступающих на службу в органы внутренних дел Российской Федерации (приложение N 2 к приказу о военно-врачебной экспертизе), дистанционно либо при личной явке освидетельствуемого на ВВК или подразделением по работе с личным составом.</w:t>
      </w:r>
    </w:p>
    <w:p>
      <w:pPr>
        <w:pStyle w:val="0"/>
        <w:jc w:val="both"/>
      </w:pPr>
      <w:r>
        <w:rPr>
          <w:sz w:val="20"/>
        </w:rPr>
        <w:t xml:space="preserve">(п. 15(2) введен </w:t>
      </w:r>
      <w:hyperlink w:history="0" r:id="rId41"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Приказом</w:t>
        </w:r>
      </w:hyperlink>
      <w:r>
        <w:rPr>
          <w:sz w:val="20"/>
        </w:rPr>
        <w:t xml:space="preserve"> МВД России от 23.12.2022 N 989)</w:t>
      </w:r>
    </w:p>
    <w:bookmarkStart w:id="252" w:name="P252"/>
    <w:bookmarkEnd w:id="252"/>
    <w:p>
      <w:pPr>
        <w:pStyle w:val="0"/>
        <w:spacing w:before="200" w:lineRule="auto"/>
        <w:ind w:firstLine="540"/>
        <w:jc w:val="both"/>
      </w:pPr>
      <w:r>
        <w:rPr>
          <w:sz w:val="20"/>
        </w:rPr>
        <w:t xml:space="preserve">16. При явке на ВВК оформляется:</w:t>
      </w:r>
    </w:p>
    <w:p>
      <w:pPr>
        <w:pStyle w:val="0"/>
        <w:spacing w:before="200" w:lineRule="auto"/>
        <w:ind w:firstLine="540"/>
        <w:jc w:val="both"/>
      </w:pPr>
      <w:r>
        <w:rPr>
          <w:sz w:val="20"/>
        </w:rPr>
        <w:t xml:space="preserve">16.1. Акт медицинского освидетельствования по </w:t>
      </w:r>
      <w:hyperlink w:history="0" r:id="rId42"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3</w:t>
        </w:r>
      </w:hyperlink>
      <w:r>
        <w:rPr>
          <w:sz w:val="20"/>
        </w:rPr>
        <w:t xml:space="preserve">, указанной в приложении N 3 к приказу о военно-врачебной экспертизе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"акт медицинского освидетельствования".</w:t>
      </w:r>
    </w:p>
    <w:p>
      <w:pPr>
        <w:pStyle w:val="0"/>
        <w:ind w:firstLine="540"/>
        <w:jc w:val="both"/>
      </w:pPr>
      <w:r>
        <w:rPr>
          <w:sz w:val="20"/>
        </w:rPr>
      </w:r>
    </w:p>
    <w:p>
      <w:pPr>
        <w:pStyle w:val="0"/>
        <w:ind w:firstLine="540"/>
        <w:jc w:val="both"/>
      </w:pPr>
      <w:r>
        <w:rPr>
          <w:sz w:val="20"/>
        </w:rPr>
        <w:t xml:space="preserve">16.1.1. Гражданам, поступающим на службу.</w:t>
      </w:r>
    </w:p>
    <w:p>
      <w:pPr>
        <w:pStyle w:val="0"/>
        <w:spacing w:before="200" w:lineRule="auto"/>
        <w:ind w:firstLine="540"/>
        <w:jc w:val="both"/>
      </w:pPr>
      <w:r>
        <w:rPr>
          <w:sz w:val="20"/>
        </w:rPr>
        <w:t xml:space="preserve">16.1.2. Гражданам, поступающим на учебу по договору.</w:t>
      </w:r>
    </w:p>
    <w:p>
      <w:pPr>
        <w:pStyle w:val="0"/>
        <w:spacing w:before="200" w:lineRule="auto"/>
        <w:ind w:firstLine="540"/>
        <w:jc w:val="both"/>
      </w:pPr>
      <w:r>
        <w:rPr>
          <w:sz w:val="20"/>
        </w:rPr>
        <w:t xml:space="preserve">16.1.3. Сотрудникам (за исключением лиц, указанных в </w:t>
      </w:r>
      <w:hyperlink w:history="0" w:anchor="P271" w:tooltip="17. Сотрудникам, членам семей сотрудников, находящихся на стационарном лечении в медицинских организациях системы МВД России и проходящих освидетельствование в ВВК структурного подразделения МСЧ МВД России, госпитальной ВВК, акт медицинского освидетельствования не оформляется. Результаты проведенных обследований отражаются в эпикризе в медицинской карте стационарного больного.">
        <w:r>
          <w:rPr>
            <w:sz w:val="20"/>
            <w:color w:val="0000ff"/>
          </w:rPr>
          <w:t xml:space="preserve">пункте 17</w:t>
        </w:r>
      </w:hyperlink>
      <w:r>
        <w:rPr>
          <w:sz w:val="20"/>
        </w:rPr>
        <w:t xml:space="preserve"> настоящей Инструкции, и сотрудников, направленных для определения степени тяжести увечий).</w:t>
      </w:r>
    </w:p>
    <w:p>
      <w:pPr>
        <w:pStyle w:val="0"/>
        <w:spacing w:before="200" w:lineRule="auto"/>
        <w:ind w:firstLine="540"/>
        <w:jc w:val="both"/>
      </w:pPr>
      <w:r>
        <w:rPr>
          <w:sz w:val="20"/>
        </w:rPr>
        <w:t xml:space="preserve">16.1.4. Членам семей сотрудников (за исключением лиц, указанных в </w:t>
      </w:r>
      <w:hyperlink w:history="0" w:anchor="P252" w:tooltip="16. При явке на ВВК оформляется:">
        <w:r>
          <w:rPr>
            <w:sz w:val="20"/>
            <w:color w:val="0000ff"/>
          </w:rPr>
          <w:t xml:space="preserve">пункте 16</w:t>
        </w:r>
      </w:hyperlink>
      <w:r>
        <w:rPr>
          <w:sz w:val="20"/>
        </w:rPr>
        <w:t xml:space="preserve"> настоящей Инструкции).</w:t>
      </w:r>
    </w:p>
    <w:bookmarkStart w:id="261" w:name="P261"/>
    <w:bookmarkEnd w:id="261"/>
    <w:p>
      <w:pPr>
        <w:pStyle w:val="0"/>
        <w:spacing w:before="200" w:lineRule="auto"/>
        <w:ind w:firstLine="540"/>
        <w:jc w:val="both"/>
      </w:pPr>
      <w:r>
        <w:rPr>
          <w:sz w:val="20"/>
        </w:rPr>
        <w:t xml:space="preserve">16.2. Карта медицинского освидетельствования по </w:t>
      </w:r>
      <w:hyperlink w:history="0" r:id="rId43"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4</w:t>
        </w:r>
      </w:hyperlink>
      <w:r>
        <w:rPr>
          <w:sz w:val="20"/>
        </w:rPr>
        <w:t xml:space="preserve">, указанной в приложении N 3 к приказу о военно-врачебной экспертизе &lt;2&gt;, - гражданам, поступающим в образовательные организации и прибывшим на предварительное освидетельствование. Результаты окончательного освидетельствования заносятся в соответствующие разделы карты медицинского освидетельствования, оформленной в ходе предварительного освидетельствования гражданина.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"карта медицинского освидетельствования".</w:t>
      </w:r>
    </w:p>
    <w:p>
      <w:pPr>
        <w:pStyle w:val="0"/>
        <w:jc w:val="both"/>
      </w:pPr>
      <w:r>
        <w:rPr>
          <w:sz w:val="20"/>
        </w:rPr>
      </w:r>
    </w:p>
    <w:bookmarkStart w:id="265" w:name="P265"/>
    <w:bookmarkEnd w:id="265"/>
    <w:p>
      <w:pPr>
        <w:pStyle w:val="0"/>
        <w:ind w:firstLine="540"/>
        <w:jc w:val="both"/>
      </w:pPr>
      <w:r>
        <w:rPr>
          <w:sz w:val="20"/>
        </w:rPr>
        <w:t xml:space="preserve">16.3. Направление к медицинскому психологу медицинской организации системы МВД России для проведения исследования (обследования), направленного на выявление патопсихологических синдромов при психических заболеваниях (порядок оформления направления аналогичен порядку, установленному </w:t>
      </w:r>
      <w:hyperlink w:history="0" w:anchor="P283" w:tooltip="21. Направление на дополнительное обследование оформляется в двух экземплярах: первый выдается на руки освидетельствуемому, второй приобщается к акту медицинского освидетельствования (карте медицинского освидетельствования).">
        <w:r>
          <w:rPr>
            <w:sz w:val="20"/>
            <w:color w:val="0000ff"/>
          </w:rPr>
          <w:t xml:space="preserve">пунктом 21</w:t>
        </w:r>
      </w:hyperlink>
      <w:r>
        <w:rPr>
          <w:sz w:val="20"/>
        </w:rPr>
        <w:t xml:space="preserve"> настоящей Инструкции):</w:t>
      </w:r>
    </w:p>
    <w:p>
      <w:pPr>
        <w:pStyle w:val="0"/>
        <w:spacing w:before="200" w:lineRule="auto"/>
        <w:ind w:firstLine="540"/>
        <w:jc w:val="both"/>
      </w:pPr>
      <w:r>
        <w:rPr>
          <w:sz w:val="20"/>
        </w:rPr>
        <w:t xml:space="preserve">16.3.1. Гражданам, поступающим на службу.</w:t>
      </w:r>
    </w:p>
    <w:p>
      <w:pPr>
        <w:pStyle w:val="0"/>
        <w:spacing w:before="200" w:lineRule="auto"/>
        <w:ind w:firstLine="540"/>
        <w:jc w:val="both"/>
      </w:pPr>
      <w:r>
        <w:rPr>
          <w:sz w:val="20"/>
        </w:rPr>
        <w:t xml:space="preserve">16.3.2. Гражданам, поступающим на учебу по договору.</w:t>
      </w:r>
    </w:p>
    <w:p>
      <w:pPr>
        <w:pStyle w:val="0"/>
        <w:spacing w:before="200" w:lineRule="auto"/>
        <w:ind w:firstLine="540"/>
        <w:jc w:val="both"/>
      </w:pPr>
      <w:r>
        <w:rPr>
          <w:sz w:val="20"/>
        </w:rPr>
        <w:t xml:space="preserve">16.3.3. Гражданам, поступающим в образовательные организации.</w:t>
      </w:r>
    </w:p>
    <w:p>
      <w:pPr>
        <w:pStyle w:val="0"/>
        <w:spacing w:before="200" w:lineRule="auto"/>
        <w:ind w:firstLine="540"/>
        <w:jc w:val="both"/>
      </w:pPr>
      <w:r>
        <w:rPr>
          <w:sz w:val="20"/>
        </w:rPr>
        <w:t xml:space="preserve">16.3.4. Сотрудникам (за исключением сотрудников, направленных для определения степени тяжести увечий).</w:t>
      </w:r>
    </w:p>
    <w:p>
      <w:pPr>
        <w:pStyle w:val="0"/>
        <w:spacing w:before="200" w:lineRule="auto"/>
        <w:ind w:firstLine="540"/>
        <w:jc w:val="both"/>
      </w:pPr>
      <w:r>
        <w:rPr>
          <w:sz w:val="20"/>
        </w:rPr>
        <w:t xml:space="preserve">16.4. Алфавитная карточка по </w:t>
      </w:r>
      <w:hyperlink w:history="0" r:id="rId44"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16</w:t>
        </w:r>
      </w:hyperlink>
      <w:r>
        <w:rPr>
          <w:sz w:val="20"/>
        </w:rPr>
        <w:t xml:space="preserve">, указанной в приложении N 3 к приказу о военно-врачебной экспертизе, - лицам, освидетельствуемым данной ВВК впервые. При повторном освидетельствовании производится отметка о номере и дате заключения ВВК в этой же алфавитной карточке.</w:t>
      </w:r>
    </w:p>
    <w:bookmarkStart w:id="271" w:name="P271"/>
    <w:bookmarkEnd w:id="271"/>
    <w:p>
      <w:pPr>
        <w:pStyle w:val="0"/>
        <w:spacing w:before="200" w:lineRule="auto"/>
        <w:ind w:firstLine="540"/>
        <w:jc w:val="both"/>
      </w:pPr>
      <w:r>
        <w:rPr>
          <w:sz w:val="20"/>
        </w:rPr>
        <w:t xml:space="preserve">17. Сотрудникам, членам семей сотрудников, находящихся на стационарном лечении в медицинских организациях системы МВД России и проходящих освидетельствование в ВВК структурного подразделения МСЧ МВД России, госпитальной ВВК, акт медицинского освидетельствования не оформляется. Результаты проведенных обследований отражаются в эпикризе в медицинской карте стационарного больного.</w:t>
      </w:r>
    </w:p>
    <w:p>
      <w:pPr>
        <w:pStyle w:val="0"/>
        <w:spacing w:before="200" w:lineRule="auto"/>
        <w:ind w:firstLine="540"/>
        <w:jc w:val="both"/>
      </w:pPr>
      <w:r>
        <w:rPr>
          <w:sz w:val="20"/>
        </w:rPr>
        <w:t xml:space="preserve">18. При проведении освидетельствования члены ВВК должны удостовериться в личности освидетельствуемого (сличить внешность освидетельствуемого с фотографией в документе, удостоверяющем личность).</w:t>
      </w:r>
    </w:p>
    <w:p>
      <w:pPr>
        <w:pStyle w:val="0"/>
        <w:spacing w:before="200" w:lineRule="auto"/>
        <w:ind w:firstLine="540"/>
        <w:jc w:val="both"/>
      </w:pPr>
      <w:r>
        <w:rPr>
          <w:sz w:val="20"/>
        </w:rPr>
        <w:t xml:space="preserve">19. Освидетельствование проводят врачи-специалисты, включенные в состав ВВК: врач-хирург, врач-терапевт, врач-невролог, врач-психиатр, врач-офтальмолог, врач-оториноларинголог, врач-стоматолог, врач-дерматовенеролог и при необходимости - врачи других специальностей. Врач-психиатр проводит освидетельствование граждан, поступающих на службу, граждан, поступающих на учебу по договору, граждан, поступающих в образовательные организации, сотрудников после получения от медицинских психологов медицинской организации системы МВД России результатов исследований (обследований), указанных в </w:t>
      </w:r>
      <w:hyperlink w:history="0" w:anchor="P265" w:tooltip="16.3. Направление к медицинскому психологу медицинской организации системы МВД России для проведения исследования (обследования), направленного на выявление патопсихологических синдромов при психических заболеваниях (порядок оформления направления аналогичен порядку, установленному пунктом 21 настоящей Инструкции):">
        <w:r>
          <w:rPr>
            <w:sz w:val="20"/>
            <w:color w:val="0000ff"/>
          </w:rPr>
          <w:t xml:space="preserve">подпункте 16.3</w:t>
        </w:r>
      </w:hyperlink>
      <w:r>
        <w:rPr>
          <w:sz w:val="20"/>
        </w:rPr>
        <w:t xml:space="preserve"> Инструкции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5"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Пункты 11</w:t>
        </w:r>
      </w:hyperlink>
      <w:r>
        <w:rPr>
          <w:sz w:val="20"/>
        </w:rPr>
        <w:t xml:space="preserve">, </w:t>
      </w:r>
      <w:hyperlink w:history="0" r:id="rId46"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28</w:t>
        </w:r>
      </w:hyperlink>
      <w:r>
        <w:rPr>
          <w:sz w:val="20"/>
        </w:rPr>
        <w:t xml:space="preserve">, </w:t>
      </w:r>
      <w:hyperlink w:history="0" r:id="rId47" w:tooltip="Постановление Правительства РФ от 04.07.2013 N 565 (ред. от 29.08.2025) &quot;Об утверждении Положения о военно-врачебной экспертизе&quot; {КонсультантПлюс}">
        <w:r>
          <w:rPr>
            <w:sz w:val="20"/>
            <w:color w:val="0000ff"/>
          </w:rPr>
          <w:t xml:space="preserve">43</w:t>
        </w:r>
      </w:hyperlink>
      <w:r>
        <w:rPr>
          <w:sz w:val="20"/>
        </w:rPr>
        <w:t xml:space="preserve"> Положения.</w:t>
      </w:r>
    </w:p>
    <w:p>
      <w:pPr>
        <w:pStyle w:val="0"/>
        <w:jc w:val="both"/>
      </w:pPr>
      <w:r>
        <w:rPr>
          <w:sz w:val="20"/>
        </w:rPr>
      </w:r>
    </w:p>
    <w:p>
      <w:pPr>
        <w:pStyle w:val="0"/>
        <w:ind w:firstLine="540"/>
        <w:jc w:val="both"/>
      </w:pPr>
      <w:r>
        <w:rPr>
          <w:sz w:val="20"/>
        </w:rPr>
        <w:t xml:space="preserve">19(1). Если у гражданина, поступающего на службу, при проведении освидетельствования выявляется заболевание, исключающее возможность поступления на службу, дальнейшее освидетельствование прекращается и ВВК выносит заключение о негодности освидетельствуемого к службе.</w:t>
      </w:r>
    </w:p>
    <w:p>
      <w:pPr>
        <w:pStyle w:val="0"/>
        <w:jc w:val="both"/>
      </w:pPr>
      <w:r>
        <w:rPr>
          <w:sz w:val="20"/>
        </w:rPr>
        <w:t xml:space="preserve">(п. 19(1) введен </w:t>
      </w:r>
      <w:hyperlink w:history="0" r:id="rId48"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Приказом</w:t>
        </w:r>
      </w:hyperlink>
      <w:r>
        <w:rPr>
          <w:sz w:val="20"/>
        </w:rPr>
        <w:t xml:space="preserve"> МВД России от 23.12.2022 N 989)</w:t>
      </w:r>
    </w:p>
    <w:p>
      <w:pPr>
        <w:pStyle w:val="0"/>
        <w:spacing w:before="200" w:lineRule="auto"/>
        <w:ind w:firstLine="540"/>
        <w:jc w:val="both"/>
      </w:pPr>
      <w:r>
        <w:rPr>
          <w:sz w:val="20"/>
        </w:rPr>
        <w:t xml:space="preserve">20. При необходимости направления освидетельствуемого на дополнительное обследование оформляется направление на дополнительное обследование по </w:t>
      </w:r>
      <w:hyperlink w:history="0" r:id="rId49"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5</w:t>
        </w:r>
      </w:hyperlink>
      <w:r>
        <w:rPr>
          <w:sz w:val="20"/>
        </w:rPr>
        <w:t xml:space="preserve">, указанной в приложении N 3 к приказу о военно-врачебной экспертизе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"направление на дополнительное обследование".</w:t>
      </w:r>
    </w:p>
    <w:p>
      <w:pPr>
        <w:pStyle w:val="0"/>
        <w:jc w:val="both"/>
      </w:pPr>
      <w:r>
        <w:rPr>
          <w:sz w:val="20"/>
        </w:rPr>
      </w:r>
    </w:p>
    <w:bookmarkStart w:id="283" w:name="P283"/>
    <w:bookmarkEnd w:id="283"/>
    <w:p>
      <w:pPr>
        <w:pStyle w:val="0"/>
        <w:ind w:firstLine="540"/>
        <w:jc w:val="both"/>
      </w:pPr>
      <w:r>
        <w:rPr>
          <w:sz w:val="20"/>
        </w:rPr>
        <w:t xml:space="preserve">21. Направление на дополнительное обследование оформляется в двух экземплярах: первый выдается на руки освидетельствуемому, второй приобщается к акту медицинского освидетельствования (карте медицинского освидетельствования).</w:t>
      </w:r>
    </w:p>
    <w:p>
      <w:pPr>
        <w:pStyle w:val="0"/>
        <w:spacing w:before="200" w:lineRule="auto"/>
        <w:ind w:firstLine="540"/>
        <w:jc w:val="both"/>
      </w:pPr>
      <w:r>
        <w:rPr>
          <w:sz w:val="20"/>
        </w:rPr>
        <w:t xml:space="preserve">22. По результатам освидетельствования ВВК оформляет:</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2041"/>
        <w:gridCol w:w="2494"/>
        <w:gridCol w:w="964"/>
        <w:gridCol w:w="2948"/>
      </w:tblGrid>
      <w:tr>
        <w:tc>
          <w:tcPr>
            <w:tcW w:w="567" w:type="dxa"/>
          </w:tcPr>
          <w:p>
            <w:pPr>
              <w:pStyle w:val="0"/>
              <w:jc w:val="center"/>
            </w:pPr>
            <w:r>
              <w:rPr>
                <w:sz w:val="20"/>
              </w:rPr>
              <w:t xml:space="preserve">N п/п</w:t>
            </w:r>
          </w:p>
        </w:tc>
        <w:tc>
          <w:tcPr>
            <w:tcW w:w="2041" w:type="dxa"/>
          </w:tcPr>
          <w:p>
            <w:pPr>
              <w:pStyle w:val="0"/>
              <w:jc w:val="center"/>
            </w:pPr>
            <w:r>
              <w:rPr>
                <w:sz w:val="20"/>
              </w:rPr>
              <w:t xml:space="preserve">Категории освидетельствованных</w:t>
            </w:r>
          </w:p>
        </w:tc>
        <w:tc>
          <w:tcPr>
            <w:tcW w:w="2494" w:type="dxa"/>
          </w:tcPr>
          <w:p>
            <w:pPr>
              <w:pStyle w:val="0"/>
              <w:jc w:val="center"/>
            </w:pPr>
            <w:r>
              <w:rPr>
                <w:sz w:val="20"/>
              </w:rPr>
              <w:t xml:space="preserve">Документы, оформляемые ВВК</w:t>
            </w:r>
          </w:p>
        </w:tc>
        <w:tc>
          <w:tcPr>
            <w:tcW w:w="964" w:type="dxa"/>
          </w:tcPr>
          <w:p>
            <w:pPr>
              <w:pStyle w:val="0"/>
              <w:jc w:val="center"/>
            </w:pPr>
            <w:r>
              <w:rPr>
                <w:sz w:val="20"/>
              </w:rPr>
              <w:t xml:space="preserve">Количество экземпляров</w:t>
            </w:r>
          </w:p>
        </w:tc>
        <w:tc>
          <w:tcPr>
            <w:tcW w:w="2948" w:type="dxa"/>
          </w:tcPr>
          <w:p>
            <w:pPr>
              <w:pStyle w:val="0"/>
              <w:jc w:val="center"/>
            </w:pPr>
            <w:r>
              <w:rPr>
                <w:sz w:val="20"/>
              </w:rPr>
              <w:t xml:space="preserve">Примечания</w:t>
            </w:r>
          </w:p>
        </w:tc>
      </w:tr>
      <w:tr>
        <w:tc>
          <w:tcPr>
            <w:tcW w:w="567" w:type="dxa"/>
          </w:tcPr>
          <w:p>
            <w:pPr>
              <w:pStyle w:val="0"/>
              <w:jc w:val="center"/>
            </w:pPr>
            <w:r>
              <w:rPr>
                <w:sz w:val="20"/>
              </w:rPr>
              <w:t xml:space="preserve">1</w:t>
            </w:r>
          </w:p>
        </w:tc>
        <w:tc>
          <w:tcPr>
            <w:tcW w:w="2041" w:type="dxa"/>
          </w:tcPr>
          <w:p>
            <w:pPr>
              <w:pStyle w:val="0"/>
              <w:jc w:val="center"/>
            </w:pPr>
            <w:r>
              <w:rPr>
                <w:sz w:val="20"/>
              </w:rPr>
              <w:t xml:space="preserve">2</w:t>
            </w:r>
          </w:p>
        </w:tc>
        <w:tc>
          <w:tcPr>
            <w:tcW w:w="2494" w:type="dxa"/>
          </w:tcPr>
          <w:p>
            <w:pPr>
              <w:pStyle w:val="0"/>
              <w:jc w:val="center"/>
            </w:pPr>
            <w:r>
              <w:rPr>
                <w:sz w:val="20"/>
              </w:rPr>
              <w:t xml:space="preserve">3</w:t>
            </w:r>
          </w:p>
        </w:tc>
        <w:tc>
          <w:tcPr>
            <w:tcW w:w="964" w:type="dxa"/>
          </w:tcPr>
          <w:p>
            <w:pPr>
              <w:pStyle w:val="0"/>
              <w:jc w:val="center"/>
            </w:pPr>
            <w:r>
              <w:rPr>
                <w:sz w:val="20"/>
              </w:rPr>
              <w:t xml:space="preserve">4</w:t>
            </w:r>
          </w:p>
        </w:tc>
        <w:tc>
          <w:tcPr>
            <w:tcW w:w="2948" w:type="dxa"/>
          </w:tcPr>
          <w:p>
            <w:pPr>
              <w:pStyle w:val="0"/>
              <w:jc w:val="center"/>
            </w:pPr>
            <w:r>
              <w:rPr>
                <w:sz w:val="20"/>
              </w:rPr>
              <w:t xml:space="preserve">5</w:t>
            </w:r>
          </w:p>
        </w:tc>
      </w:tr>
      <w:tr>
        <w:tc>
          <w:tcPr>
            <w:tcW w:w="567" w:type="dxa"/>
            <w:vMerge w:val="restart"/>
          </w:tcPr>
          <w:p>
            <w:pPr>
              <w:pStyle w:val="0"/>
              <w:jc w:val="center"/>
            </w:pPr>
            <w:r>
              <w:rPr>
                <w:sz w:val="20"/>
              </w:rPr>
              <w:t xml:space="preserve">1.</w:t>
            </w:r>
          </w:p>
        </w:tc>
        <w:tc>
          <w:tcPr>
            <w:tcW w:w="2041" w:type="dxa"/>
            <w:vMerge w:val="restart"/>
          </w:tcPr>
          <w:p>
            <w:pPr>
              <w:pStyle w:val="0"/>
              <w:jc w:val="both"/>
            </w:pPr>
            <w:r>
              <w:rPr>
                <w:sz w:val="20"/>
              </w:rPr>
              <w:t xml:space="preserve">Граждане, поступающие на службу, граждане, поступающие на учебу по договору</w:t>
            </w:r>
          </w:p>
        </w:tc>
        <w:tc>
          <w:tcPr>
            <w:tcW w:w="2494" w:type="dxa"/>
          </w:tcPr>
          <w:p>
            <w:pPr>
              <w:pStyle w:val="0"/>
              <w:jc w:val="both"/>
            </w:pPr>
            <w:r>
              <w:rPr>
                <w:sz w:val="20"/>
              </w:rPr>
              <w:t xml:space="preserve">Акт медицинского освидетельствования</w:t>
            </w:r>
          </w:p>
        </w:tc>
        <w:tc>
          <w:tcPr>
            <w:tcW w:w="964" w:type="dxa"/>
          </w:tcPr>
          <w:p>
            <w:pPr>
              <w:pStyle w:val="0"/>
              <w:jc w:val="center"/>
            </w:pPr>
            <w:r>
              <w:rPr>
                <w:sz w:val="20"/>
              </w:rPr>
              <w:t xml:space="preserve">1</w:t>
            </w:r>
          </w:p>
        </w:tc>
        <w:tc>
          <w:tcPr>
            <w:tcW w:w="2948" w:type="dxa"/>
          </w:tcPr>
          <w:p>
            <w:pPr>
              <w:pStyle w:val="0"/>
              <w:jc w:val="both"/>
            </w:pPr>
            <w:r>
              <w:rPr>
                <w:sz w:val="20"/>
              </w:rPr>
              <w:t xml:space="preserve">Хранится в деле ВВК в установленном порядке</w:t>
            </w:r>
          </w:p>
        </w:tc>
      </w:tr>
      <w:tr>
        <w:tc>
          <w:tcPr>
            <w:vMerge w:val="continue"/>
          </w:tcPr>
          <w:p/>
        </w:tc>
        <w:tc>
          <w:tcPr>
            <w:vMerge w:val="continue"/>
          </w:tcPr>
          <w:p/>
        </w:tc>
        <w:tc>
          <w:tcPr>
            <w:tcW w:w="2494" w:type="dxa"/>
          </w:tcPr>
          <w:p>
            <w:pPr>
              <w:pStyle w:val="0"/>
              <w:jc w:val="both"/>
            </w:pPr>
            <w:r>
              <w:rPr>
                <w:sz w:val="20"/>
              </w:rPr>
              <w:t xml:space="preserve">Справка по </w:t>
            </w:r>
            <w:hyperlink w:history="0" r:id="rId50"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7</w:t>
              </w:r>
            </w:hyperlink>
            <w:r>
              <w:rPr>
                <w:sz w:val="20"/>
              </w:rPr>
              <w:t xml:space="preserve">, указанной в приложении N 3 к приказу о военно-врачебной экспертизе </w:t>
            </w:r>
            <w:hyperlink w:history="0" w:anchor="P311" w:tooltip="&lt;3&gt; Далее - &quot;справка по форме N 7&quot;.">
              <w:r>
                <w:rPr>
                  <w:sz w:val="20"/>
                  <w:color w:val="0000ff"/>
                </w:rPr>
                <w:t xml:space="preserve">&lt;3&gt;</w:t>
              </w:r>
            </w:hyperlink>
          </w:p>
        </w:tc>
        <w:tc>
          <w:tcPr>
            <w:tcW w:w="964" w:type="dxa"/>
          </w:tcPr>
          <w:p>
            <w:pPr>
              <w:pStyle w:val="0"/>
              <w:jc w:val="center"/>
            </w:pPr>
            <w:r>
              <w:rPr>
                <w:sz w:val="20"/>
              </w:rPr>
              <w:t xml:space="preserve">1</w:t>
            </w:r>
          </w:p>
        </w:tc>
        <w:tc>
          <w:tcPr>
            <w:tcW w:w="2948" w:type="dxa"/>
          </w:tcPr>
          <w:p>
            <w:pPr>
              <w:pStyle w:val="0"/>
              <w:jc w:val="both"/>
            </w:pPr>
            <w:r>
              <w:rPr>
                <w:sz w:val="20"/>
              </w:rPr>
              <w:t xml:space="preserve">Направляется в соответствующее подразделение по работе с личным составом</w:t>
            </w:r>
          </w:p>
        </w:tc>
      </w:tr>
      <w:tr>
        <w:tc>
          <w:tcPr>
            <w:tcW w:w="567" w:type="dxa"/>
          </w:tcPr>
          <w:p>
            <w:pPr>
              <w:pStyle w:val="0"/>
              <w:jc w:val="center"/>
            </w:pPr>
            <w:r>
              <w:rPr>
                <w:sz w:val="20"/>
              </w:rPr>
              <w:t xml:space="preserve">2.</w:t>
            </w:r>
          </w:p>
        </w:tc>
        <w:tc>
          <w:tcPr>
            <w:tcW w:w="2041" w:type="dxa"/>
          </w:tcPr>
          <w:p>
            <w:pPr>
              <w:pStyle w:val="0"/>
              <w:jc w:val="both"/>
            </w:pPr>
            <w:r>
              <w:rPr>
                <w:sz w:val="20"/>
              </w:rPr>
              <w:t xml:space="preserve">Граждане, поступающие в образовательные организации при предварительном освидетельствовании</w:t>
            </w:r>
          </w:p>
        </w:tc>
        <w:tc>
          <w:tcPr>
            <w:tcW w:w="2494" w:type="dxa"/>
          </w:tcPr>
          <w:p>
            <w:pPr>
              <w:pStyle w:val="0"/>
              <w:jc w:val="both"/>
            </w:pPr>
            <w:r>
              <w:rPr>
                <w:sz w:val="20"/>
              </w:rPr>
              <w:t xml:space="preserve">Карта медицинского освидетельствования</w:t>
            </w:r>
          </w:p>
        </w:tc>
        <w:tc>
          <w:tcPr>
            <w:tcW w:w="964" w:type="dxa"/>
          </w:tcPr>
          <w:p>
            <w:pPr>
              <w:pStyle w:val="0"/>
              <w:jc w:val="center"/>
            </w:pPr>
            <w:r>
              <w:rPr>
                <w:sz w:val="20"/>
              </w:rPr>
              <w:t xml:space="preserve">1</w:t>
            </w:r>
          </w:p>
        </w:tc>
        <w:tc>
          <w:tcPr>
            <w:tcW w:w="2948" w:type="dxa"/>
          </w:tcPr>
          <w:p>
            <w:pPr>
              <w:pStyle w:val="0"/>
              <w:jc w:val="both"/>
            </w:pPr>
            <w:r>
              <w:rPr>
                <w:sz w:val="20"/>
              </w:rPr>
              <w:t xml:space="preserve">В случае признания гражданина не годным (временно не годным) к службе и/или не годным к поступлению в образовательную организацию - хранится в деле ВВК в установленном порядке; в остальных случаях направляется в соответствующее подразделение по работе с личным составом для представления в</w:t>
            </w:r>
          </w:p>
        </w:tc>
      </w:tr>
    </w:tbl>
    <w:p>
      <w:pPr>
        <w:pStyle w:val="0"/>
        <w:jc w:val="both"/>
      </w:pPr>
      <w:r>
        <w:rPr>
          <w:sz w:val="20"/>
        </w:rPr>
      </w:r>
    </w:p>
    <w:p>
      <w:pPr>
        <w:pStyle w:val="0"/>
        <w:ind w:firstLine="540"/>
        <w:jc w:val="both"/>
      </w:pPr>
      <w:r>
        <w:rPr>
          <w:sz w:val="20"/>
        </w:rPr>
        <w:t xml:space="preserve">--------------------------------</w:t>
      </w:r>
    </w:p>
    <w:bookmarkStart w:id="311" w:name="P311"/>
    <w:bookmarkEnd w:id="311"/>
    <w:p>
      <w:pPr>
        <w:pStyle w:val="0"/>
        <w:spacing w:before="200" w:lineRule="auto"/>
        <w:ind w:firstLine="540"/>
        <w:jc w:val="both"/>
      </w:pPr>
      <w:r>
        <w:rPr>
          <w:sz w:val="20"/>
        </w:rPr>
        <w:t xml:space="preserve">&lt;3&gt; Далее - "справка по форме N 7".</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2041"/>
        <w:gridCol w:w="2494"/>
        <w:gridCol w:w="964"/>
        <w:gridCol w:w="2948"/>
      </w:tblGrid>
      <w:tr>
        <w:tc>
          <w:tcPr>
            <w:tcW w:w="567" w:type="dxa"/>
          </w:tcPr>
          <w:p>
            <w:pPr>
              <w:pStyle w:val="0"/>
              <w:jc w:val="center"/>
            </w:pPr>
            <w:r>
              <w:rPr>
                <w:sz w:val="20"/>
              </w:rPr>
              <w:t xml:space="preserve">1</w:t>
            </w:r>
          </w:p>
        </w:tc>
        <w:tc>
          <w:tcPr>
            <w:tcW w:w="2041" w:type="dxa"/>
          </w:tcPr>
          <w:p>
            <w:pPr>
              <w:pStyle w:val="0"/>
              <w:jc w:val="center"/>
            </w:pPr>
            <w:r>
              <w:rPr>
                <w:sz w:val="20"/>
              </w:rPr>
              <w:t xml:space="preserve">2</w:t>
            </w:r>
          </w:p>
        </w:tc>
        <w:tc>
          <w:tcPr>
            <w:tcW w:w="2494" w:type="dxa"/>
          </w:tcPr>
          <w:p>
            <w:pPr>
              <w:pStyle w:val="0"/>
              <w:jc w:val="center"/>
            </w:pPr>
            <w:r>
              <w:rPr>
                <w:sz w:val="20"/>
              </w:rPr>
              <w:t xml:space="preserve">3</w:t>
            </w:r>
          </w:p>
        </w:tc>
        <w:tc>
          <w:tcPr>
            <w:tcW w:w="964" w:type="dxa"/>
          </w:tcPr>
          <w:p>
            <w:pPr>
              <w:pStyle w:val="0"/>
              <w:jc w:val="center"/>
            </w:pPr>
            <w:r>
              <w:rPr>
                <w:sz w:val="20"/>
              </w:rPr>
              <w:t xml:space="preserve">4</w:t>
            </w:r>
          </w:p>
        </w:tc>
        <w:tc>
          <w:tcPr>
            <w:tcW w:w="2948" w:type="dxa"/>
          </w:tcPr>
          <w:p>
            <w:pPr>
              <w:pStyle w:val="0"/>
              <w:jc w:val="center"/>
            </w:pPr>
            <w:r>
              <w:rPr>
                <w:sz w:val="20"/>
              </w:rPr>
              <w:t xml:space="preserve">5</w:t>
            </w:r>
          </w:p>
        </w:tc>
      </w:tr>
      <w:tr>
        <w:tc>
          <w:tcPr>
            <w:tcW w:w="567" w:type="dxa"/>
            <w:vMerge w:val="restart"/>
          </w:tcPr>
          <w:p>
            <w:pPr>
              <w:pStyle w:val="0"/>
            </w:pPr>
            <w:r>
              <w:rPr>
                <w:sz w:val="20"/>
              </w:rPr>
            </w:r>
          </w:p>
        </w:tc>
        <w:tc>
          <w:tcPr>
            <w:tcW w:w="2041" w:type="dxa"/>
            <w:vMerge w:val="restart"/>
          </w:tcPr>
          <w:p>
            <w:pPr>
              <w:pStyle w:val="0"/>
            </w:pPr>
            <w:r>
              <w:rPr>
                <w:sz w:val="20"/>
              </w:rPr>
            </w:r>
          </w:p>
        </w:tc>
        <w:tc>
          <w:tcPr>
            <w:tcW w:w="2494" w:type="dxa"/>
          </w:tcPr>
          <w:p>
            <w:pPr>
              <w:pStyle w:val="0"/>
            </w:pPr>
            <w:r>
              <w:rPr>
                <w:sz w:val="20"/>
              </w:rPr>
            </w:r>
          </w:p>
        </w:tc>
        <w:tc>
          <w:tcPr>
            <w:tcW w:w="964" w:type="dxa"/>
          </w:tcPr>
          <w:p>
            <w:pPr>
              <w:pStyle w:val="0"/>
            </w:pPr>
            <w:r>
              <w:rPr>
                <w:sz w:val="20"/>
              </w:rPr>
            </w:r>
          </w:p>
        </w:tc>
        <w:tc>
          <w:tcPr>
            <w:tcW w:w="2948" w:type="dxa"/>
          </w:tcPr>
          <w:p>
            <w:pPr>
              <w:pStyle w:val="0"/>
              <w:jc w:val="both"/>
            </w:pPr>
            <w:r>
              <w:rPr>
                <w:sz w:val="20"/>
              </w:rPr>
              <w:t xml:space="preserve">ВВК образовательной организации</w:t>
            </w:r>
          </w:p>
        </w:tc>
      </w:tr>
      <w:tr>
        <w:tc>
          <w:tcPr>
            <w:vMerge w:val="continue"/>
          </w:tcPr>
          <w:p/>
        </w:tc>
        <w:tc>
          <w:tcPr>
            <w:vMerge w:val="continue"/>
          </w:tcPr>
          <w:p/>
        </w:tc>
        <w:tc>
          <w:tcPr>
            <w:tcW w:w="2494" w:type="dxa"/>
          </w:tcPr>
          <w:p>
            <w:pPr>
              <w:pStyle w:val="0"/>
              <w:jc w:val="both"/>
            </w:pPr>
            <w:r>
              <w:rPr>
                <w:sz w:val="20"/>
              </w:rPr>
              <w:t xml:space="preserve">Справка по </w:t>
            </w:r>
            <w:hyperlink w:history="0" r:id="rId51"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7</w:t>
              </w:r>
            </w:hyperlink>
          </w:p>
        </w:tc>
        <w:tc>
          <w:tcPr>
            <w:tcW w:w="964" w:type="dxa"/>
          </w:tcPr>
          <w:p>
            <w:pPr>
              <w:pStyle w:val="0"/>
              <w:jc w:val="center"/>
            </w:pPr>
            <w:r>
              <w:rPr>
                <w:sz w:val="20"/>
              </w:rPr>
              <w:t xml:space="preserve">1</w:t>
            </w:r>
          </w:p>
        </w:tc>
        <w:tc>
          <w:tcPr>
            <w:tcW w:w="2948" w:type="dxa"/>
          </w:tcPr>
          <w:p>
            <w:pPr>
              <w:pStyle w:val="0"/>
              <w:jc w:val="both"/>
            </w:pPr>
            <w:r>
              <w:rPr>
                <w:sz w:val="20"/>
              </w:rPr>
              <w:t xml:space="preserve">Направляется в соответствующее подразделение по работе с личным составом</w:t>
            </w:r>
          </w:p>
        </w:tc>
      </w:tr>
      <w:tr>
        <w:tc>
          <w:tcPr>
            <w:tcW w:w="567" w:type="dxa"/>
          </w:tcPr>
          <w:p>
            <w:pPr>
              <w:pStyle w:val="0"/>
              <w:jc w:val="center"/>
            </w:pPr>
            <w:r>
              <w:rPr>
                <w:sz w:val="20"/>
              </w:rPr>
              <w:t xml:space="preserve">3.</w:t>
            </w:r>
          </w:p>
        </w:tc>
        <w:tc>
          <w:tcPr>
            <w:tcW w:w="2041" w:type="dxa"/>
          </w:tcPr>
          <w:p>
            <w:pPr>
              <w:pStyle w:val="0"/>
              <w:jc w:val="both"/>
            </w:pPr>
            <w:r>
              <w:rPr>
                <w:sz w:val="20"/>
              </w:rPr>
              <w:t xml:space="preserve">Граждане, поступающие в образовательные организации при окончательном освидетельствовании</w:t>
            </w:r>
          </w:p>
        </w:tc>
        <w:tc>
          <w:tcPr>
            <w:tcW w:w="2494" w:type="dxa"/>
          </w:tcPr>
          <w:p>
            <w:pPr>
              <w:pStyle w:val="0"/>
              <w:jc w:val="both"/>
            </w:pPr>
            <w:r>
              <w:rPr>
                <w:sz w:val="20"/>
              </w:rPr>
              <w:t xml:space="preserve">Карта медицинского освидетельствования (с учетом требований </w:t>
            </w:r>
            <w:hyperlink w:history="0" w:anchor="P261" w:tooltip="16.2. Карта медицинского освидетельствования по форме N 4, указанной в приложении N 3 к приказу о военно-врачебной экспертизе &lt;2&gt;, - гражданам, поступающим в образовательные организации и прибывшим на предварительное освидетельствование. Результаты окончательного освидетельствования заносятся в соответствующие разделы карты медицинского освидетельствования, оформленной в ходе предварительного освидетельствования гражданина.">
              <w:r>
                <w:rPr>
                  <w:sz w:val="20"/>
                  <w:color w:val="0000ff"/>
                </w:rPr>
                <w:t xml:space="preserve">подпункта 16.2</w:t>
              </w:r>
            </w:hyperlink>
            <w:r>
              <w:rPr>
                <w:sz w:val="20"/>
              </w:rPr>
              <w:t xml:space="preserve"> настоящей Инструкции)</w:t>
            </w:r>
          </w:p>
        </w:tc>
        <w:tc>
          <w:tcPr>
            <w:tcW w:w="964" w:type="dxa"/>
          </w:tcPr>
          <w:p>
            <w:pPr>
              <w:pStyle w:val="0"/>
              <w:jc w:val="center"/>
            </w:pPr>
            <w:r>
              <w:rPr>
                <w:sz w:val="20"/>
              </w:rPr>
              <w:t xml:space="preserve">1</w:t>
            </w:r>
          </w:p>
        </w:tc>
        <w:tc>
          <w:tcPr>
            <w:tcW w:w="2948" w:type="dxa"/>
          </w:tcPr>
          <w:p>
            <w:pPr>
              <w:pStyle w:val="0"/>
              <w:jc w:val="both"/>
            </w:pPr>
            <w:r>
              <w:rPr>
                <w:sz w:val="20"/>
              </w:rPr>
              <w:t xml:space="preserve">Направляется в соответствующее подразделение по работе с личным составом (за исключением случаев, указанных в </w:t>
            </w:r>
            <w:hyperlink w:history="0" w:anchor="P418" w:tooltip="29. В случае выявления вышестоящей ВВК нарушений порядка освидетельствования, повлиявших на заключение ВВК, заключение ВВК возвращается в составившую его ВВК с замечаниями и необходимыми указаниями. Один экземпляр такого заключения ВВК хранится в деле вышестоящей ВВК, второй экземпляр - в деле ВВК, составившей заключение, остальные экземпляры подлежат уничтожению ВВК, составившей заключение. После контрольного обследования и повторного освидетельствования новое заключение ВВК регистрируется за новым номе...">
              <w:r>
                <w:rPr>
                  <w:sz w:val="20"/>
                  <w:color w:val="0000ff"/>
                </w:rPr>
                <w:t xml:space="preserve">пункте 29</w:t>
              </w:r>
            </w:hyperlink>
            <w:r>
              <w:rPr>
                <w:sz w:val="20"/>
              </w:rPr>
              <w:t xml:space="preserve"> настоящей Инструкции)</w:t>
            </w:r>
          </w:p>
        </w:tc>
      </w:tr>
      <w:tr>
        <w:tc>
          <w:tcPr>
            <w:tcW w:w="567" w:type="dxa"/>
            <w:vMerge w:val="restart"/>
          </w:tcPr>
          <w:bookmarkStart w:id="331" w:name="P331"/>
          <w:bookmarkEnd w:id="331"/>
          <w:p>
            <w:pPr>
              <w:pStyle w:val="0"/>
              <w:jc w:val="center"/>
            </w:pPr>
            <w:r>
              <w:rPr>
                <w:sz w:val="20"/>
              </w:rPr>
              <w:t xml:space="preserve">4.</w:t>
            </w:r>
          </w:p>
        </w:tc>
        <w:tc>
          <w:tcPr>
            <w:tcW w:w="2041" w:type="dxa"/>
            <w:vMerge w:val="restart"/>
          </w:tcPr>
          <w:p>
            <w:pPr>
              <w:pStyle w:val="0"/>
              <w:jc w:val="both"/>
            </w:pPr>
            <w:r>
              <w:rPr>
                <w:sz w:val="20"/>
              </w:rPr>
              <w:t xml:space="preserve">Сотрудники, граждане, проходившие службу, направленные в ВВК для определения степени тяжести увечий, полученных в период службы, в случае признания полученного увечья легким или тяжелым </w:t>
            </w:r>
            <w:hyperlink w:history="0" w:anchor="P355" w:tooltip="&lt;1&gt; Перечень увечий (ранений, травм, контузий), относящихся к тяжелым или легким, при наличии которых принимается решение о наступлении страхового случая по обязательному государственному страхованию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федеральной противопожарной службы Государственной противопожарной службы, сотрудников учреждений и органов уголовно-исполнительной системы, сотрудников в...">
              <w:r>
                <w:rPr>
                  <w:sz w:val="20"/>
                  <w:color w:val="0000ff"/>
                </w:rPr>
                <w:t xml:space="preserve">&lt;1&gt;</w:t>
              </w:r>
            </w:hyperlink>
          </w:p>
        </w:tc>
        <w:tc>
          <w:tcPr>
            <w:tcW w:w="2494" w:type="dxa"/>
          </w:tcPr>
          <w:p>
            <w:pPr>
              <w:pStyle w:val="0"/>
              <w:jc w:val="both"/>
            </w:pPr>
            <w:r>
              <w:rPr>
                <w:sz w:val="20"/>
              </w:rPr>
              <w:t xml:space="preserve">Протокол заседания ВВК по </w:t>
            </w:r>
            <w:hyperlink w:history="0" r:id="rId52"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9</w:t>
              </w:r>
            </w:hyperlink>
            <w:r>
              <w:rPr>
                <w:sz w:val="20"/>
              </w:rPr>
              <w:t xml:space="preserve">, указанной в приложении N 3 к приказу о военно-врачебной экспертизе</w:t>
            </w:r>
          </w:p>
        </w:tc>
        <w:tc>
          <w:tcPr>
            <w:tcW w:w="964" w:type="dxa"/>
          </w:tcPr>
          <w:p>
            <w:pPr>
              <w:pStyle w:val="0"/>
              <w:jc w:val="center"/>
            </w:pPr>
            <w:r>
              <w:rPr>
                <w:sz w:val="20"/>
              </w:rPr>
              <w:t xml:space="preserve">1</w:t>
            </w:r>
          </w:p>
        </w:tc>
        <w:tc>
          <w:tcPr>
            <w:tcW w:w="2948" w:type="dxa"/>
          </w:tcPr>
          <w:p>
            <w:pPr>
              <w:pStyle w:val="0"/>
              <w:jc w:val="both"/>
            </w:pPr>
            <w:r>
              <w:rPr>
                <w:sz w:val="20"/>
              </w:rPr>
              <w:t xml:space="preserve">Хранится в деле ВВК в установленном порядке</w:t>
            </w:r>
          </w:p>
        </w:tc>
      </w:tr>
      <w:tr>
        <w:tc>
          <w:tcPr>
            <w:vMerge w:val="continue"/>
          </w:tcPr>
          <w:p/>
        </w:tc>
        <w:tc>
          <w:tcPr>
            <w:vMerge w:val="continue"/>
          </w:tcPr>
          <w:p/>
        </w:tc>
        <w:tc>
          <w:tcPr>
            <w:tcW w:w="2494" w:type="dxa"/>
          </w:tcPr>
          <w:p>
            <w:pPr>
              <w:pStyle w:val="0"/>
              <w:jc w:val="both"/>
            </w:pPr>
            <w:r>
              <w:rPr>
                <w:sz w:val="20"/>
              </w:rPr>
              <w:t xml:space="preserve">Справка установленной формы </w:t>
            </w:r>
            <w:hyperlink w:history="0" w:anchor="P356" w:tooltip="&lt;2&gt; Приказ МВД России от 27 сентября 2021 г. N 707 &quot;Об утверждении Порядка организации работы по обязательному государственному страхованию жизни и здоровья сотрудников органов внутренних дел Российской Федерации&quot; (зарегистрирован в Минюсте России 29 октября 2021 года, регистрационный N 65644), с изменениями, внесенными приказом МВД России от 18 октября 2022 г. N 766 (зарегистрирован в Минюсте России 21 ноября 2022 года, регистрационный N 71040).">
              <w:r>
                <w:rPr>
                  <w:sz w:val="20"/>
                  <w:color w:val="0000ff"/>
                </w:rPr>
                <w:t xml:space="preserve">&lt;2&gt;</w:t>
              </w:r>
            </w:hyperlink>
          </w:p>
        </w:tc>
        <w:tc>
          <w:tcPr>
            <w:tcW w:w="964" w:type="dxa"/>
          </w:tcPr>
          <w:p>
            <w:pPr>
              <w:pStyle w:val="0"/>
              <w:jc w:val="center"/>
            </w:pPr>
            <w:r>
              <w:rPr>
                <w:sz w:val="20"/>
              </w:rPr>
              <w:t xml:space="preserve">2</w:t>
            </w:r>
          </w:p>
        </w:tc>
        <w:tc>
          <w:tcPr>
            <w:tcW w:w="2948" w:type="dxa"/>
          </w:tcPr>
          <w:p>
            <w:pPr>
              <w:pStyle w:val="0"/>
              <w:jc w:val="both"/>
            </w:pPr>
            <w:r>
              <w:rPr>
                <w:sz w:val="20"/>
              </w:rPr>
              <w:t xml:space="preserve">Один экземпляр хранится в деле ВВК, а второй выдается освидетельствованному (его законному представителю)</w:t>
            </w:r>
          </w:p>
        </w:tc>
      </w:tr>
      <w:tr>
        <w:tc>
          <w:tcPr>
            <w:tcW w:w="567" w:type="dxa"/>
            <w:vMerge w:val="restart"/>
          </w:tcPr>
          <w:p>
            <w:pPr>
              <w:pStyle w:val="0"/>
              <w:jc w:val="center"/>
            </w:pPr>
            <w:r>
              <w:rPr>
                <w:sz w:val="20"/>
              </w:rPr>
              <w:t xml:space="preserve">5.</w:t>
            </w:r>
          </w:p>
        </w:tc>
        <w:tc>
          <w:tcPr>
            <w:tcW w:w="2041" w:type="dxa"/>
            <w:vMerge w:val="restart"/>
          </w:tcPr>
          <w:p>
            <w:pPr>
              <w:pStyle w:val="0"/>
              <w:jc w:val="both"/>
            </w:pPr>
            <w:r>
              <w:rPr>
                <w:sz w:val="20"/>
              </w:rPr>
              <w:t xml:space="preserve">Сотрудники, граждане, проходившие службу, направленные в ВВК для определения степени тяжести увечий, полученных в период службы</w:t>
            </w:r>
          </w:p>
          <w:p>
            <w:pPr>
              <w:pStyle w:val="0"/>
              <w:jc w:val="both"/>
            </w:pPr>
            <w:r>
              <w:rPr>
                <w:sz w:val="20"/>
              </w:rPr>
              <w:t xml:space="preserve">(за исключением случаев, перечисленных в </w:t>
            </w:r>
            <w:hyperlink w:history="0" w:anchor="P331" w:tooltip="4.">
              <w:r>
                <w:rPr>
                  <w:sz w:val="20"/>
                  <w:color w:val="0000ff"/>
                </w:rPr>
                <w:t xml:space="preserve">строке 4</w:t>
              </w:r>
            </w:hyperlink>
            <w:r>
              <w:rPr>
                <w:sz w:val="20"/>
              </w:rPr>
              <w:t xml:space="preserve"> графы 2 настоящего пункта)</w:t>
            </w:r>
          </w:p>
        </w:tc>
        <w:tc>
          <w:tcPr>
            <w:tcW w:w="2494" w:type="dxa"/>
          </w:tcPr>
          <w:p>
            <w:pPr>
              <w:pStyle w:val="0"/>
              <w:jc w:val="both"/>
            </w:pPr>
            <w:r>
              <w:rPr>
                <w:sz w:val="20"/>
              </w:rPr>
              <w:t xml:space="preserve">Протокол заседания ВВК по </w:t>
            </w:r>
            <w:hyperlink w:history="0" r:id="rId53"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9</w:t>
              </w:r>
            </w:hyperlink>
            <w:r>
              <w:rPr>
                <w:sz w:val="20"/>
              </w:rPr>
              <w:t xml:space="preserve">, указанной в приложении N 3 к приказу о военно-врачебной экспертизе</w:t>
            </w:r>
          </w:p>
        </w:tc>
        <w:tc>
          <w:tcPr>
            <w:tcW w:w="964" w:type="dxa"/>
          </w:tcPr>
          <w:p>
            <w:pPr>
              <w:pStyle w:val="0"/>
              <w:jc w:val="center"/>
            </w:pPr>
            <w:r>
              <w:rPr>
                <w:sz w:val="20"/>
              </w:rPr>
              <w:t xml:space="preserve">1</w:t>
            </w:r>
          </w:p>
        </w:tc>
        <w:tc>
          <w:tcPr>
            <w:tcW w:w="2948" w:type="dxa"/>
          </w:tcPr>
          <w:p>
            <w:pPr>
              <w:pStyle w:val="0"/>
              <w:jc w:val="both"/>
            </w:pPr>
            <w:r>
              <w:rPr>
                <w:sz w:val="20"/>
              </w:rPr>
              <w:t xml:space="preserve">Хранится в деле ВВК в установленном порядке</w:t>
            </w:r>
          </w:p>
        </w:tc>
      </w:tr>
      <w:tr>
        <w:tc>
          <w:tcPr>
            <w:vMerge w:val="continue"/>
          </w:tcPr>
          <w:p/>
        </w:tc>
        <w:tc>
          <w:tcPr>
            <w:vMerge w:val="continue"/>
          </w:tcPr>
          <w:p/>
        </w:tc>
        <w:tc>
          <w:tcPr>
            <w:tcW w:w="2494" w:type="dxa"/>
          </w:tcPr>
          <w:p>
            <w:pPr>
              <w:pStyle w:val="0"/>
              <w:jc w:val="both"/>
            </w:pPr>
            <w:r>
              <w:rPr>
                <w:sz w:val="20"/>
              </w:rPr>
              <w:t xml:space="preserve">Справка по </w:t>
            </w:r>
            <w:hyperlink w:history="0" r:id="rId54"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10</w:t>
              </w:r>
            </w:hyperlink>
            <w:r>
              <w:rPr>
                <w:sz w:val="20"/>
              </w:rPr>
              <w:t xml:space="preserve">, указанной в приложении N 3 к приказу о военно-врачебной экспертизе</w:t>
            </w:r>
          </w:p>
        </w:tc>
        <w:tc>
          <w:tcPr>
            <w:tcW w:w="964" w:type="dxa"/>
          </w:tcPr>
          <w:p>
            <w:pPr>
              <w:pStyle w:val="0"/>
              <w:jc w:val="center"/>
            </w:pPr>
            <w:r>
              <w:rPr>
                <w:sz w:val="20"/>
              </w:rPr>
              <w:t xml:space="preserve">2</w:t>
            </w:r>
          </w:p>
        </w:tc>
        <w:tc>
          <w:tcPr>
            <w:tcW w:w="2948" w:type="dxa"/>
          </w:tcPr>
          <w:p>
            <w:pPr>
              <w:pStyle w:val="0"/>
              <w:jc w:val="both"/>
            </w:pPr>
            <w:r>
              <w:rPr>
                <w:sz w:val="20"/>
              </w:rPr>
              <w:t xml:space="preserve">Один экземпляр хранится в деле ВВК, а второй выдается освидетельствованному (его законному представителю)</w:t>
            </w:r>
          </w:p>
        </w:tc>
      </w:tr>
      <w:tr>
        <w:tc>
          <w:tcPr>
            <w:tcW w:w="567" w:type="dxa"/>
          </w:tcPr>
          <w:p>
            <w:pPr>
              <w:pStyle w:val="0"/>
              <w:jc w:val="center"/>
            </w:pPr>
            <w:r>
              <w:rPr>
                <w:sz w:val="20"/>
              </w:rPr>
              <w:t xml:space="preserve">6.</w:t>
            </w:r>
          </w:p>
        </w:tc>
        <w:tc>
          <w:tcPr>
            <w:tcW w:w="2041" w:type="dxa"/>
          </w:tcPr>
          <w:p>
            <w:pPr>
              <w:pStyle w:val="0"/>
              <w:jc w:val="both"/>
            </w:pPr>
            <w:r>
              <w:rPr>
                <w:sz w:val="20"/>
              </w:rPr>
              <w:t xml:space="preserve">Граждане, проходившие службу, направленные</w:t>
            </w:r>
          </w:p>
        </w:tc>
        <w:tc>
          <w:tcPr>
            <w:tcW w:w="2494" w:type="dxa"/>
          </w:tcPr>
          <w:p>
            <w:pPr>
              <w:pStyle w:val="0"/>
              <w:jc w:val="both"/>
            </w:pPr>
            <w:r>
              <w:rPr>
                <w:sz w:val="20"/>
              </w:rPr>
              <w:t xml:space="preserve">Протокол заседания ВВК по </w:t>
            </w:r>
            <w:hyperlink w:history="0" r:id="rId55"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11</w:t>
              </w:r>
            </w:hyperlink>
            <w:r>
              <w:rPr>
                <w:sz w:val="20"/>
              </w:rPr>
              <w:t xml:space="preserve">, указанной</w:t>
            </w:r>
          </w:p>
        </w:tc>
        <w:tc>
          <w:tcPr>
            <w:tcW w:w="964" w:type="dxa"/>
          </w:tcPr>
          <w:p>
            <w:pPr>
              <w:pStyle w:val="0"/>
              <w:jc w:val="center"/>
            </w:pPr>
            <w:r>
              <w:rPr>
                <w:sz w:val="20"/>
              </w:rPr>
              <w:t xml:space="preserve">1</w:t>
            </w:r>
          </w:p>
        </w:tc>
        <w:tc>
          <w:tcPr>
            <w:tcW w:w="2948" w:type="dxa"/>
          </w:tcPr>
          <w:p>
            <w:pPr>
              <w:pStyle w:val="0"/>
              <w:jc w:val="both"/>
            </w:pPr>
            <w:r>
              <w:rPr>
                <w:sz w:val="20"/>
              </w:rPr>
              <w:t xml:space="preserve">Хранится в деле ВВК в установленном</w:t>
            </w:r>
          </w:p>
        </w:tc>
      </w:tr>
    </w:tbl>
    <w:p>
      <w:pPr>
        <w:pStyle w:val="0"/>
        <w:jc w:val="both"/>
      </w:pPr>
      <w:r>
        <w:rPr>
          <w:sz w:val="20"/>
        </w:rPr>
      </w:r>
    </w:p>
    <w:p>
      <w:pPr>
        <w:pStyle w:val="0"/>
        <w:ind w:firstLine="540"/>
        <w:jc w:val="both"/>
      </w:pPr>
      <w:r>
        <w:rPr>
          <w:sz w:val="20"/>
        </w:rPr>
        <w:t xml:space="preserve">--------------------------------</w:t>
      </w:r>
    </w:p>
    <w:bookmarkStart w:id="355" w:name="P355"/>
    <w:bookmarkEnd w:id="355"/>
    <w:p>
      <w:pPr>
        <w:pStyle w:val="0"/>
        <w:spacing w:before="200" w:lineRule="auto"/>
        <w:ind w:firstLine="540"/>
        <w:jc w:val="both"/>
      </w:pPr>
      <w:r>
        <w:rPr>
          <w:sz w:val="20"/>
        </w:rPr>
        <w:t xml:space="preserve">&lt;1&gt; </w:t>
      </w:r>
      <w:hyperlink w:history="0" r:id="rId56" w:tooltip="Постановление Правительства РФ от 29.07.1998 N 855 (ред. от 14.11.2024) &quot;О мерах по реализации Федерального закона &quot;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сотрудников учреждений и органов уголовно-исполнительной системы, сотрудников войск национальной гвардии Российской Федерации, сотрудников органов принудител {КонсультантПлюс}">
        <w:r>
          <w:rPr>
            <w:sz w:val="20"/>
            <w:color w:val="0000ff"/>
          </w:rPr>
          <w:t xml:space="preserve">Перечень</w:t>
        </w:r>
      </w:hyperlink>
      <w:r>
        <w:rPr>
          <w:sz w:val="20"/>
        </w:rPr>
        <w:t xml:space="preserve"> увечий (ранений, травм, контузий), относящихся к тяжелым или легким, при наличии которых принимается решение о наступлении страхового случая по обязательному государственному страхованию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федеральной противопожарной службы Государственной противопожарной службы, сотрудников учреждений и органов уголовно-исполнительной системы, сотрудников войск национальной гвардии Российской Федерации, утвержденным постановлением Правительства Российской Федерации от 29 июля 1998 г. N 855 "О мерах по реализации Федерального закона "Об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органов по контролю за оборотом наркотических средств и психотропных веществ, сотрудников учреждений и органов уголовно-исполнительной системы" (Собрание законодательства Российской Федерации, 1998, N 32, ст. 3900; 2003, N 33, ст. 3269; 2004, N 8, ст. 663; 2008, N 38, ст. 4314; 2012, N 2, ст. 290; 2015, N 1, ст. 262; 2017, N 2, ст. 368; 2017, N 15, ст. 2196; 2017, N 31, ст. 4925).</w:t>
      </w:r>
    </w:p>
    <w:bookmarkStart w:id="356" w:name="P356"/>
    <w:bookmarkEnd w:id="356"/>
    <w:p>
      <w:pPr>
        <w:pStyle w:val="0"/>
        <w:spacing w:before="200" w:lineRule="auto"/>
        <w:ind w:firstLine="540"/>
        <w:jc w:val="both"/>
      </w:pPr>
      <w:r>
        <w:rPr>
          <w:sz w:val="20"/>
        </w:rPr>
        <w:t xml:space="preserve">&lt;2&gt; </w:t>
      </w:r>
      <w:hyperlink w:history="0" r:id="rId57" w:tooltip="Приказ МВД России от 27.09.2021 N 707 (ред. от 18.10.2022) &quot;Об утверждении Порядка организации работы по обязательному государственному страхованию жизни и здоровья сотрудников органов внутренних дел Российской Федерации&quot; (Зарегистрировано в Минюсте России 29.10.2021 N 65644) {КонсультантПлюс}">
        <w:r>
          <w:rPr>
            <w:sz w:val="20"/>
            <w:color w:val="0000ff"/>
          </w:rPr>
          <w:t xml:space="preserve">Приказ</w:t>
        </w:r>
      </w:hyperlink>
      <w:r>
        <w:rPr>
          <w:sz w:val="20"/>
        </w:rPr>
        <w:t xml:space="preserve"> МВД России от 27 сентября 2021 г. N 707 "Об утверждении Порядка организации работы по обязательному государственному страхованию жизни и здоровья сотрудников органов внутренних дел Российской Федерации" (зарегистрирован в Минюсте России 29 октября 2021 года, регистрационный N 65644), с изменениями, внесенными приказом МВД России от 18 октября 2022 г. N 766 (зарегистрирован в Минюсте России 21 ноября 2022 года, регистрационный N 71040).</w:t>
      </w:r>
    </w:p>
    <w:p>
      <w:pPr>
        <w:pStyle w:val="0"/>
        <w:jc w:val="both"/>
      </w:pPr>
      <w:r>
        <w:rPr>
          <w:sz w:val="20"/>
        </w:rPr>
        <w:t xml:space="preserve">(сноска в ред. </w:t>
      </w:r>
      <w:hyperlink w:history="0" r:id="rId58"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Приказа</w:t>
        </w:r>
      </w:hyperlink>
      <w:r>
        <w:rPr>
          <w:sz w:val="20"/>
        </w:rPr>
        <w:t xml:space="preserve"> МВД России от 23.12.2022 N 989)</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2041"/>
        <w:gridCol w:w="2494"/>
        <w:gridCol w:w="964"/>
        <w:gridCol w:w="2948"/>
      </w:tblGrid>
      <w:tr>
        <w:tc>
          <w:tcPr>
            <w:tcW w:w="567" w:type="dxa"/>
          </w:tcPr>
          <w:p>
            <w:pPr>
              <w:pStyle w:val="0"/>
              <w:jc w:val="center"/>
            </w:pPr>
            <w:r>
              <w:rPr>
                <w:sz w:val="20"/>
              </w:rPr>
              <w:t xml:space="preserve">1</w:t>
            </w:r>
          </w:p>
        </w:tc>
        <w:tc>
          <w:tcPr>
            <w:tcW w:w="2041" w:type="dxa"/>
          </w:tcPr>
          <w:p>
            <w:pPr>
              <w:pStyle w:val="0"/>
              <w:jc w:val="center"/>
            </w:pPr>
            <w:r>
              <w:rPr>
                <w:sz w:val="20"/>
              </w:rPr>
              <w:t xml:space="preserve">2</w:t>
            </w:r>
          </w:p>
        </w:tc>
        <w:tc>
          <w:tcPr>
            <w:tcW w:w="2494" w:type="dxa"/>
          </w:tcPr>
          <w:p>
            <w:pPr>
              <w:pStyle w:val="0"/>
              <w:jc w:val="center"/>
            </w:pPr>
            <w:r>
              <w:rPr>
                <w:sz w:val="20"/>
              </w:rPr>
              <w:t xml:space="preserve">3</w:t>
            </w:r>
          </w:p>
        </w:tc>
        <w:tc>
          <w:tcPr>
            <w:tcW w:w="964" w:type="dxa"/>
          </w:tcPr>
          <w:p>
            <w:pPr>
              <w:pStyle w:val="0"/>
              <w:jc w:val="center"/>
            </w:pPr>
            <w:r>
              <w:rPr>
                <w:sz w:val="20"/>
              </w:rPr>
              <w:t xml:space="preserve">4</w:t>
            </w:r>
          </w:p>
        </w:tc>
        <w:tc>
          <w:tcPr>
            <w:tcW w:w="2948" w:type="dxa"/>
          </w:tcPr>
          <w:p>
            <w:pPr>
              <w:pStyle w:val="0"/>
              <w:jc w:val="center"/>
            </w:pPr>
            <w:r>
              <w:rPr>
                <w:sz w:val="20"/>
              </w:rPr>
              <w:t xml:space="preserve">5</w:t>
            </w:r>
          </w:p>
        </w:tc>
      </w:tr>
      <w:tr>
        <w:tc>
          <w:tcPr>
            <w:tcW w:w="567" w:type="dxa"/>
            <w:vMerge w:val="restart"/>
          </w:tcPr>
          <w:p>
            <w:pPr>
              <w:pStyle w:val="0"/>
            </w:pPr>
            <w:r>
              <w:rPr>
                <w:sz w:val="20"/>
              </w:rPr>
            </w:r>
          </w:p>
        </w:tc>
        <w:tc>
          <w:tcPr>
            <w:tcW w:w="2041" w:type="dxa"/>
            <w:vMerge w:val="restart"/>
          </w:tcPr>
          <w:p>
            <w:pPr>
              <w:pStyle w:val="0"/>
              <w:jc w:val="both"/>
            </w:pPr>
            <w:r>
              <w:rPr>
                <w:sz w:val="20"/>
              </w:rPr>
              <w:t xml:space="preserve">в ВВК для определения причинной связи увечий и заболеваний</w:t>
            </w:r>
          </w:p>
        </w:tc>
        <w:tc>
          <w:tcPr>
            <w:tcW w:w="2494" w:type="dxa"/>
          </w:tcPr>
          <w:p>
            <w:pPr>
              <w:pStyle w:val="0"/>
              <w:jc w:val="both"/>
            </w:pPr>
            <w:r>
              <w:rPr>
                <w:sz w:val="20"/>
              </w:rPr>
              <w:t xml:space="preserve">в приложении N 3 к приказу о военно-врачебной экспертизе</w:t>
            </w:r>
          </w:p>
        </w:tc>
        <w:tc>
          <w:tcPr>
            <w:tcW w:w="964" w:type="dxa"/>
          </w:tcPr>
          <w:p>
            <w:pPr>
              <w:pStyle w:val="0"/>
            </w:pPr>
            <w:r>
              <w:rPr>
                <w:sz w:val="20"/>
              </w:rPr>
            </w:r>
          </w:p>
        </w:tc>
        <w:tc>
          <w:tcPr>
            <w:tcW w:w="2948" w:type="dxa"/>
          </w:tcPr>
          <w:p>
            <w:pPr>
              <w:pStyle w:val="0"/>
              <w:jc w:val="both"/>
            </w:pPr>
            <w:r>
              <w:rPr>
                <w:sz w:val="20"/>
              </w:rPr>
              <w:t xml:space="preserve">порядке</w:t>
            </w:r>
          </w:p>
        </w:tc>
      </w:tr>
      <w:tr>
        <w:tc>
          <w:tcPr>
            <w:vMerge w:val="continue"/>
          </w:tcPr>
          <w:p/>
        </w:tc>
        <w:tc>
          <w:tcPr>
            <w:vMerge w:val="continue"/>
          </w:tcPr>
          <w:p/>
        </w:tc>
        <w:tc>
          <w:tcPr>
            <w:tcW w:w="2494" w:type="dxa"/>
          </w:tcPr>
          <w:bookmarkStart w:id="369" w:name="P369"/>
          <w:bookmarkEnd w:id="369"/>
          <w:p>
            <w:pPr>
              <w:pStyle w:val="0"/>
              <w:jc w:val="both"/>
            </w:pPr>
            <w:r>
              <w:rPr>
                <w:sz w:val="20"/>
              </w:rPr>
              <w:t xml:space="preserve">Справка по </w:t>
            </w:r>
            <w:hyperlink w:history="0" r:id="rId59"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12</w:t>
              </w:r>
            </w:hyperlink>
            <w:r>
              <w:rPr>
                <w:sz w:val="20"/>
              </w:rPr>
              <w:t xml:space="preserve">, указанной в приложении N 3 к приказу о военно-врачебной экспертизе</w:t>
            </w:r>
          </w:p>
        </w:tc>
        <w:tc>
          <w:tcPr>
            <w:tcW w:w="964" w:type="dxa"/>
          </w:tcPr>
          <w:p>
            <w:pPr>
              <w:pStyle w:val="0"/>
              <w:jc w:val="center"/>
            </w:pPr>
            <w:r>
              <w:rPr>
                <w:sz w:val="20"/>
              </w:rPr>
              <w:t xml:space="preserve">4</w:t>
            </w:r>
          </w:p>
        </w:tc>
        <w:tc>
          <w:tcPr>
            <w:tcW w:w="2948" w:type="dxa"/>
          </w:tcPr>
          <w:p>
            <w:pPr>
              <w:pStyle w:val="0"/>
              <w:jc w:val="both"/>
            </w:pPr>
            <w:r>
              <w:rPr>
                <w:sz w:val="20"/>
              </w:rPr>
              <w:t xml:space="preserve">Один экземпляр хранится в деле ВВК, три направляются освидетельствованному (его законному представителю) или уполномоченному должностному лицу</w:t>
            </w:r>
          </w:p>
        </w:tc>
      </w:tr>
      <w:tr>
        <w:tc>
          <w:tcPr>
            <w:tcW w:w="567" w:type="dxa"/>
            <w:vMerge w:val="restart"/>
          </w:tcPr>
          <w:p>
            <w:pPr>
              <w:pStyle w:val="0"/>
              <w:jc w:val="center"/>
            </w:pPr>
            <w:r>
              <w:rPr>
                <w:sz w:val="20"/>
              </w:rPr>
              <w:t xml:space="preserve">7.</w:t>
            </w:r>
          </w:p>
        </w:tc>
        <w:tc>
          <w:tcPr>
            <w:tcW w:w="2041" w:type="dxa"/>
            <w:vMerge w:val="restart"/>
          </w:tcPr>
          <w:p>
            <w:pPr>
              <w:pStyle w:val="0"/>
              <w:jc w:val="both"/>
            </w:pPr>
            <w:r>
              <w:rPr>
                <w:sz w:val="20"/>
              </w:rPr>
              <w:t xml:space="preserve">Граждане, проходившие службу, направленные в ВВК для определения категории годности к службе на момент увольнения со службы</w:t>
            </w:r>
          </w:p>
        </w:tc>
        <w:tc>
          <w:tcPr>
            <w:tcW w:w="2494" w:type="dxa"/>
          </w:tcPr>
          <w:p>
            <w:pPr>
              <w:pStyle w:val="0"/>
              <w:jc w:val="both"/>
            </w:pPr>
            <w:r>
              <w:rPr>
                <w:sz w:val="20"/>
              </w:rPr>
              <w:t xml:space="preserve">Протокол заседания ВВК по </w:t>
            </w:r>
            <w:hyperlink w:history="0" r:id="rId60"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13</w:t>
              </w:r>
            </w:hyperlink>
            <w:r>
              <w:rPr>
                <w:sz w:val="20"/>
              </w:rPr>
              <w:t xml:space="preserve">, указанной в приложении N 3 к приказу о военно-врачебной экспертизе</w:t>
            </w:r>
          </w:p>
        </w:tc>
        <w:tc>
          <w:tcPr>
            <w:tcW w:w="964" w:type="dxa"/>
          </w:tcPr>
          <w:p>
            <w:pPr>
              <w:pStyle w:val="0"/>
              <w:jc w:val="center"/>
            </w:pPr>
            <w:r>
              <w:rPr>
                <w:sz w:val="20"/>
              </w:rPr>
              <w:t xml:space="preserve">1</w:t>
            </w:r>
          </w:p>
        </w:tc>
        <w:tc>
          <w:tcPr>
            <w:tcW w:w="2948" w:type="dxa"/>
          </w:tcPr>
          <w:p>
            <w:pPr>
              <w:pStyle w:val="0"/>
              <w:jc w:val="both"/>
            </w:pPr>
            <w:r>
              <w:rPr>
                <w:sz w:val="20"/>
              </w:rPr>
              <w:t xml:space="preserve">Хранится в деле ВВК в установленном порядке</w:t>
            </w:r>
          </w:p>
        </w:tc>
      </w:tr>
      <w:tr>
        <w:tc>
          <w:tcPr>
            <w:vMerge w:val="continue"/>
          </w:tcPr>
          <w:p/>
        </w:tc>
        <w:tc>
          <w:tcPr>
            <w:vMerge w:val="continue"/>
          </w:tcPr>
          <w:p/>
        </w:tc>
        <w:tc>
          <w:tcPr>
            <w:tcW w:w="2494" w:type="dxa"/>
          </w:tcPr>
          <w:bookmarkStart w:id="377" w:name="P377"/>
          <w:bookmarkEnd w:id="377"/>
          <w:p>
            <w:pPr>
              <w:pStyle w:val="0"/>
              <w:jc w:val="both"/>
            </w:pPr>
            <w:r>
              <w:rPr>
                <w:sz w:val="20"/>
              </w:rPr>
              <w:t xml:space="preserve">Справка по </w:t>
            </w:r>
            <w:hyperlink w:history="0" r:id="rId61"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14</w:t>
              </w:r>
            </w:hyperlink>
            <w:r>
              <w:rPr>
                <w:sz w:val="20"/>
              </w:rPr>
              <w:t xml:space="preserve">, указанной в приложении N 3 к приказу о военно-врачебной экспертизе</w:t>
            </w:r>
          </w:p>
        </w:tc>
        <w:tc>
          <w:tcPr>
            <w:tcW w:w="964" w:type="dxa"/>
          </w:tcPr>
          <w:p>
            <w:pPr>
              <w:pStyle w:val="0"/>
              <w:jc w:val="center"/>
            </w:pPr>
            <w:r>
              <w:rPr>
                <w:sz w:val="20"/>
              </w:rPr>
              <w:t xml:space="preserve">4</w:t>
            </w:r>
          </w:p>
        </w:tc>
        <w:tc>
          <w:tcPr>
            <w:tcW w:w="2948" w:type="dxa"/>
          </w:tcPr>
          <w:p>
            <w:pPr>
              <w:pStyle w:val="0"/>
              <w:jc w:val="both"/>
            </w:pPr>
            <w:r>
              <w:rPr>
                <w:sz w:val="20"/>
              </w:rPr>
              <w:t xml:space="preserve">Один экземпляр хранится в деле ВВК, три передаются освидетельствованному (его законному представителю) или уполномоченному должностному лицу</w:t>
            </w:r>
          </w:p>
        </w:tc>
      </w:tr>
      <w:tr>
        <w:tc>
          <w:tcPr>
            <w:tcW w:w="567" w:type="dxa"/>
            <w:vMerge w:val="restart"/>
          </w:tcPr>
          <w:bookmarkStart w:id="380" w:name="P380"/>
          <w:bookmarkEnd w:id="380"/>
          <w:p>
            <w:pPr>
              <w:pStyle w:val="0"/>
              <w:jc w:val="center"/>
            </w:pPr>
            <w:r>
              <w:rPr>
                <w:sz w:val="20"/>
              </w:rPr>
              <w:t xml:space="preserve">8.</w:t>
            </w:r>
          </w:p>
        </w:tc>
        <w:tc>
          <w:tcPr>
            <w:tcW w:w="2041" w:type="dxa"/>
            <w:vMerge w:val="restart"/>
          </w:tcPr>
          <w:p>
            <w:pPr>
              <w:pStyle w:val="0"/>
              <w:jc w:val="both"/>
            </w:pPr>
            <w:r>
              <w:rPr>
                <w:sz w:val="20"/>
              </w:rPr>
              <w:t xml:space="preserve">Сотрудники, направленные в ВВК для определения категории годности к службе, признанные при освидетельствовании негодными к службе; сотрудники, направленные в ВВК для определения категории годности к службе в связи с предстоящим увольнением со службы, признанные при освидетельствовании ограниченно годными к службе; сотрудники, направленные в ВВК для определения категории годности к службе, признанные ограниченно годными к службе и негодными к службе на занимаемой должности</w:t>
            </w:r>
          </w:p>
        </w:tc>
        <w:tc>
          <w:tcPr>
            <w:tcW w:w="2494" w:type="dxa"/>
          </w:tcPr>
          <w:p>
            <w:pPr>
              <w:pStyle w:val="0"/>
              <w:jc w:val="both"/>
            </w:pPr>
            <w:r>
              <w:rPr>
                <w:sz w:val="20"/>
              </w:rPr>
              <w:t xml:space="preserve">Акт медицинского освидетельствования (за исключением лиц, указанных в </w:t>
            </w:r>
            <w:hyperlink w:history="0" w:anchor="P271" w:tooltip="17. Сотрудникам, членам семей сотрудников, находящихся на стационарном лечении в медицинских организациях системы МВД России и проходящих освидетельствование в ВВК структурного подразделения МСЧ МВД России, госпитальной ВВК, акт медицинского освидетельствования не оформляется. Результаты проведенных обследований отражаются в эпикризе в медицинской карте стационарного больного.">
              <w:r>
                <w:rPr>
                  <w:sz w:val="20"/>
                  <w:color w:val="0000ff"/>
                </w:rPr>
                <w:t xml:space="preserve">пункте 17</w:t>
              </w:r>
            </w:hyperlink>
            <w:r>
              <w:rPr>
                <w:sz w:val="20"/>
              </w:rPr>
              <w:t xml:space="preserve"> настоящей Инструкции)</w:t>
            </w:r>
          </w:p>
        </w:tc>
        <w:tc>
          <w:tcPr>
            <w:tcW w:w="964" w:type="dxa"/>
          </w:tcPr>
          <w:p>
            <w:pPr>
              <w:pStyle w:val="0"/>
              <w:jc w:val="center"/>
            </w:pPr>
            <w:r>
              <w:rPr>
                <w:sz w:val="20"/>
              </w:rPr>
              <w:t xml:space="preserve">1</w:t>
            </w:r>
          </w:p>
        </w:tc>
        <w:tc>
          <w:tcPr>
            <w:tcW w:w="2948" w:type="dxa"/>
          </w:tcPr>
          <w:p>
            <w:pPr>
              <w:pStyle w:val="0"/>
              <w:jc w:val="both"/>
            </w:pPr>
            <w:r>
              <w:rPr>
                <w:sz w:val="20"/>
              </w:rPr>
              <w:t xml:space="preserve">Хранится в деле ВВК в установленном порядке</w:t>
            </w:r>
          </w:p>
        </w:tc>
      </w:tr>
      <w:tr>
        <w:tc>
          <w:tcPr>
            <w:vMerge w:val="continue"/>
          </w:tcPr>
          <w:p/>
        </w:tc>
        <w:tc>
          <w:tcPr>
            <w:vMerge w:val="continue"/>
          </w:tcPr>
          <w:p/>
        </w:tc>
        <w:tc>
          <w:tcPr>
            <w:tcW w:w="2494" w:type="dxa"/>
          </w:tcPr>
          <w:p>
            <w:pPr>
              <w:pStyle w:val="0"/>
              <w:jc w:val="both"/>
            </w:pPr>
            <w:r>
              <w:rPr>
                <w:sz w:val="20"/>
              </w:rPr>
              <w:t xml:space="preserve">Справка по </w:t>
            </w:r>
            <w:hyperlink w:history="0" r:id="rId62"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7</w:t>
              </w:r>
            </w:hyperlink>
          </w:p>
        </w:tc>
        <w:tc>
          <w:tcPr>
            <w:tcW w:w="964" w:type="dxa"/>
          </w:tcPr>
          <w:p>
            <w:pPr>
              <w:pStyle w:val="0"/>
              <w:jc w:val="center"/>
            </w:pPr>
            <w:r>
              <w:rPr>
                <w:sz w:val="20"/>
              </w:rPr>
              <w:t xml:space="preserve">3</w:t>
            </w:r>
          </w:p>
        </w:tc>
        <w:tc>
          <w:tcPr>
            <w:tcW w:w="2948" w:type="dxa"/>
          </w:tcPr>
          <w:p>
            <w:pPr>
              <w:pStyle w:val="0"/>
              <w:jc w:val="both"/>
            </w:pPr>
            <w:r>
              <w:rPr>
                <w:sz w:val="20"/>
              </w:rPr>
              <w:t xml:space="preserve">Направляются в соответствующее подразделение по работе с личным составом</w:t>
            </w:r>
          </w:p>
        </w:tc>
      </w:tr>
      <w:tr>
        <w:tc>
          <w:tcPr>
            <w:vMerge w:val="continue"/>
          </w:tcPr>
          <w:p/>
        </w:tc>
        <w:tc>
          <w:tcPr>
            <w:vMerge w:val="continue"/>
          </w:tcPr>
          <w:p/>
        </w:tc>
        <w:tc>
          <w:tcPr>
            <w:tcW w:w="2494" w:type="dxa"/>
          </w:tcPr>
          <w:bookmarkStart w:id="388" w:name="P388"/>
          <w:bookmarkEnd w:id="388"/>
          <w:p>
            <w:pPr>
              <w:pStyle w:val="0"/>
              <w:jc w:val="both"/>
            </w:pPr>
            <w:r>
              <w:rPr>
                <w:sz w:val="20"/>
              </w:rPr>
              <w:t xml:space="preserve">Свидетельство о болезни по </w:t>
            </w:r>
            <w:hyperlink w:history="0" r:id="rId63"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6</w:t>
              </w:r>
            </w:hyperlink>
            <w:r>
              <w:rPr>
                <w:sz w:val="20"/>
              </w:rPr>
              <w:t xml:space="preserve">, указанной в приложении N 3 к приказу о военно-врачебной экспертизе</w:t>
            </w:r>
          </w:p>
        </w:tc>
        <w:tc>
          <w:tcPr>
            <w:tcW w:w="964" w:type="dxa"/>
          </w:tcPr>
          <w:p>
            <w:pPr>
              <w:pStyle w:val="0"/>
              <w:jc w:val="center"/>
            </w:pPr>
            <w:r>
              <w:rPr>
                <w:sz w:val="20"/>
              </w:rPr>
              <w:t xml:space="preserve">3</w:t>
            </w:r>
          </w:p>
        </w:tc>
        <w:tc>
          <w:tcPr>
            <w:tcW w:w="2948" w:type="dxa"/>
          </w:tcPr>
          <w:p>
            <w:pPr>
              <w:pStyle w:val="0"/>
              <w:jc w:val="both"/>
            </w:pPr>
            <w:r>
              <w:rPr>
                <w:sz w:val="20"/>
              </w:rPr>
              <w:t xml:space="preserve">Один экземпляр хранится в деле ВВК, а два направляются в соответствующее подразделение по работе с личным составом в запечатанном пакете для вручения освидетельствованному (его законному представителю)</w:t>
            </w:r>
          </w:p>
        </w:tc>
      </w:tr>
      <w:tr>
        <w:tc>
          <w:tcPr>
            <w:tcW w:w="567" w:type="dxa"/>
            <w:tcBorders>
              <w:bottom w:val="nil"/>
            </w:tcBorders>
            <w:vMerge w:val="restart"/>
          </w:tcPr>
          <w:bookmarkStart w:id="391" w:name="P391"/>
          <w:bookmarkEnd w:id="391"/>
          <w:p>
            <w:pPr>
              <w:pStyle w:val="0"/>
              <w:jc w:val="center"/>
            </w:pPr>
            <w:r>
              <w:rPr>
                <w:sz w:val="20"/>
              </w:rPr>
              <w:t xml:space="preserve">9.</w:t>
            </w:r>
          </w:p>
        </w:tc>
        <w:tc>
          <w:tcPr>
            <w:tcW w:w="2041" w:type="dxa"/>
            <w:tcBorders>
              <w:bottom w:val="nil"/>
            </w:tcBorders>
            <w:vMerge w:val="restart"/>
          </w:tcPr>
          <w:p>
            <w:pPr>
              <w:pStyle w:val="0"/>
              <w:jc w:val="both"/>
            </w:pPr>
            <w:r>
              <w:rPr>
                <w:sz w:val="20"/>
              </w:rPr>
              <w:t xml:space="preserve">Сотрудники, направленные в ВВК для определения категории годности к службе (за исключением перечисленных в </w:t>
            </w:r>
            <w:hyperlink w:history="0" w:anchor="P380" w:tooltip="8.">
              <w:r>
                <w:rPr>
                  <w:sz w:val="20"/>
                  <w:color w:val="0000ff"/>
                </w:rPr>
                <w:t xml:space="preserve">строке 8</w:t>
              </w:r>
            </w:hyperlink>
            <w:r>
              <w:rPr>
                <w:sz w:val="20"/>
              </w:rPr>
              <w:t xml:space="preserve"> графы 2 настоящего пункта)</w:t>
            </w:r>
          </w:p>
        </w:tc>
        <w:tc>
          <w:tcPr>
            <w:tcW w:w="2494" w:type="dxa"/>
          </w:tcPr>
          <w:p>
            <w:pPr>
              <w:pStyle w:val="0"/>
            </w:pPr>
            <w:r>
              <w:rPr>
                <w:sz w:val="20"/>
              </w:rPr>
              <w:t xml:space="preserve">Акт медицинского освидетельствования (за исключением лиц, указанных в </w:t>
            </w:r>
            <w:hyperlink w:history="0" w:anchor="P271" w:tooltip="17. Сотрудникам, членам семей сотрудников, находящихся на стационарном лечении в медицинских организациях системы МВД России и проходящих освидетельствование в ВВК структурного подразделения МСЧ МВД России, госпитальной ВВК, акт медицинского освидетельствования не оформляется. Результаты проведенных обследований отражаются в эпикризе в медицинской карте стационарного больного.">
              <w:r>
                <w:rPr>
                  <w:sz w:val="20"/>
                  <w:color w:val="0000ff"/>
                </w:rPr>
                <w:t xml:space="preserve">пункте 17</w:t>
              </w:r>
            </w:hyperlink>
            <w:r>
              <w:rPr>
                <w:sz w:val="20"/>
              </w:rPr>
              <w:t xml:space="preserve"> настоящей Инструкции)</w:t>
            </w:r>
          </w:p>
        </w:tc>
        <w:tc>
          <w:tcPr>
            <w:tcW w:w="964" w:type="dxa"/>
          </w:tcPr>
          <w:p>
            <w:pPr>
              <w:pStyle w:val="0"/>
              <w:jc w:val="center"/>
            </w:pPr>
            <w:r>
              <w:rPr>
                <w:sz w:val="20"/>
              </w:rPr>
              <w:t xml:space="preserve">1</w:t>
            </w:r>
          </w:p>
        </w:tc>
        <w:tc>
          <w:tcPr>
            <w:tcW w:w="2948" w:type="dxa"/>
          </w:tcPr>
          <w:p>
            <w:pPr>
              <w:pStyle w:val="0"/>
            </w:pPr>
            <w:r>
              <w:rPr>
                <w:sz w:val="20"/>
              </w:rPr>
              <w:t xml:space="preserve">Хранится в деле ВВК в установленном порядке</w:t>
            </w:r>
          </w:p>
        </w:tc>
      </w:tr>
      <w:tr>
        <w:tblPrEx>
          <w:tblBorders>
            <w:insideH w:val="nil"/>
          </w:tblBorders>
        </w:tblPrEx>
        <w:tc>
          <w:tcPr>
            <w:tcBorders>
              <w:bottom w:val="nil"/>
            </w:tcBorders>
            <w:vMerge w:val="continue"/>
          </w:tcPr>
          <w:p/>
        </w:tc>
        <w:tc>
          <w:tcPr>
            <w:tcBorders>
              <w:bottom w:val="nil"/>
            </w:tcBorders>
            <w:vMerge w:val="continue"/>
          </w:tcPr>
          <w:p/>
        </w:tc>
        <w:tc>
          <w:tcPr>
            <w:tcW w:w="2494" w:type="dxa"/>
            <w:tcBorders>
              <w:bottom w:val="nil"/>
            </w:tcBorders>
          </w:tcPr>
          <w:p>
            <w:pPr>
              <w:pStyle w:val="0"/>
            </w:pPr>
            <w:r>
              <w:rPr>
                <w:sz w:val="20"/>
              </w:rPr>
              <w:t xml:space="preserve">Справка по </w:t>
            </w:r>
            <w:hyperlink w:history="0" r:id="rId64"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7</w:t>
              </w:r>
            </w:hyperlink>
          </w:p>
        </w:tc>
        <w:tc>
          <w:tcPr>
            <w:tcW w:w="964" w:type="dxa"/>
            <w:tcBorders>
              <w:bottom w:val="nil"/>
            </w:tcBorders>
          </w:tcPr>
          <w:p>
            <w:pPr>
              <w:pStyle w:val="0"/>
              <w:jc w:val="center"/>
            </w:pPr>
            <w:r>
              <w:rPr>
                <w:sz w:val="20"/>
              </w:rPr>
              <w:t xml:space="preserve">1</w:t>
            </w:r>
          </w:p>
        </w:tc>
        <w:tc>
          <w:tcPr>
            <w:tcW w:w="2948" w:type="dxa"/>
            <w:tcBorders>
              <w:bottom w:val="nil"/>
            </w:tcBorders>
          </w:tcPr>
          <w:p>
            <w:pPr>
              <w:pStyle w:val="0"/>
            </w:pPr>
            <w:r>
              <w:rPr>
                <w:sz w:val="20"/>
              </w:rPr>
              <w:t xml:space="preserve">Направляется в соответствующее подразделение по работе с личным составом</w:t>
            </w:r>
          </w:p>
        </w:tc>
      </w:tr>
      <w:tr>
        <w:tblPrEx>
          <w:tblBorders>
            <w:insideH w:val="nil"/>
          </w:tblBorders>
        </w:tblPrEx>
        <w:tc>
          <w:tcPr>
            <w:gridSpan w:val="5"/>
            <w:tcW w:w="9014" w:type="dxa"/>
            <w:tcBorders>
              <w:top w:val="nil"/>
            </w:tcBorders>
          </w:tcPr>
          <w:p>
            <w:pPr>
              <w:pStyle w:val="0"/>
              <w:jc w:val="both"/>
            </w:pPr>
            <w:r>
              <w:rPr>
                <w:sz w:val="20"/>
              </w:rPr>
              <w:t xml:space="preserve">(п. 9 в ред. </w:t>
            </w:r>
            <w:hyperlink w:history="0" r:id="rId65"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Приказа</w:t>
              </w:r>
            </w:hyperlink>
            <w:r>
              <w:rPr>
                <w:sz w:val="20"/>
              </w:rPr>
              <w:t xml:space="preserve"> МВД России от 23.12.2022 N 989)</w:t>
            </w:r>
          </w:p>
        </w:tc>
      </w:tr>
      <w:tr>
        <w:tc>
          <w:tcPr>
            <w:tcW w:w="567" w:type="dxa"/>
            <w:vMerge w:val="restart"/>
          </w:tcPr>
          <w:p>
            <w:pPr>
              <w:pStyle w:val="0"/>
              <w:jc w:val="center"/>
            </w:pPr>
            <w:r>
              <w:rPr>
                <w:sz w:val="20"/>
              </w:rPr>
              <w:t xml:space="preserve">10.</w:t>
            </w:r>
          </w:p>
        </w:tc>
        <w:tc>
          <w:tcPr>
            <w:tcW w:w="2041" w:type="dxa"/>
            <w:vMerge w:val="restart"/>
          </w:tcPr>
          <w:p>
            <w:pPr>
              <w:pStyle w:val="0"/>
              <w:jc w:val="both"/>
            </w:pPr>
            <w:r>
              <w:rPr>
                <w:sz w:val="20"/>
              </w:rPr>
              <w:t xml:space="preserve">Члены семей сотрудников</w:t>
            </w:r>
          </w:p>
        </w:tc>
        <w:tc>
          <w:tcPr>
            <w:tcW w:w="2494" w:type="dxa"/>
          </w:tcPr>
          <w:p>
            <w:pPr>
              <w:pStyle w:val="0"/>
              <w:jc w:val="both"/>
            </w:pPr>
            <w:r>
              <w:rPr>
                <w:sz w:val="20"/>
              </w:rPr>
              <w:t xml:space="preserve">Акт медицинского освидетельствования (за исключением лиц, указанных в </w:t>
            </w:r>
            <w:hyperlink w:history="0" w:anchor="P271" w:tooltip="17. Сотрудникам, членам семей сотрудников, находящихся на стационарном лечении в медицинских организациях системы МВД России и проходящих освидетельствование в ВВК структурного подразделения МСЧ МВД России, госпитальной ВВК, акт медицинского освидетельствования не оформляется. Результаты проведенных обследований отражаются в эпикризе в медицинской карте стационарного больного.">
              <w:r>
                <w:rPr>
                  <w:sz w:val="20"/>
                  <w:color w:val="0000ff"/>
                </w:rPr>
                <w:t xml:space="preserve">пункте 17</w:t>
              </w:r>
            </w:hyperlink>
            <w:r>
              <w:rPr>
                <w:sz w:val="20"/>
              </w:rPr>
              <w:t xml:space="preserve"> настоящей Инструкции)</w:t>
            </w:r>
          </w:p>
        </w:tc>
        <w:tc>
          <w:tcPr>
            <w:tcW w:w="964" w:type="dxa"/>
          </w:tcPr>
          <w:p>
            <w:pPr>
              <w:pStyle w:val="0"/>
              <w:jc w:val="center"/>
            </w:pPr>
            <w:r>
              <w:rPr>
                <w:sz w:val="20"/>
              </w:rPr>
              <w:t xml:space="preserve">1</w:t>
            </w:r>
          </w:p>
        </w:tc>
        <w:tc>
          <w:tcPr>
            <w:tcW w:w="2948" w:type="dxa"/>
          </w:tcPr>
          <w:p>
            <w:pPr>
              <w:pStyle w:val="0"/>
              <w:jc w:val="both"/>
            </w:pPr>
            <w:r>
              <w:rPr>
                <w:sz w:val="20"/>
              </w:rPr>
              <w:t xml:space="preserve">Хранится в деле ВВК в установленном порядке</w:t>
            </w:r>
          </w:p>
        </w:tc>
      </w:tr>
      <w:tr>
        <w:tc>
          <w:tcPr>
            <w:vMerge w:val="continue"/>
          </w:tcPr>
          <w:p/>
        </w:tc>
        <w:tc>
          <w:tcPr>
            <w:vMerge w:val="continue"/>
          </w:tcPr>
          <w:p/>
        </w:tc>
        <w:tc>
          <w:tcPr>
            <w:tcW w:w="2494" w:type="dxa"/>
          </w:tcPr>
          <w:bookmarkStart w:id="405" w:name="P405"/>
          <w:bookmarkEnd w:id="405"/>
          <w:p>
            <w:pPr>
              <w:pStyle w:val="0"/>
              <w:jc w:val="both"/>
            </w:pPr>
            <w:r>
              <w:rPr>
                <w:sz w:val="20"/>
              </w:rPr>
              <w:t xml:space="preserve">Справка по </w:t>
            </w:r>
            <w:hyperlink w:history="0" r:id="rId66"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8</w:t>
              </w:r>
            </w:hyperlink>
            <w:r>
              <w:rPr>
                <w:sz w:val="20"/>
              </w:rPr>
              <w:t xml:space="preserve">, указанной в приложении N 3 к приказу о военно-врачебной экспертизе</w:t>
            </w:r>
          </w:p>
        </w:tc>
        <w:tc>
          <w:tcPr>
            <w:tcW w:w="964" w:type="dxa"/>
          </w:tcPr>
          <w:p>
            <w:pPr>
              <w:pStyle w:val="0"/>
              <w:jc w:val="center"/>
            </w:pPr>
            <w:r>
              <w:rPr>
                <w:sz w:val="20"/>
              </w:rPr>
              <w:t xml:space="preserve">1</w:t>
            </w:r>
          </w:p>
        </w:tc>
        <w:tc>
          <w:tcPr>
            <w:tcW w:w="2948" w:type="dxa"/>
          </w:tcPr>
          <w:p>
            <w:pPr>
              <w:pStyle w:val="0"/>
              <w:jc w:val="both"/>
            </w:pPr>
            <w:r>
              <w:rPr>
                <w:sz w:val="20"/>
              </w:rPr>
              <w:t xml:space="preserve">Направляется в соответствующее подразделение по работе с личным составом</w:t>
            </w:r>
          </w:p>
        </w:tc>
      </w:tr>
    </w:tbl>
    <w:p>
      <w:pPr>
        <w:pStyle w:val="0"/>
        <w:jc w:val="both"/>
      </w:pPr>
      <w:r>
        <w:rPr>
          <w:sz w:val="20"/>
        </w:rPr>
      </w:r>
    </w:p>
    <w:p>
      <w:pPr>
        <w:pStyle w:val="0"/>
        <w:ind w:firstLine="540"/>
        <w:jc w:val="both"/>
      </w:pPr>
      <w:r>
        <w:rPr>
          <w:sz w:val="20"/>
        </w:rPr>
        <w:t xml:space="preserve">22(1). Заключение ВВК, оформленное справкой по </w:t>
      </w:r>
      <w:hyperlink w:history="0" r:id="rId67"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7</w:t>
        </w:r>
      </w:hyperlink>
      <w:r>
        <w:rPr>
          <w:sz w:val="20"/>
        </w:rPr>
        <w:t xml:space="preserve">, направляется в соответствующее подразделение по работе с личным составом не позднее трех рабочих дней после предоставления всех необходимых для вынесения заключения ВВК медицинских документов и результатов обследования.</w:t>
      </w:r>
    </w:p>
    <w:p>
      <w:pPr>
        <w:pStyle w:val="0"/>
        <w:jc w:val="both"/>
      </w:pPr>
      <w:r>
        <w:rPr>
          <w:sz w:val="20"/>
        </w:rPr>
        <w:t xml:space="preserve">(п. 22(1) введен </w:t>
      </w:r>
      <w:hyperlink w:history="0" r:id="rId68"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Приказом</w:t>
        </w:r>
      </w:hyperlink>
      <w:r>
        <w:rPr>
          <w:sz w:val="20"/>
        </w:rPr>
        <w:t xml:space="preserve"> МВД России от 23.12.2022 N 989)</w:t>
      </w:r>
    </w:p>
    <w:p>
      <w:pPr>
        <w:pStyle w:val="0"/>
        <w:spacing w:before="200" w:lineRule="auto"/>
        <w:ind w:firstLine="540"/>
        <w:jc w:val="both"/>
      </w:pPr>
      <w:r>
        <w:rPr>
          <w:sz w:val="20"/>
        </w:rPr>
        <w:t xml:space="preserve">23. В случае, когда освидетельствуемый отказался от обследования, а также в случае, если освидетельствуемый в течение срока, указанного в направлении на дополнительное обследование, не представил в ВВК результаты назначенных дополнительных обследований в разделе "Примечание" акта медицинского освидетельствования (карты медицинского освидетельствования) указывается: "Заключение может быть вынесено после" и перечисляются необходимые для вынесения заключения обследования. Аналогичная запись делается в справке по </w:t>
      </w:r>
      <w:hyperlink w:history="0" r:id="rId69"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7</w:t>
        </w:r>
      </w:hyperlink>
      <w:r>
        <w:rPr>
          <w:sz w:val="20"/>
        </w:rPr>
        <w:t xml:space="preserve">, указанной в приложении N 3 к приказу о военно-врачебной экспертизе, один экземпляр которой не позднее следующего рабочего дня направляется уполномоченному должностному лицу. В данном случае заключение ВВК не выносится.</w:t>
      </w:r>
    </w:p>
    <w:p>
      <w:pPr>
        <w:pStyle w:val="0"/>
        <w:jc w:val="both"/>
      </w:pPr>
      <w:r>
        <w:rPr>
          <w:sz w:val="20"/>
        </w:rPr>
        <w:t xml:space="preserve">(в ред. </w:t>
      </w:r>
      <w:hyperlink w:history="0" r:id="rId70" w:tooltip="Приказ МВД России от 23.12.2022 N 989 &quot;О внесении изменений в Инструкцию по организации деятельности военно-врачебных комиссий в системе Министерства внутренних дел Российской Федерации, утвержденную приказом МВД России от 14 июня 2018 г. N 370&quot; {КонсультантПлюс}">
        <w:r>
          <w:rPr>
            <w:sz w:val="20"/>
            <w:color w:val="0000ff"/>
          </w:rPr>
          <w:t xml:space="preserve">Приказа</w:t>
        </w:r>
      </w:hyperlink>
      <w:r>
        <w:rPr>
          <w:sz w:val="20"/>
        </w:rPr>
        <w:t xml:space="preserve"> МВД России от 23.12.2022 N 989)</w:t>
      </w:r>
    </w:p>
    <w:p>
      <w:pPr>
        <w:pStyle w:val="0"/>
        <w:spacing w:before="200" w:lineRule="auto"/>
        <w:ind w:firstLine="540"/>
        <w:jc w:val="both"/>
      </w:pPr>
      <w:r>
        <w:rPr>
          <w:sz w:val="20"/>
        </w:rPr>
        <w:t xml:space="preserve">24. Для заключений, указанных в </w:t>
      </w:r>
      <w:hyperlink w:history="0" w:anchor="P113" w:tooltip="8. Проверку обоснованности заключений осуществляют:">
        <w:r>
          <w:rPr>
            <w:sz w:val="20"/>
            <w:color w:val="0000ff"/>
          </w:rPr>
          <w:t xml:space="preserve">пункте 8</w:t>
        </w:r>
      </w:hyperlink>
      <w:r>
        <w:rPr>
          <w:sz w:val="20"/>
        </w:rPr>
        <w:t xml:space="preserve"> настоящей Инструкции, составляется дополнительный экземпляр документов, перечисленных в </w:t>
      </w:r>
      <w:hyperlink w:history="0" w:anchor="P369" w:tooltip="Справка по форме N 12, указанной в приложении N 3 к приказу о военно-врачебной экспертизе">
        <w:r>
          <w:rPr>
            <w:sz w:val="20"/>
            <w:color w:val="0000ff"/>
          </w:rPr>
          <w:t xml:space="preserve">абзацах вторых строк 6</w:t>
        </w:r>
      </w:hyperlink>
      <w:r>
        <w:rPr>
          <w:sz w:val="20"/>
        </w:rPr>
        <w:t xml:space="preserve">, </w:t>
      </w:r>
      <w:hyperlink w:history="0" w:anchor="P377" w:tooltip="Справка по форме N 14, указанной в приложении N 3 к приказу о военно-врачебной экспертизе">
        <w:r>
          <w:rPr>
            <w:sz w:val="20"/>
            <w:color w:val="0000ff"/>
          </w:rPr>
          <w:t xml:space="preserve">7</w:t>
        </w:r>
      </w:hyperlink>
      <w:r>
        <w:rPr>
          <w:sz w:val="20"/>
        </w:rPr>
        <w:t xml:space="preserve">, </w:t>
      </w:r>
      <w:hyperlink w:history="0" w:anchor="P391" w:tooltip="9.">
        <w:r>
          <w:rPr>
            <w:sz w:val="20"/>
            <w:color w:val="0000ff"/>
          </w:rPr>
          <w:t xml:space="preserve">9</w:t>
        </w:r>
      </w:hyperlink>
      <w:r>
        <w:rPr>
          <w:sz w:val="20"/>
        </w:rPr>
        <w:t xml:space="preserve">, </w:t>
      </w:r>
      <w:hyperlink w:history="0" w:anchor="P405" w:tooltip="Справка по форме N 8, указанной в приложении N 3 к приказу о военно-врачебной экспертизе">
        <w:r>
          <w:rPr>
            <w:sz w:val="20"/>
            <w:color w:val="0000ff"/>
          </w:rPr>
          <w:t xml:space="preserve">10 графы 3</w:t>
        </w:r>
      </w:hyperlink>
      <w:r>
        <w:rPr>
          <w:sz w:val="20"/>
        </w:rPr>
        <w:t xml:space="preserve"> и </w:t>
      </w:r>
      <w:hyperlink w:history="0" w:anchor="P388" w:tooltip="Свидетельство о болезни по форме N 6, указанной в приложении N 3 к приказу о военно-врачебной экспертизе">
        <w:r>
          <w:rPr>
            <w:sz w:val="20"/>
            <w:color w:val="0000ff"/>
          </w:rPr>
          <w:t xml:space="preserve">абзаце третьем строки 8 графы 3 пункта 22</w:t>
        </w:r>
      </w:hyperlink>
      <w:r>
        <w:rPr>
          <w:sz w:val="20"/>
        </w:rPr>
        <w:t xml:space="preserve"> настоящей Инструкции, а документы, составленные по результатам освидетельствования, направляются освидетельствованному (его законному представителю) или уполномоченному должностному лицу только с записью вышестоящей ВВК об отсутствии замечаний.</w:t>
      </w:r>
    </w:p>
    <w:p>
      <w:pPr>
        <w:pStyle w:val="0"/>
        <w:spacing w:before="200" w:lineRule="auto"/>
        <w:ind w:firstLine="540"/>
        <w:jc w:val="both"/>
      </w:pPr>
      <w:r>
        <w:rPr>
          <w:sz w:val="20"/>
        </w:rPr>
        <w:t xml:space="preserve">25. Заключения ВВК заносятся в книгу учета заседаний военно-врачебной комиссии по </w:t>
      </w:r>
      <w:hyperlink w:history="0" r:id="rId71" w:tooltip="Приказ МВД России от 02.04.2018 N 190 (ред. от 19.08.2020) &quot;О требованиях к состоянию здоровья граждан, поступающих на службу в органы внутренних дел Российской Федерации, и сотрудников органов внутренних дел Российской Федерации, перечнях дополнительных обязательных диагностических исследований, проводимых до начала медицинского освидетельствования, формах документации, необходимых для деятельности военно-врачебных комиссий, порядке проведения контрольного обследования и повторного освидетельствования и о  ------------ Утратил силу или отменен {КонсультантПлюс}">
        <w:r>
          <w:rPr>
            <w:sz w:val="20"/>
            <w:color w:val="0000ff"/>
          </w:rPr>
          <w:t xml:space="preserve">форме N 15</w:t>
        </w:r>
      </w:hyperlink>
      <w:r>
        <w:rPr>
          <w:sz w:val="20"/>
        </w:rPr>
        <w:t xml:space="preserve">, указанной в приложении N 3 к приказу о военно-врачебной экспертизе.</w:t>
      </w:r>
    </w:p>
    <w:p>
      <w:pPr>
        <w:pStyle w:val="0"/>
        <w:spacing w:before="200" w:lineRule="auto"/>
        <w:ind w:firstLine="540"/>
        <w:jc w:val="both"/>
      </w:pPr>
      <w:r>
        <w:rPr>
          <w:sz w:val="20"/>
        </w:rPr>
        <w:t xml:space="preserve">26. К акту медицинского освидетельствования, карте медицинского освидетельствования, протоколу заседания ВВК приобщаются направление на освидетельствование и документы, послужившие основанием для вынесения заключения ВВК (за исключением документов, содержащих сведения, составляющие государственную тайну, - в указанном случае в акте медицинского освидетельствования или карте медицинского освидетельствования дается ссылка на дело, в котором хранятся эти документы).</w:t>
      </w:r>
    </w:p>
    <w:p>
      <w:pPr>
        <w:pStyle w:val="0"/>
        <w:spacing w:before="200" w:lineRule="auto"/>
        <w:ind w:firstLine="540"/>
        <w:jc w:val="both"/>
      </w:pPr>
      <w:r>
        <w:rPr>
          <w:sz w:val="20"/>
        </w:rPr>
        <w:t xml:space="preserve">27. Заключения, перечисленные в </w:t>
      </w:r>
      <w:hyperlink w:history="0" w:anchor="P113" w:tooltip="8. Проверку обоснованности заключений осуществляют:">
        <w:r>
          <w:rPr>
            <w:sz w:val="20"/>
            <w:color w:val="0000ff"/>
          </w:rPr>
          <w:t xml:space="preserve">пункте 8</w:t>
        </w:r>
      </w:hyperlink>
      <w:r>
        <w:rPr>
          <w:sz w:val="20"/>
        </w:rPr>
        <w:t xml:space="preserve"> настоящей Инструкции, направляются в соответствующую вышестоящую ВВК для проверки обоснованности в пятидневный срок после освидетельствования (заключения в отношении лиц, признанных при окончательном освидетельствовании негодными к поступлению в образовательную организацию, - в суточный срок) со всеми документами, обосновывающими заключение ВВК.</w:t>
      </w:r>
    </w:p>
    <w:p>
      <w:pPr>
        <w:pStyle w:val="0"/>
        <w:spacing w:before="200" w:lineRule="auto"/>
        <w:ind w:firstLine="540"/>
        <w:jc w:val="both"/>
      </w:pPr>
      <w:r>
        <w:rPr>
          <w:sz w:val="20"/>
        </w:rPr>
        <w:t xml:space="preserve">28. По результатам проверки обоснованности заключения вышестоящей ВВК делается запись об отсутствии замечаний или об отмене заключения и направлении на контрольное обследование и повторное освидетельствование с указанием ВВК, где они будут проводиться. Запись заверяется подписью председателя вышестоящей ВВК. После рассмотрения представленные документы возвращаются в ВВК, проводившую освидетельствование.</w:t>
      </w:r>
    </w:p>
    <w:bookmarkStart w:id="418" w:name="P418"/>
    <w:bookmarkEnd w:id="418"/>
    <w:p>
      <w:pPr>
        <w:pStyle w:val="0"/>
        <w:spacing w:before="200" w:lineRule="auto"/>
        <w:ind w:firstLine="540"/>
        <w:jc w:val="both"/>
      </w:pPr>
      <w:r>
        <w:rPr>
          <w:sz w:val="20"/>
        </w:rPr>
        <w:t xml:space="preserve">29. В случае выявления вышестоящей ВВК нарушений порядка освидетельствования, повлиявших на заключение ВВК, заключение ВВК возвращается в составившую его ВВК с замечаниями и необходимыми указаниями. Один экземпляр такого заключения ВВК хранится в деле вышестоящей ВВК, второй экземпляр - в деле ВВК, составившей заключение, остальные экземпляры подлежат уничтожению ВВК, составившей заключение. После контрольного обследования и повторного освидетельствования новое заключение ВВК регистрируется за новым номером и датой и направляется на повторное рассмотрение в вышестоящую ВВК с целью проверки обоснованности вынесенного заключения.</w:t>
      </w:r>
    </w:p>
    <w:p>
      <w:pPr>
        <w:pStyle w:val="0"/>
        <w:spacing w:before="200" w:lineRule="auto"/>
        <w:ind w:firstLine="540"/>
        <w:jc w:val="both"/>
      </w:pPr>
      <w:r>
        <w:rPr>
          <w:sz w:val="20"/>
        </w:rPr>
        <w:t xml:space="preserve">30. Заключения ВВК в отношении лиц, признанных при окончательном освидетельствовании негодными к поступлению в образовательную организацию, после проставления на них записи вышестоящей ВВК об отсутствии замечаний в пятидневный срок направляются в ЦВВК для анализа результатов предварительного и окончательного освидетельствований.</w:t>
      </w:r>
    </w:p>
    <w:p>
      <w:pPr>
        <w:pStyle w:val="0"/>
        <w:spacing w:before="200" w:lineRule="auto"/>
        <w:ind w:firstLine="540"/>
        <w:jc w:val="both"/>
      </w:pPr>
      <w:r>
        <w:rPr>
          <w:sz w:val="20"/>
        </w:rPr>
        <w:t xml:space="preserve">31. ВВК в случае утраты заключения ВВК по запросу руководства органа внутренних дел Российской Федерации, в котором граждане, уволенные со службы, состоят на пенсионном обеспечении, по заявлению освидетельствованного, а также в иных случаях, установленных законодательством Российской Федерации, выдает копию указанного документа.</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МВД России от 14.06.2018 N 370</w:t>
            <w:br/>
            <w:t>(ред. от 23.12.2022)</w:t>
            <w:br/>
            <w:t>"Об утверждении Инструкции по организации деятельности военно...</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38356&amp;dst=100007" TargetMode = "External"/><Relationship Id="rId9" Type="http://schemas.openxmlformats.org/officeDocument/2006/relationships/hyperlink" Target="https://login.consultant.ru/link/?req=doc&amp;base=LAW&amp;n=514131&amp;dst=101990" TargetMode = "External"/><Relationship Id="rId10" Type="http://schemas.openxmlformats.org/officeDocument/2006/relationships/hyperlink" Target="https://login.consultant.ru/link/?req=doc&amp;base=LAW&amp;n=438356&amp;dst=100007" TargetMode = "External"/><Relationship Id="rId11" Type="http://schemas.openxmlformats.org/officeDocument/2006/relationships/hyperlink" Target="https://login.consultant.ru/link/?req=doc&amp;base=LAW&amp;n=514131&amp;dst=102019" TargetMode = "External"/><Relationship Id="rId12" Type="http://schemas.openxmlformats.org/officeDocument/2006/relationships/hyperlink" Target="https://login.consultant.ru/link/?req=doc&amp;base=LAW&amp;n=514131&amp;dst=102020" TargetMode = "External"/><Relationship Id="rId13" Type="http://schemas.openxmlformats.org/officeDocument/2006/relationships/hyperlink" Target="https://login.consultant.ru/link/?req=doc&amp;base=LAW&amp;n=438356&amp;dst=100011" TargetMode = "External"/><Relationship Id="rId14" Type="http://schemas.openxmlformats.org/officeDocument/2006/relationships/hyperlink" Target="https://login.consultant.ru/link/?req=doc&amp;base=LAW&amp;n=438356&amp;dst=100013" TargetMode = "External"/><Relationship Id="rId15" Type="http://schemas.openxmlformats.org/officeDocument/2006/relationships/hyperlink" Target="https://login.consultant.ru/link/?req=doc&amp;base=LAW&amp;n=362704&amp;dst=100027" TargetMode = "External"/><Relationship Id="rId16" Type="http://schemas.openxmlformats.org/officeDocument/2006/relationships/hyperlink" Target="https://login.consultant.ru/link/?req=doc&amp;base=LAW&amp;n=362704&amp;dst=100068" TargetMode = "External"/><Relationship Id="rId17" Type="http://schemas.openxmlformats.org/officeDocument/2006/relationships/hyperlink" Target="https://login.consultant.ru/link/?req=doc&amp;base=LAW&amp;n=362704&amp;dst=102868" TargetMode = "External"/><Relationship Id="rId18" Type="http://schemas.openxmlformats.org/officeDocument/2006/relationships/hyperlink" Target="https://login.consultant.ru/link/?req=doc&amp;base=LAW&amp;n=362704&amp;dst=100068" TargetMode = "External"/><Relationship Id="rId19" Type="http://schemas.openxmlformats.org/officeDocument/2006/relationships/hyperlink" Target="https://login.consultant.ru/link/?req=doc&amp;base=LAW&amp;n=362704&amp;dst=102868" TargetMode = "External"/><Relationship Id="rId20" Type="http://schemas.openxmlformats.org/officeDocument/2006/relationships/hyperlink" Target="https://login.consultant.ru/link/?req=doc&amp;base=LAW&amp;n=362704&amp;dst=103093" TargetMode = "External"/><Relationship Id="rId21" Type="http://schemas.openxmlformats.org/officeDocument/2006/relationships/hyperlink" Target="https://login.consultant.ru/link/?req=doc&amp;base=LAW&amp;n=362704&amp;dst=102927" TargetMode = "External"/><Relationship Id="rId22" Type="http://schemas.openxmlformats.org/officeDocument/2006/relationships/hyperlink" Target="https://login.consultant.ru/link/?req=doc&amp;base=LAW&amp;n=362704&amp;dst=103093" TargetMode = "External"/><Relationship Id="rId23" Type="http://schemas.openxmlformats.org/officeDocument/2006/relationships/hyperlink" Target="https://login.consultant.ru/link/?req=doc&amp;base=LAW&amp;n=362704&amp;dst=102927" TargetMode = "External"/><Relationship Id="rId24" Type="http://schemas.openxmlformats.org/officeDocument/2006/relationships/hyperlink" Target="https://login.consultant.ru/link/?req=doc&amp;base=LAW&amp;n=362704&amp;dst=103093" TargetMode = "External"/><Relationship Id="rId25" Type="http://schemas.openxmlformats.org/officeDocument/2006/relationships/hyperlink" Target="https://login.consultant.ru/link/?req=doc&amp;base=LAW&amp;n=438356&amp;dst=100014" TargetMode = "External"/><Relationship Id="rId26" Type="http://schemas.openxmlformats.org/officeDocument/2006/relationships/hyperlink" Target="https://login.consultant.ru/link/?req=doc&amp;base=LAW&amp;n=362704&amp;dst=104482" TargetMode = "External"/><Relationship Id="rId27" Type="http://schemas.openxmlformats.org/officeDocument/2006/relationships/hyperlink" Target="https://login.consultant.ru/link/?req=doc&amp;base=LAW&amp;n=438356&amp;dst=100090" TargetMode = "External"/><Relationship Id="rId28" Type="http://schemas.openxmlformats.org/officeDocument/2006/relationships/hyperlink" Target="https://login.consultant.ru/link/?req=doc&amp;base=LAW&amp;n=514131&amp;dst=15" TargetMode = "External"/><Relationship Id="rId29" Type="http://schemas.openxmlformats.org/officeDocument/2006/relationships/hyperlink" Target="https://login.consultant.ru/link/?req=doc&amp;base=LAW&amp;n=514131&amp;dst=100152" TargetMode = "External"/><Relationship Id="rId30" Type="http://schemas.openxmlformats.org/officeDocument/2006/relationships/hyperlink" Target="https://login.consultant.ru/link/?req=doc&amp;base=LAW&amp;n=362704&amp;dst=104462" TargetMode = "External"/><Relationship Id="rId31" Type="http://schemas.openxmlformats.org/officeDocument/2006/relationships/hyperlink" Target="https://login.consultant.ru/link/?req=doc&amp;base=LAW&amp;n=514131&amp;dst=15" TargetMode = "External"/><Relationship Id="rId32" Type="http://schemas.openxmlformats.org/officeDocument/2006/relationships/hyperlink" Target="https://login.consultant.ru/link/?req=doc&amp;base=LAW&amp;n=514131&amp;dst=100152" TargetMode = "External"/><Relationship Id="rId33" Type="http://schemas.openxmlformats.org/officeDocument/2006/relationships/hyperlink" Target="https://login.consultant.ru/link/?req=doc&amp;base=LAW&amp;n=514131&amp;dst=100222" TargetMode = "External"/><Relationship Id="rId34" Type="http://schemas.openxmlformats.org/officeDocument/2006/relationships/hyperlink" Target="https://login.consultant.ru/link/?req=doc&amp;base=LAW&amp;n=362704&amp;dst=104469" TargetMode = "External"/><Relationship Id="rId35" Type="http://schemas.openxmlformats.org/officeDocument/2006/relationships/hyperlink" Target="https://login.consultant.ru/link/?req=doc&amp;base=LAW&amp;n=362704&amp;dst=104505" TargetMode = "External"/><Relationship Id="rId36" Type="http://schemas.openxmlformats.org/officeDocument/2006/relationships/hyperlink" Target="https://login.consultant.ru/link/?req=doc&amp;base=LAW&amp;n=438356&amp;dst=100091" TargetMode = "External"/><Relationship Id="rId37" Type="http://schemas.openxmlformats.org/officeDocument/2006/relationships/hyperlink" Target="https://login.consultant.ru/link/?req=doc&amp;base=LAW&amp;n=514131&amp;dst=15" TargetMode = "External"/><Relationship Id="rId38" Type="http://schemas.openxmlformats.org/officeDocument/2006/relationships/hyperlink" Target="https://login.consultant.ru/link/?req=doc&amp;base=LAW&amp;n=514131&amp;dst=100152" TargetMode = "External"/><Relationship Id="rId39" Type="http://schemas.openxmlformats.org/officeDocument/2006/relationships/hyperlink" Target="https://login.consultant.ru/link/?req=doc&amp;base=LAW&amp;n=514131&amp;dst=100222" TargetMode = "External"/><Relationship Id="rId40" Type="http://schemas.openxmlformats.org/officeDocument/2006/relationships/hyperlink" Target="https://login.consultant.ru/link/?req=doc&amp;base=LAW&amp;n=362704&amp;dst=104462" TargetMode = "External"/><Relationship Id="rId41" Type="http://schemas.openxmlformats.org/officeDocument/2006/relationships/hyperlink" Target="https://login.consultant.ru/link/?req=doc&amp;base=LAW&amp;n=438356&amp;dst=100093" TargetMode = "External"/><Relationship Id="rId42" Type="http://schemas.openxmlformats.org/officeDocument/2006/relationships/hyperlink" Target="https://login.consultant.ru/link/?req=doc&amp;base=LAW&amp;n=362704&amp;dst=104520" TargetMode = "External"/><Relationship Id="rId43" Type="http://schemas.openxmlformats.org/officeDocument/2006/relationships/hyperlink" Target="https://login.consultant.ru/link/?req=doc&amp;base=LAW&amp;n=362704&amp;dst=104656" TargetMode = "External"/><Relationship Id="rId44" Type="http://schemas.openxmlformats.org/officeDocument/2006/relationships/hyperlink" Target="https://login.consultant.ru/link/?req=doc&amp;base=LAW&amp;n=362704&amp;dst=104965" TargetMode = "External"/><Relationship Id="rId45" Type="http://schemas.openxmlformats.org/officeDocument/2006/relationships/hyperlink" Target="https://login.consultant.ru/link/?req=doc&amp;base=LAW&amp;n=514131&amp;dst=100074" TargetMode = "External"/><Relationship Id="rId46" Type="http://schemas.openxmlformats.org/officeDocument/2006/relationships/hyperlink" Target="https://login.consultant.ru/link/?req=doc&amp;base=LAW&amp;n=514131&amp;dst=102019" TargetMode = "External"/><Relationship Id="rId47" Type="http://schemas.openxmlformats.org/officeDocument/2006/relationships/hyperlink" Target="https://login.consultant.ru/link/?req=doc&amp;base=LAW&amp;n=514131&amp;dst=100152" TargetMode = "External"/><Relationship Id="rId48" Type="http://schemas.openxmlformats.org/officeDocument/2006/relationships/hyperlink" Target="https://login.consultant.ru/link/?req=doc&amp;base=LAW&amp;n=438356&amp;dst=100094" TargetMode = "External"/><Relationship Id="rId49" Type="http://schemas.openxmlformats.org/officeDocument/2006/relationships/hyperlink" Target="https://login.consultant.ru/link/?req=doc&amp;base=LAW&amp;n=362704&amp;dst=104791" TargetMode = "External"/><Relationship Id="rId50" Type="http://schemas.openxmlformats.org/officeDocument/2006/relationships/hyperlink" Target="https://login.consultant.ru/link/?req=doc&amp;base=LAW&amp;n=362704&amp;dst=104824" TargetMode = "External"/><Relationship Id="rId51" Type="http://schemas.openxmlformats.org/officeDocument/2006/relationships/hyperlink" Target="https://login.consultant.ru/link/?req=doc&amp;base=LAW&amp;n=362704&amp;dst=104824" TargetMode = "External"/><Relationship Id="rId52" Type="http://schemas.openxmlformats.org/officeDocument/2006/relationships/hyperlink" Target="https://login.consultant.ru/link/?req=doc&amp;base=LAW&amp;n=362704&amp;dst=104840" TargetMode = "External"/><Relationship Id="rId53" Type="http://schemas.openxmlformats.org/officeDocument/2006/relationships/hyperlink" Target="https://login.consultant.ru/link/?req=doc&amp;base=LAW&amp;n=362704&amp;dst=104840" TargetMode = "External"/><Relationship Id="rId54" Type="http://schemas.openxmlformats.org/officeDocument/2006/relationships/hyperlink" Target="https://login.consultant.ru/link/?req=doc&amp;base=LAW&amp;n=362704&amp;dst=104863" TargetMode = "External"/><Relationship Id="rId55" Type="http://schemas.openxmlformats.org/officeDocument/2006/relationships/hyperlink" Target="https://login.consultant.ru/link/?req=doc&amp;base=LAW&amp;n=362704&amp;dst=104870" TargetMode = "External"/><Relationship Id="rId56" Type="http://schemas.openxmlformats.org/officeDocument/2006/relationships/hyperlink" Target="https://login.consultant.ru/link/?req=doc&amp;base=LAW&amp;n=490643&amp;dst=100225" TargetMode = "External"/><Relationship Id="rId57" Type="http://schemas.openxmlformats.org/officeDocument/2006/relationships/hyperlink" Target="https://login.consultant.ru/link/?req=doc&amp;base=LAW&amp;n=431947" TargetMode = "External"/><Relationship Id="rId58" Type="http://schemas.openxmlformats.org/officeDocument/2006/relationships/hyperlink" Target="https://login.consultant.ru/link/?req=doc&amp;base=LAW&amp;n=438356&amp;dst=100108" TargetMode = "External"/><Relationship Id="rId59" Type="http://schemas.openxmlformats.org/officeDocument/2006/relationships/hyperlink" Target="https://login.consultant.ru/link/?req=doc&amp;base=LAW&amp;n=362704&amp;dst=104898" TargetMode = "External"/><Relationship Id="rId60" Type="http://schemas.openxmlformats.org/officeDocument/2006/relationships/hyperlink" Target="https://login.consultant.ru/link/?req=doc&amp;base=LAW&amp;n=362704&amp;dst=104911" TargetMode = "External"/><Relationship Id="rId61" Type="http://schemas.openxmlformats.org/officeDocument/2006/relationships/hyperlink" Target="https://login.consultant.ru/link/?req=doc&amp;base=LAW&amp;n=362704&amp;dst=104934" TargetMode = "External"/><Relationship Id="rId62" Type="http://schemas.openxmlformats.org/officeDocument/2006/relationships/hyperlink" Target="https://login.consultant.ru/link/?req=doc&amp;base=LAW&amp;n=362704&amp;dst=104824" TargetMode = "External"/><Relationship Id="rId63" Type="http://schemas.openxmlformats.org/officeDocument/2006/relationships/hyperlink" Target="https://login.consultant.ru/link/?req=doc&amp;base=LAW&amp;n=362704&amp;dst=104799" TargetMode = "External"/><Relationship Id="rId64" Type="http://schemas.openxmlformats.org/officeDocument/2006/relationships/hyperlink" Target="https://login.consultant.ru/link/?req=doc&amp;base=LAW&amp;n=362704&amp;dst=104824" TargetMode = "External"/><Relationship Id="rId65" Type="http://schemas.openxmlformats.org/officeDocument/2006/relationships/hyperlink" Target="https://login.consultant.ru/link/?req=doc&amp;base=LAW&amp;n=438356&amp;dst=100097" TargetMode = "External"/><Relationship Id="rId66" Type="http://schemas.openxmlformats.org/officeDocument/2006/relationships/hyperlink" Target="https://login.consultant.ru/link/?req=doc&amp;base=LAW&amp;n=362704&amp;dst=104833" TargetMode = "External"/><Relationship Id="rId67" Type="http://schemas.openxmlformats.org/officeDocument/2006/relationships/hyperlink" Target="https://login.consultant.ru/link/?req=doc&amp;base=LAW&amp;n=362704&amp;dst=104824" TargetMode = "External"/><Relationship Id="rId68" Type="http://schemas.openxmlformats.org/officeDocument/2006/relationships/hyperlink" Target="https://login.consultant.ru/link/?req=doc&amp;base=LAW&amp;n=438356&amp;dst=100110" TargetMode = "External"/><Relationship Id="rId69" Type="http://schemas.openxmlformats.org/officeDocument/2006/relationships/hyperlink" Target="https://login.consultant.ru/link/?req=doc&amp;base=LAW&amp;n=362704&amp;dst=104824" TargetMode = "External"/><Relationship Id="rId70" Type="http://schemas.openxmlformats.org/officeDocument/2006/relationships/hyperlink" Target="https://login.consultant.ru/link/?req=doc&amp;base=LAW&amp;n=438356&amp;dst=100112" TargetMode = "External"/><Relationship Id="rId71" Type="http://schemas.openxmlformats.org/officeDocument/2006/relationships/hyperlink" Target="https://login.consultant.ru/link/?req=doc&amp;base=LAW&amp;n=362704&amp;dst=104940"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14.06.2018 N 370
(ред. от 23.12.2022)
"Об утверждении Инструкции по организации деятельности военно-врачебных комиссий в системе Министерства внутренних дел Российской Федерации"</dc:title>
  <dcterms:created xsi:type="dcterms:W3CDTF">2025-11-14T04:40:48Z</dcterms:created>
</cp:coreProperties>
</file>