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80A6" w14:textId="77777777" w:rsidR="00D923B3" w:rsidRPr="00D923B3" w:rsidRDefault="00D923B3" w:rsidP="00D923B3">
      <w:pPr>
        <w:jc w:val="both"/>
        <w:rPr>
          <w:b/>
          <w:bCs/>
        </w:rPr>
      </w:pPr>
      <w:r w:rsidRPr="00D923B3">
        <w:rPr>
          <w:b/>
          <w:bCs/>
        </w:rPr>
        <w:t>1. Rationale for Excluding Other Descriptors</w:t>
      </w:r>
    </w:p>
    <w:p w14:paraId="340612BC" w14:textId="77777777" w:rsidR="00D923B3" w:rsidRPr="00D923B3" w:rsidRDefault="00D923B3" w:rsidP="00D923B3">
      <w:pPr>
        <w:jc w:val="both"/>
        <w:rPr>
          <w:b/>
          <w:bCs/>
        </w:rPr>
      </w:pPr>
      <w:r w:rsidRPr="00D923B3">
        <w:rPr>
          <w:b/>
          <w:bCs/>
        </w:rPr>
        <w:t>1.1 Overview of Exclusion Strategy</w:t>
      </w:r>
    </w:p>
    <w:p w14:paraId="68097323" w14:textId="77777777" w:rsidR="00D923B3" w:rsidRPr="00D923B3" w:rsidRDefault="00D923B3" w:rsidP="00D923B3">
      <w:pPr>
        <w:jc w:val="both"/>
      </w:pPr>
      <w:r w:rsidRPr="00D923B3">
        <w:t>To prevent the "Curse of Dimensionality" and ensure interpretability, only a limited number of non-redundant descriptors were retained. Although Mordred may provide over 1,600 descriptors, many of them are highly correlated or contain duplicate chemical information. The following categories were removed to reduce noise and multicollinearity while retaining important physicochemical signals.</w:t>
      </w:r>
    </w:p>
    <w:p w14:paraId="4D92F26F" w14:textId="77777777" w:rsidR="00D923B3" w:rsidRPr="00D923B3" w:rsidRDefault="00D923B3" w:rsidP="00D923B3">
      <w:pPr>
        <w:jc w:val="both"/>
        <w:rPr>
          <w:b/>
          <w:bCs/>
        </w:rPr>
      </w:pPr>
      <w:r w:rsidRPr="00D923B3">
        <w:rPr>
          <w:b/>
          <w:bCs/>
        </w:rPr>
        <w:t>1.2 Redundant Lipophilicity Measurements</w:t>
      </w:r>
    </w:p>
    <w:p w14:paraId="196B7BAC" w14:textId="77777777" w:rsidR="00D923B3" w:rsidRPr="00D923B3" w:rsidRDefault="00D923B3" w:rsidP="00D923B3">
      <w:pPr>
        <w:numPr>
          <w:ilvl w:val="0"/>
          <w:numId w:val="8"/>
        </w:numPr>
        <w:jc w:val="both"/>
      </w:pPr>
      <w:r w:rsidRPr="00D923B3">
        <w:rPr>
          <w:b/>
          <w:bCs/>
        </w:rPr>
        <w:t>Excluded:</w:t>
      </w:r>
      <w:r w:rsidRPr="00D923B3">
        <w:t> MLogP, XLogP, nOctanol, FilterItLogP, WLogP, LogP_Consensus.</w:t>
      </w:r>
    </w:p>
    <w:p w14:paraId="4B7425D0" w14:textId="53734E28" w:rsidR="00D923B3" w:rsidRPr="00D923B3" w:rsidRDefault="00D923B3" w:rsidP="00D923B3">
      <w:pPr>
        <w:numPr>
          <w:ilvl w:val="0"/>
          <w:numId w:val="8"/>
        </w:numPr>
        <w:jc w:val="both"/>
      </w:pPr>
      <w:r w:rsidRPr="00D923B3">
        <w:rPr>
          <w:b/>
          <w:bCs/>
        </w:rPr>
        <w:t>Reason:</w:t>
      </w:r>
      <w:r w:rsidRPr="00D923B3">
        <w:t xml:space="preserve"> All </w:t>
      </w:r>
      <w:proofErr w:type="spellStart"/>
      <w:r w:rsidRPr="00D923B3">
        <w:t>LogP</w:t>
      </w:r>
      <w:proofErr w:type="spellEnd"/>
      <w:r w:rsidRPr="00D923B3">
        <w:t xml:space="preserve"> variations have a high correlation and represent the same attribute. Including numerous variants pushes the model exclusively towards lipophilicity, overshadowing other features. </w:t>
      </w:r>
      <w:proofErr w:type="spellStart"/>
      <w:r w:rsidRPr="00D923B3">
        <w:rPr>
          <w:b/>
          <w:bCs/>
        </w:rPr>
        <w:t>SLogP</w:t>
      </w:r>
      <w:proofErr w:type="spellEnd"/>
      <w:r w:rsidRPr="00D923B3">
        <w:t> is retained as the most robust and thoroughly proven method.</w:t>
      </w:r>
    </w:p>
    <w:p w14:paraId="41DB7C79" w14:textId="77777777" w:rsidR="00D923B3" w:rsidRPr="00D923B3" w:rsidRDefault="00D923B3" w:rsidP="00D923B3">
      <w:pPr>
        <w:jc w:val="both"/>
        <w:rPr>
          <w:b/>
          <w:bCs/>
        </w:rPr>
      </w:pPr>
      <w:r w:rsidRPr="00D923B3">
        <w:rPr>
          <w:b/>
          <w:bCs/>
        </w:rPr>
        <w:t>1.3 Explicit Atom Counts</w:t>
      </w:r>
    </w:p>
    <w:p w14:paraId="1C42F49E" w14:textId="77777777" w:rsidR="00D923B3" w:rsidRPr="00D923B3" w:rsidRDefault="00D923B3" w:rsidP="00D923B3">
      <w:pPr>
        <w:numPr>
          <w:ilvl w:val="0"/>
          <w:numId w:val="9"/>
        </w:numPr>
        <w:jc w:val="both"/>
      </w:pPr>
      <w:r w:rsidRPr="00D923B3">
        <w:rPr>
          <w:b/>
          <w:bCs/>
        </w:rPr>
        <w:t>Excluded:</w:t>
      </w:r>
      <w:r w:rsidRPr="00D923B3">
        <w:t> </w:t>
      </w:r>
      <w:proofErr w:type="spellStart"/>
      <w:r w:rsidRPr="00D923B3">
        <w:t>nN</w:t>
      </w:r>
      <w:proofErr w:type="spellEnd"/>
      <w:r w:rsidRPr="00D923B3">
        <w:t>, </w:t>
      </w:r>
      <w:proofErr w:type="spellStart"/>
      <w:r w:rsidRPr="00D923B3">
        <w:t>nO</w:t>
      </w:r>
      <w:proofErr w:type="spellEnd"/>
      <w:r w:rsidRPr="00D923B3">
        <w:t>, </w:t>
      </w:r>
      <w:proofErr w:type="spellStart"/>
      <w:r w:rsidRPr="00D923B3">
        <w:t>nS</w:t>
      </w:r>
      <w:proofErr w:type="spellEnd"/>
      <w:r w:rsidRPr="00D923B3">
        <w:t>, </w:t>
      </w:r>
      <w:proofErr w:type="spellStart"/>
      <w:r w:rsidRPr="00D923B3">
        <w:t>nF</w:t>
      </w:r>
      <w:proofErr w:type="spellEnd"/>
      <w:r w:rsidRPr="00D923B3">
        <w:t>, </w:t>
      </w:r>
      <w:proofErr w:type="spellStart"/>
      <w:r w:rsidRPr="00D923B3">
        <w:t>nCl</w:t>
      </w:r>
      <w:proofErr w:type="spellEnd"/>
      <w:r w:rsidRPr="00D923B3">
        <w:t>, </w:t>
      </w:r>
      <w:proofErr w:type="spellStart"/>
      <w:r w:rsidRPr="00D923B3">
        <w:t>nBr</w:t>
      </w:r>
      <w:proofErr w:type="spellEnd"/>
      <w:r w:rsidRPr="00D923B3">
        <w:t>.</w:t>
      </w:r>
    </w:p>
    <w:p w14:paraId="4FAF0FE3" w14:textId="77777777" w:rsidR="00D923B3" w:rsidRPr="00D923B3" w:rsidRDefault="00D923B3" w:rsidP="00D923B3">
      <w:pPr>
        <w:numPr>
          <w:ilvl w:val="0"/>
          <w:numId w:val="9"/>
        </w:numPr>
        <w:jc w:val="both"/>
      </w:pPr>
      <w:r w:rsidRPr="00D923B3">
        <w:rPr>
          <w:b/>
          <w:bCs/>
        </w:rPr>
        <w:t>Reason:</w:t>
      </w:r>
      <w:r w:rsidRPr="00D923B3">
        <w:t> Raw atom counts include information that is already captured by better aggregate descriptors:</w:t>
      </w:r>
    </w:p>
    <w:p w14:paraId="0A01640A" w14:textId="77777777" w:rsidR="00D923B3" w:rsidRPr="00D923B3" w:rsidRDefault="00D923B3" w:rsidP="00D923B3">
      <w:pPr>
        <w:numPr>
          <w:ilvl w:val="1"/>
          <w:numId w:val="9"/>
        </w:numPr>
        <w:jc w:val="both"/>
      </w:pPr>
      <w:proofErr w:type="spellStart"/>
      <w:r w:rsidRPr="00D923B3">
        <w:rPr>
          <w:b/>
          <w:bCs/>
        </w:rPr>
        <w:t>TopoPSA</w:t>
      </w:r>
      <w:proofErr w:type="spellEnd"/>
      <w:r w:rsidRPr="00D923B3">
        <w:t> identifies solvation-relevant heteroatoms more accurately than raw counts.</w:t>
      </w:r>
    </w:p>
    <w:p w14:paraId="72678EAC" w14:textId="77777777" w:rsidR="00D923B3" w:rsidRPr="00D923B3" w:rsidRDefault="00D923B3" w:rsidP="00D923B3">
      <w:pPr>
        <w:numPr>
          <w:ilvl w:val="1"/>
          <w:numId w:val="9"/>
        </w:numPr>
        <w:jc w:val="both"/>
      </w:pPr>
      <w:r w:rsidRPr="00D923B3">
        <w:rPr>
          <w:b/>
          <w:bCs/>
        </w:rPr>
        <w:t>MACCS keys</w:t>
      </w:r>
      <w:r w:rsidRPr="00D923B3">
        <w:t> capture functional groups (such as halogens) more explicitly.</w:t>
      </w:r>
    </w:p>
    <w:p w14:paraId="09D961C9" w14:textId="77777777" w:rsidR="00D923B3" w:rsidRPr="00D923B3" w:rsidRDefault="00D923B3" w:rsidP="00D923B3">
      <w:pPr>
        <w:numPr>
          <w:ilvl w:val="1"/>
          <w:numId w:val="9"/>
        </w:numPr>
        <w:jc w:val="both"/>
      </w:pPr>
      <w:r w:rsidRPr="00D923B3">
        <w:t>Removing atom counts minimizes feature redundancy while preserving chemical meaning.</w:t>
      </w:r>
    </w:p>
    <w:p w14:paraId="738914E3" w14:textId="77777777" w:rsidR="00D923B3" w:rsidRPr="00D923B3" w:rsidRDefault="00D923B3" w:rsidP="00D923B3">
      <w:pPr>
        <w:jc w:val="both"/>
        <w:rPr>
          <w:b/>
          <w:bCs/>
        </w:rPr>
      </w:pPr>
      <w:r w:rsidRPr="00D923B3">
        <w:rPr>
          <w:b/>
          <w:bCs/>
        </w:rPr>
        <w:t>1.4 Abstract Graph-Theoretical Indices</w:t>
      </w:r>
    </w:p>
    <w:p w14:paraId="6CF3437F" w14:textId="77777777" w:rsidR="00D923B3" w:rsidRPr="00D923B3" w:rsidRDefault="00D923B3" w:rsidP="00D923B3">
      <w:pPr>
        <w:numPr>
          <w:ilvl w:val="0"/>
          <w:numId w:val="10"/>
        </w:numPr>
        <w:jc w:val="both"/>
      </w:pPr>
      <w:r w:rsidRPr="00D923B3">
        <w:rPr>
          <w:b/>
          <w:bCs/>
        </w:rPr>
        <w:t>Excluded:</w:t>
      </w:r>
      <w:r w:rsidRPr="00D923B3">
        <w:t> Wiener, Balaban, Zagreb, </w:t>
      </w:r>
      <w:proofErr w:type="spellStart"/>
      <w:r w:rsidRPr="00D923B3">
        <w:t>BertzCT</w:t>
      </w:r>
      <w:proofErr w:type="spellEnd"/>
      <w:r w:rsidRPr="00D923B3">
        <w:t>, </w:t>
      </w:r>
      <w:proofErr w:type="spellStart"/>
      <w:r w:rsidRPr="00D923B3">
        <w:t>WalkCounts</w:t>
      </w:r>
      <w:proofErr w:type="spellEnd"/>
      <w:r w:rsidRPr="00D923B3">
        <w:t>.</w:t>
      </w:r>
    </w:p>
    <w:p w14:paraId="4B7142B7" w14:textId="77777777" w:rsidR="00D923B3" w:rsidRPr="00D923B3" w:rsidRDefault="00D923B3" w:rsidP="00D923B3">
      <w:pPr>
        <w:numPr>
          <w:ilvl w:val="0"/>
          <w:numId w:val="10"/>
        </w:numPr>
        <w:jc w:val="both"/>
      </w:pPr>
      <w:r w:rsidRPr="00D923B3">
        <w:rPr>
          <w:b/>
          <w:bCs/>
        </w:rPr>
        <w:t>Reason:</w:t>
      </w:r>
      <w:r w:rsidRPr="00D923B3">
        <w:t> These topological indices duplicate the information found in </w:t>
      </w:r>
      <w:r w:rsidRPr="00D923B3">
        <w:rPr>
          <w:b/>
          <w:bCs/>
        </w:rPr>
        <w:t>Molecular Weight</w:t>
      </w:r>
      <w:r w:rsidRPr="00D923B3">
        <w:t> and </w:t>
      </w:r>
      <w:proofErr w:type="spellStart"/>
      <w:r w:rsidRPr="00D923B3">
        <w:rPr>
          <w:b/>
          <w:bCs/>
        </w:rPr>
        <w:t>VdwVolume</w:t>
      </w:r>
      <w:proofErr w:type="spellEnd"/>
      <w:r w:rsidRPr="00D923B3">
        <w:t> because they primarily correspond with molecule size. Additionally, their contribution to solubility lacks a clear physical explanation compared to volume or surface area.</w:t>
      </w:r>
    </w:p>
    <w:p w14:paraId="53194FC1" w14:textId="77777777" w:rsidR="00D923B3" w:rsidRPr="00D923B3" w:rsidRDefault="00D923B3" w:rsidP="00D923B3">
      <w:pPr>
        <w:jc w:val="both"/>
        <w:rPr>
          <w:b/>
          <w:bCs/>
        </w:rPr>
      </w:pPr>
      <w:r w:rsidRPr="00D923B3">
        <w:rPr>
          <w:b/>
          <w:bCs/>
        </w:rPr>
        <w:t>1.5 3D Geometric Descriptors</w:t>
      </w:r>
    </w:p>
    <w:p w14:paraId="0D1580D3" w14:textId="77777777" w:rsidR="00D923B3" w:rsidRPr="00D923B3" w:rsidRDefault="00D923B3" w:rsidP="00D923B3">
      <w:pPr>
        <w:numPr>
          <w:ilvl w:val="0"/>
          <w:numId w:val="11"/>
        </w:numPr>
        <w:jc w:val="both"/>
      </w:pPr>
      <w:r w:rsidRPr="00D923B3">
        <w:rPr>
          <w:b/>
          <w:bCs/>
        </w:rPr>
        <w:t>Excluded:</w:t>
      </w:r>
      <w:r w:rsidRPr="00D923B3">
        <w:t> WHIM, GETAWAY, RDF, 3D-MoRSE, Moments of Inertia, Radius of Gyration.</w:t>
      </w:r>
    </w:p>
    <w:p w14:paraId="0CFBCCBD" w14:textId="77777777" w:rsidR="00D923B3" w:rsidRPr="00D923B3" w:rsidRDefault="00D923B3" w:rsidP="00D923B3">
      <w:pPr>
        <w:numPr>
          <w:ilvl w:val="0"/>
          <w:numId w:val="11"/>
        </w:numPr>
        <w:jc w:val="both"/>
      </w:pPr>
      <w:r w:rsidRPr="00D923B3">
        <w:rPr>
          <w:b/>
          <w:bCs/>
        </w:rPr>
        <w:t>Reason:</w:t>
      </w:r>
      <w:r w:rsidRPr="00D923B3">
        <w:t xml:space="preserve"> Because 3D descriptors rely on a single calculated conformer, significant noise is introduced, and the dynamic solvated state is rarely </w:t>
      </w:r>
      <w:r w:rsidRPr="00D923B3">
        <w:lastRenderedPageBreak/>
        <w:t>represented accurately. A more consistent and conformer-independent signal is produced by </w:t>
      </w:r>
      <w:r w:rsidRPr="00D923B3">
        <w:rPr>
          <w:b/>
          <w:bCs/>
        </w:rPr>
        <w:t>2D topological descriptors</w:t>
      </w:r>
      <w:r w:rsidRPr="00D923B3">
        <w:t>, such as </w:t>
      </w:r>
      <w:proofErr w:type="spellStart"/>
      <w:r w:rsidRPr="00D923B3">
        <w:t>KappaShapeIndex</w:t>
      </w:r>
      <w:proofErr w:type="spellEnd"/>
      <w:r w:rsidRPr="00D923B3">
        <w:t>.</w:t>
      </w:r>
    </w:p>
    <w:p w14:paraId="32EA16F9" w14:textId="77777777" w:rsidR="00D923B3" w:rsidRPr="00D923B3" w:rsidRDefault="00D923B3" w:rsidP="00D923B3">
      <w:pPr>
        <w:jc w:val="both"/>
        <w:rPr>
          <w:b/>
          <w:bCs/>
        </w:rPr>
      </w:pPr>
      <w:r w:rsidRPr="00D923B3">
        <w:rPr>
          <w:b/>
          <w:bCs/>
        </w:rPr>
        <w:t>1.6 Autocorrelation Descriptors</w:t>
      </w:r>
    </w:p>
    <w:p w14:paraId="59801DA8" w14:textId="77777777" w:rsidR="00D923B3" w:rsidRPr="00D923B3" w:rsidRDefault="00D923B3" w:rsidP="00D923B3">
      <w:pPr>
        <w:numPr>
          <w:ilvl w:val="0"/>
          <w:numId w:val="12"/>
        </w:numPr>
        <w:jc w:val="both"/>
      </w:pPr>
      <w:r w:rsidRPr="00D923B3">
        <w:rPr>
          <w:b/>
          <w:bCs/>
        </w:rPr>
        <w:t>Excluded:</w:t>
      </w:r>
      <w:r w:rsidRPr="00D923B3">
        <w:t> Moreau-Broto, Moran, Geary, MATS/GATS.</w:t>
      </w:r>
    </w:p>
    <w:p w14:paraId="22FE8FA6" w14:textId="77777777" w:rsidR="00D923B3" w:rsidRPr="00D923B3" w:rsidRDefault="00D923B3" w:rsidP="00D923B3">
      <w:pPr>
        <w:numPr>
          <w:ilvl w:val="0"/>
          <w:numId w:val="12"/>
        </w:numPr>
        <w:jc w:val="both"/>
      </w:pPr>
      <w:r w:rsidRPr="00D923B3">
        <w:rPr>
          <w:b/>
          <w:bCs/>
        </w:rPr>
        <w:t>Reason:</w:t>
      </w:r>
      <w:r w:rsidRPr="00D923B3">
        <w:t> These descriptors are chemically ambiguous; different structures might provide the same value, and they encode mathematical patterns instead of comprehensible chemical properties. Clearer functional information related to solubility is provided by </w:t>
      </w:r>
      <w:r w:rsidRPr="00D923B3">
        <w:rPr>
          <w:b/>
          <w:bCs/>
        </w:rPr>
        <w:t>MACCS keys</w:t>
      </w:r>
      <w:r w:rsidRPr="00D923B3">
        <w:t>.</w:t>
      </w:r>
    </w:p>
    <w:p w14:paraId="1AD99013" w14:textId="77777777" w:rsidR="00D923B3" w:rsidRPr="00D923B3" w:rsidRDefault="00D923B3" w:rsidP="00D923B3">
      <w:pPr>
        <w:jc w:val="both"/>
        <w:rPr>
          <w:b/>
          <w:bCs/>
        </w:rPr>
      </w:pPr>
      <w:r w:rsidRPr="00D923B3">
        <w:rPr>
          <w:b/>
          <w:bCs/>
        </w:rPr>
        <w:t>1.7 Molar Refractivity (MR)</w:t>
      </w:r>
    </w:p>
    <w:p w14:paraId="2778E84B" w14:textId="77777777" w:rsidR="00D923B3" w:rsidRPr="00D923B3" w:rsidRDefault="00D923B3" w:rsidP="00D923B3">
      <w:pPr>
        <w:numPr>
          <w:ilvl w:val="0"/>
          <w:numId w:val="13"/>
        </w:numPr>
        <w:jc w:val="both"/>
      </w:pPr>
      <w:r w:rsidRPr="00D923B3">
        <w:rPr>
          <w:b/>
          <w:bCs/>
        </w:rPr>
        <w:t>Excluded:</w:t>
      </w:r>
      <w:r w:rsidRPr="00D923B3">
        <w:t> </w:t>
      </w:r>
      <w:proofErr w:type="spellStart"/>
      <w:r w:rsidRPr="00D923B3">
        <w:t>MolarRefractivity</w:t>
      </w:r>
      <w:proofErr w:type="spellEnd"/>
      <w:r w:rsidRPr="00D923B3">
        <w:t>, SMR.</w:t>
      </w:r>
    </w:p>
    <w:p w14:paraId="0B299D24" w14:textId="123E144E" w:rsidR="00D923B3" w:rsidRPr="00D923B3" w:rsidRDefault="00D923B3" w:rsidP="00D923B3">
      <w:pPr>
        <w:numPr>
          <w:ilvl w:val="0"/>
          <w:numId w:val="13"/>
        </w:numPr>
        <w:jc w:val="both"/>
      </w:pPr>
      <w:r w:rsidRPr="00D923B3">
        <w:rPr>
          <w:b/>
          <w:bCs/>
        </w:rPr>
        <w:t>Reason:</w:t>
      </w:r>
      <w:r w:rsidRPr="00D923B3">
        <w:t> MR has a significant correlation with both </w:t>
      </w:r>
      <w:proofErr w:type="spellStart"/>
      <w:r w:rsidRPr="00D923B3">
        <w:rPr>
          <w:b/>
          <w:bCs/>
        </w:rPr>
        <w:t>SLogP</w:t>
      </w:r>
      <w:proofErr w:type="spellEnd"/>
      <w:r w:rsidRPr="00D923B3">
        <w:t> (polarizability) and </w:t>
      </w:r>
      <w:r w:rsidRPr="00D923B3">
        <w:rPr>
          <w:b/>
          <w:bCs/>
        </w:rPr>
        <w:t>Molecular Weight</w:t>
      </w:r>
      <w:r w:rsidRPr="00D923B3">
        <w:t> (volume). The principle of descriptor orthogonality is violated by MR since both qualities are already present in the selected feature set.</w:t>
      </w:r>
    </w:p>
    <w:p w14:paraId="7A519E77" w14:textId="77777777" w:rsidR="00D923B3" w:rsidRPr="00D923B3" w:rsidRDefault="00D923B3" w:rsidP="00D923B3">
      <w:pPr>
        <w:jc w:val="both"/>
        <w:rPr>
          <w:b/>
          <w:bCs/>
        </w:rPr>
      </w:pPr>
      <w:r w:rsidRPr="00D923B3">
        <w:rPr>
          <w:b/>
          <w:bCs/>
        </w:rPr>
        <w:t>References</w:t>
      </w:r>
    </w:p>
    <w:p w14:paraId="2839221C" w14:textId="77777777" w:rsidR="00D923B3" w:rsidRPr="00D923B3" w:rsidRDefault="00D923B3" w:rsidP="00D923B3">
      <w:pPr>
        <w:jc w:val="both"/>
      </w:pPr>
      <w:r w:rsidRPr="00D923B3">
        <w:rPr>
          <w:b/>
          <w:bCs/>
        </w:rPr>
        <w:t xml:space="preserve">[1] </w:t>
      </w:r>
      <w:proofErr w:type="spellStart"/>
      <w:r w:rsidRPr="00D923B3">
        <w:rPr>
          <w:b/>
          <w:bCs/>
        </w:rPr>
        <w:t>Mannhold</w:t>
      </w:r>
      <w:proofErr w:type="spellEnd"/>
      <w:r w:rsidRPr="00D923B3">
        <w:rPr>
          <w:b/>
          <w:bCs/>
        </w:rPr>
        <w:t>, R., et al.</w:t>
      </w:r>
      <w:r w:rsidRPr="00D923B3">
        <w:t> (2009). "Calculation of Molecular Lipophilicity: State-of-the-Art and Comparison of Log P Methods on More Than 96,000 Compounds." </w:t>
      </w:r>
      <w:r w:rsidRPr="00D923B3">
        <w:rPr>
          <w:i/>
          <w:iCs/>
        </w:rPr>
        <w:t>Journal of Pharmaceutical Sciences</w:t>
      </w:r>
      <w:r w:rsidRPr="00D923B3">
        <w:t>, 98(3), 861-893.</w:t>
      </w:r>
    </w:p>
    <w:p w14:paraId="32DE4EC9" w14:textId="77777777" w:rsidR="00D923B3" w:rsidRPr="00D923B3" w:rsidRDefault="00D923B3" w:rsidP="00D923B3">
      <w:pPr>
        <w:jc w:val="both"/>
      </w:pPr>
      <w:r w:rsidRPr="00D923B3">
        <w:rPr>
          <w:b/>
          <w:bCs/>
        </w:rPr>
        <w:t>[2] Todeschini, R., &amp; Consonni, V.</w:t>
      </w:r>
      <w:r w:rsidRPr="00D923B3">
        <w:t> (2009). </w:t>
      </w:r>
      <w:r w:rsidRPr="00D923B3">
        <w:rPr>
          <w:i/>
          <w:iCs/>
        </w:rPr>
        <w:t xml:space="preserve">Molecular Descriptors for </w:t>
      </w:r>
      <w:proofErr w:type="spellStart"/>
      <w:r w:rsidRPr="00D923B3">
        <w:rPr>
          <w:i/>
          <w:iCs/>
        </w:rPr>
        <w:t>Chemoinformatics</w:t>
      </w:r>
      <w:proofErr w:type="spellEnd"/>
      <w:r w:rsidRPr="00D923B3">
        <w:t>. Wiley-VCH.</w:t>
      </w:r>
    </w:p>
    <w:p w14:paraId="15813ADB" w14:textId="77777777" w:rsidR="00D923B3" w:rsidRPr="00D923B3" w:rsidRDefault="00D923B3" w:rsidP="00D923B3">
      <w:pPr>
        <w:jc w:val="both"/>
      </w:pPr>
      <w:r w:rsidRPr="00D923B3">
        <w:rPr>
          <w:b/>
          <w:bCs/>
        </w:rPr>
        <w:t>[3] Delaney, J. S.</w:t>
      </w:r>
      <w:r w:rsidRPr="00D923B3">
        <w:t> (2004). "ESOL: Estimating Aqueous Solubility Directly from Molecular Structure." </w:t>
      </w:r>
      <w:r w:rsidRPr="00D923B3">
        <w:rPr>
          <w:i/>
          <w:iCs/>
        </w:rPr>
        <w:t>Journal of Chemical Information and Computer Sciences</w:t>
      </w:r>
      <w:r w:rsidRPr="00D923B3">
        <w:t>, 44(3), 1000-1005.</w:t>
      </w:r>
    </w:p>
    <w:p w14:paraId="3FB1D812" w14:textId="77777777" w:rsidR="00D923B3" w:rsidRPr="00D923B3" w:rsidRDefault="00D923B3" w:rsidP="00D923B3">
      <w:pPr>
        <w:jc w:val="both"/>
      </w:pPr>
    </w:p>
    <w:sectPr w:rsidR="00D923B3" w:rsidRPr="00D923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2151"/>
    <w:multiLevelType w:val="multilevel"/>
    <w:tmpl w:val="BE542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F056F"/>
    <w:multiLevelType w:val="hybridMultilevel"/>
    <w:tmpl w:val="4BE4B94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670C58"/>
    <w:multiLevelType w:val="multilevel"/>
    <w:tmpl w:val="93026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155BC"/>
    <w:multiLevelType w:val="multilevel"/>
    <w:tmpl w:val="B9F6B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F03B2"/>
    <w:multiLevelType w:val="multilevel"/>
    <w:tmpl w:val="BFB65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72521"/>
    <w:multiLevelType w:val="multilevel"/>
    <w:tmpl w:val="472EF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B4153"/>
    <w:multiLevelType w:val="multilevel"/>
    <w:tmpl w:val="878EE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932C2"/>
    <w:multiLevelType w:val="multilevel"/>
    <w:tmpl w:val="12F4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E7A3E"/>
    <w:multiLevelType w:val="multilevel"/>
    <w:tmpl w:val="D780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0362A"/>
    <w:multiLevelType w:val="multilevel"/>
    <w:tmpl w:val="356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67E84"/>
    <w:multiLevelType w:val="multilevel"/>
    <w:tmpl w:val="E056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C17E9"/>
    <w:multiLevelType w:val="multilevel"/>
    <w:tmpl w:val="08BA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A0C99"/>
    <w:multiLevelType w:val="multilevel"/>
    <w:tmpl w:val="DB88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02575">
    <w:abstractNumId w:val="12"/>
  </w:num>
  <w:num w:numId="2" w16cid:durableId="2897587">
    <w:abstractNumId w:val="4"/>
  </w:num>
  <w:num w:numId="3" w16cid:durableId="807821808">
    <w:abstractNumId w:val="6"/>
  </w:num>
  <w:num w:numId="4" w16cid:durableId="195890344">
    <w:abstractNumId w:val="2"/>
  </w:num>
  <w:num w:numId="5" w16cid:durableId="112015940">
    <w:abstractNumId w:val="5"/>
  </w:num>
  <w:num w:numId="6" w16cid:durableId="922297443">
    <w:abstractNumId w:val="3"/>
  </w:num>
  <w:num w:numId="7" w16cid:durableId="1377659877">
    <w:abstractNumId w:val="1"/>
  </w:num>
  <w:num w:numId="8" w16cid:durableId="864366548">
    <w:abstractNumId w:val="9"/>
  </w:num>
  <w:num w:numId="9" w16cid:durableId="1331980109">
    <w:abstractNumId w:val="0"/>
  </w:num>
  <w:num w:numId="10" w16cid:durableId="993416353">
    <w:abstractNumId w:val="8"/>
  </w:num>
  <w:num w:numId="11" w16cid:durableId="801994348">
    <w:abstractNumId w:val="11"/>
  </w:num>
  <w:num w:numId="12" w16cid:durableId="1810050842">
    <w:abstractNumId w:val="10"/>
  </w:num>
  <w:num w:numId="13" w16cid:durableId="12505769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89A"/>
    <w:rsid w:val="00243C54"/>
    <w:rsid w:val="002E089A"/>
    <w:rsid w:val="003B37DE"/>
    <w:rsid w:val="00D923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D02CAAC"/>
  <w15:chartTrackingRefBased/>
  <w15:docId w15:val="{AA7317D2-E9E6-524A-A418-42DE0B11A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8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8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8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8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8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8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8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8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89A"/>
    <w:rPr>
      <w:rFonts w:eastAsiaTheme="majorEastAsia" w:cstheme="majorBidi"/>
      <w:color w:val="272727" w:themeColor="text1" w:themeTint="D8"/>
    </w:rPr>
  </w:style>
  <w:style w:type="paragraph" w:styleId="Title">
    <w:name w:val="Title"/>
    <w:basedOn w:val="Normal"/>
    <w:next w:val="Normal"/>
    <w:link w:val="TitleChar"/>
    <w:uiPriority w:val="10"/>
    <w:qFormat/>
    <w:rsid w:val="002E0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89A"/>
    <w:pPr>
      <w:spacing w:before="160"/>
      <w:jc w:val="center"/>
    </w:pPr>
    <w:rPr>
      <w:i/>
      <w:iCs/>
      <w:color w:val="404040" w:themeColor="text1" w:themeTint="BF"/>
    </w:rPr>
  </w:style>
  <w:style w:type="character" w:customStyle="1" w:styleId="QuoteChar">
    <w:name w:val="Quote Char"/>
    <w:basedOn w:val="DefaultParagraphFont"/>
    <w:link w:val="Quote"/>
    <w:uiPriority w:val="29"/>
    <w:rsid w:val="002E089A"/>
    <w:rPr>
      <w:i/>
      <w:iCs/>
      <w:color w:val="404040" w:themeColor="text1" w:themeTint="BF"/>
    </w:rPr>
  </w:style>
  <w:style w:type="paragraph" w:styleId="ListParagraph">
    <w:name w:val="List Paragraph"/>
    <w:basedOn w:val="Normal"/>
    <w:uiPriority w:val="34"/>
    <w:qFormat/>
    <w:rsid w:val="002E089A"/>
    <w:pPr>
      <w:ind w:left="720"/>
      <w:contextualSpacing/>
    </w:pPr>
  </w:style>
  <w:style w:type="character" w:styleId="IntenseEmphasis">
    <w:name w:val="Intense Emphasis"/>
    <w:basedOn w:val="DefaultParagraphFont"/>
    <w:uiPriority w:val="21"/>
    <w:qFormat/>
    <w:rsid w:val="002E089A"/>
    <w:rPr>
      <w:i/>
      <w:iCs/>
      <w:color w:val="0F4761" w:themeColor="accent1" w:themeShade="BF"/>
    </w:rPr>
  </w:style>
  <w:style w:type="paragraph" w:styleId="IntenseQuote">
    <w:name w:val="Intense Quote"/>
    <w:basedOn w:val="Normal"/>
    <w:next w:val="Normal"/>
    <w:link w:val="IntenseQuoteChar"/>
    <w:uiPriority w:val="30"/>
    <w:qFormat/>
    <w:rsid w:val="002E0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89A"/>
    <w:rPr>
      <w:i/>
      <w:iCs/>
      <w:color w:val="0F4761" w:themeColor="accent1" w:themeShade="BF"/>
    </w:rPr>
  </w:style>
  <w:style w:type="character" w:styleId="IntenseReference">
    <w:name w:val="Intense Reference"/>
    <w:basedOn w:val="DefaultParagraphFont"/>
    <w:uiPriority w:val="32"/>
    <w:qFormat/>
    <w:rsid w:val="002E08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Jaitly</dc:creator>
  <cp:keywords/>
  <dc:description/>
  <cp:lastModifiedBy>Aaryan Jaitly</cp:lastModifiedBy>
  <cp:revision>1</cp:revision>
  <dcterms:created xsi:type="dcterms:W3CDTF">2025-12-10T10:28:00Z</dcterms:created>
  <dcterms:modified xsi:type="dcterms:W3CDTF">2025-12-10T10:57:00Z</dcterms:modified>
</cp:coreProperties>
</file>